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500"/>
        <w:spacing w:after="0"/>
        <w:rPr>
          <w:sz w:val="20"/>
          <w:szCs w:val="20"/>
          <w:color w:val="auto"/>
        </w:rPr>
      </w:pPr>
      <w:r>
        <w:rPr>
          <w:rFonts w:ascii="Arial" w:cs="Arial" w:eastAsia="Arial" w:hAnsi="Arial"/>
          <w:sz w:val="22"/>
          <w:szCs w:val="22"/>
          <w:b w:val="1"/>
          <w:bCs w:val="1"/>
          <w:color w:val="auto"/>
        </w:rPr>
        <w:t>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694309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309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57150</wp:posOffset>
            </wp:positionV>
            <wp:extent cx="69430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3090" cy="7620"/>
                    </a:xfrm>
                    <a:prstGeom prst="rect">
                      <a:avLst/>
                    </a:prstGeom>
                    <a:noFill/>
                  </pic:spPr>
                </pic:pic>
              </a:graphicData>
            </a:graphic>
          </wp:anchor>
        </w:drawing>
      </w:r>
    </w:p>
    <w:p>
      <w:pPr>
        <w:spacing w:after="0" w:line="144" w:lineRule="exact"/>
        <w:rPr>
          <w:sz w:val="24"/>
          <w:szCs w:val="24"/>
          <w:color w:val="auto"/>
        </w:rPr>
      </w:pPr>
    </w:p>
    <w:p>
      <w:pPr>
        <w:ind w:left="4860"/>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left="1180"/>
        <w:spacing w:after="0"/>
        <w:rPr>
          <w:sz w:val="20"/>
          <w:szCs w:val="20"/>
          <w:color w:val="auto"/>
        </w:rPr>
      </w:pPr>
      <w:r>
        <w:rPr>
          <w:rFonts w:ascii="Arial" w:cs="Arial" w:eastAsia="Arial" w:hAnsi="Arial"/>
          <w:sz w:val="22"/>
          <w:szCs w:val="22"/>
          <w:b w:val="1"/>
          <w:bCs w:val="1"/>
          <w:color w:val="auto"/>
        </w:rPr>
        <w:t>SECURITIES AND EXCHANGE COMMISSION</w:t>
      </w:r>
    </w:p>
    <w:p>
      <w:pPr>
        <w:spacing w:after="0" w:line="2" w:lineRule="exact"/>
        <w:rPr>
          <w:sz w:val="24"/>
          <w:szCs w:val="24"/>
          <w:color w:val="auto"/>
        </w:rPr>
      </w:pPr>
    </w:p>
    <w:p>
      <w:pPr>
        <w:jc w:val="center"/>
        <w:ind w:left="118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2244725</wp:posOffset>
            </wp:positionH>
            <wp:positionV relativeFrom="paragraph">
              <wp:posOffset>42545</wp:posOffset>
            </wp:positionV>
            <wp:extent cx="27774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7620"/>
                    </a:xfrm>
                    <a:prstGeom prst="rect">
                      <a:avLst/>
                    </a:prstGeom>
                    <a:noFill/>
                  </pic:spPr>
                </pic:pic>
              </a:graphicData>
            </a:graphic>
          </wp:anchor>
        </w:drawing>
      </w:r>
    </w:p>
    <w:p>
      <w:pPr>
        <w:spacing w:after="0" w:line="72" w:lineRule="exact"/>
        <w:rPr>
          <w:sz w:val="24"/>
          <w:szCs w:val="24"/>
          <w:color w:val="auto"/>
        </w:rPr>
      </w:pPr>
    </w:p>
    <w:p>
      <w:pPr>
        <w:jc w:val="center"/>
        <w:ind w:left="1180"/>
        <w:spacing w:after="0"/>
        <w:rPr>
          <w:sz w:val="20"/>
          <w:szCs w:val="20"/>
          <w:color w:val="auto"/>
        </w:rPr>
      </w:pPr>
      <w:r>
        <w:rPr>
          <w:rFonts w:ascii="Arial" w:cs="Arial" w:eastAsia="Arial" w:hAnsi="Arial"/>
          <w:sz w:val="22"/>
          <w:szCs w:val="22"/>
          <w:b w:val="1"/>
          <w:bCs w:val="1"/>
          <w:color w:val="auto"/>
        </w:rPr>
        <w:t>FORM 10-K</w:t>
      </w:r>
    </w:p>
    <w:p>
      <w:pPr>
        <w:spacing w:after="0" w:line="34" w:lineRule="exact"/>
        <w:rPr>
          <w:sz w:val="24"/>
          <w:szCs w:val="24"/>
          <w:color w:val="auto"/>
        </w:rPr>
      </w:pPr>
    </w:p>
    <w:p>
      <w:pPr>
        <w:ind w:left="3160" w:hanging="350"/>
        <w:spacing w:after="0"/>
        <w:tabs>
          <w:tab w:leader="none" w:pos="3160" w:val="left"/>
        </w:tabs>
        <w:numPr>
          <w:ilvl w:val="0"/>
          <w:numId w:val="1"/>
        </w:numPr>
        <w:rPr>
          <w:rFonts w:ascii="MS PGothic" w:cs="MS PGothic" w:eastAsia="MS PGothic" w:hAnsi="MS PGothic"/>
          <w:sz w:val="15"/>
          <w:szCs w:val="15"/>
          <w:color w:val="auto"/>
        </w:rPr>
      </w:pPr>
      <w:r>
        <w:rPr>
          <w:rFonts w:ascii="Arial" w:cs="Arial" w:eastAsia="Arial" w:hAnsi="Arial"/>
          <w:sz w:val="20"/>
          <w:szCs w:val="20"/>
          <w:b w:val="1"/>
          <w:bCs w:val="1"/>
          <w:color w:val="auto"/>
        </w:rPr>
        <w:t>ANNUAL REPORT PURSUANT TO SECTION 13 OR 15(d) OF</w:t>
      </w:r>
    </w:p>
    <w:p>
      <w:pPr>
        <w:spacing w:after="0" w:line="2" w:lineRule="exact"/>
        <w:rPr>
          <w:sz w:val="24"/>
          <w:szCs w:val="24"/>
          <w:color w:val="auto"/>
        </w:rPr>
      </w:pPr>
    </w:p>
    <w:p>
      <w:pPr>
        <w:jc w:val="center"/>
        <w:ind w:left="1180"/>
        <w:spacing w:after="0"/>
        <w:rPr>
          <w:sz w:val="20"/>
          <w:szCs w:val="20"/>
          <w:color w:val="auto"/>
        </w:rPr>
      </w:pPr>
      <w:r>
        <w:rPr>
          <w:rFonts w:ascii="Arial" w:cs="Arial" w:eastAsia="Arial" w:hAnsi="Arial"/>
          <w:sz w:val="20"/>
          <w:szCs w:val="20"/>
          <w:b w:val="1"/>
          <w:bCs w:val="1"/>
          <w:color w:val="auto"/>
        </w:rPr>
        <w:t>THE SECURITIES EXCHANGE ACT OF 1934</w:t>
      </w:r>
    </w:p>
    <w:p>
      <w:pPr>
        <w:jc w:val="center"/>
        <w:ind w:left="1180"/>
        <w:spacing w:after="0"/>
        <w:rPr>
          <w:sz w:val="20"/>
          <w:szCs w:val="20"/>
          <w:color w:val="auto"/>
        </w:rPr>
      </w:pPr>
      <w:r>
        <w:rPr>
          <w:rFonts w:ascii="Arial" w:cs="Arial" w:eastAsia="Arial" w:hAnsi="Arial"/>
          <w:sz w:val="16"/>
          <w:szCs w:val="16"/>
          <w:color w:val="auto"/>
        </w:rPr>
        <w:t>For the fiscal year ended December 31, 2014</w:t>
      </w:r>
    </w:p>
    <w:p>
      <w:pPr>
        <w:spacing w:after="0" w:line="28" w:lineRule="exact"/>
        <w:rPr>
          <w:sz w:val="24"/>
          <w:szCs w:val="24"/>
          <w:color w:val="auto"/>
        </w:rPr>
      </w:pPr>
    </w:p>
    <w:p>
      <w:pPr>
        <w:jc w:val="center"/>
        <w:ind w:left="1180"/>
        <w:spacing w:after="0"/>
        <w:rPr>
          <w:sz w:val="20"/>
          <w:szCs w:val="20"/>
          <w:color w:val="auto"/>
        </w:rPr>
      </w:pPr>
      <w:r>
        <w:rPr>
          <w:rFonts w:ascii="Arial" w:cs="Arial" w:eastAsia="Arial" w:hAnsi="Arial"/>
          <w:sz w:val="20"/>
          <w:szCs w:val="20"/>
          <w:color w:val="auto"/>
        </w:rPr>
        <w:t>or</w:t>
      </w:r>
    </w:p>
    <w:p>
      <w:pPr>
        <w:spacing w:after="0" w:line="21" w:lineRule="exact"/>
        <w:rPr>
          <w:sz w:val="24"/>
          <w:szCs w:val="24"/>
          <w:color w:val="auto"/>
        </w:rPr>
      </w:pPr>
    </w:p>
    <w:p>
      <w:pPr>
        <w:ind w:left="2960" w:hanging="356"/>
        <w:spacing w:after="0"/>
        <w:tabs>
          <w:tab w:leader="none" w:pos="2960" w:val="left"/>
        </w:tabs>
        <w:numPr>
          <w:ilvl w:val="0"/>
          <w:numId w:val="2"/>
        </w:numPr>
        <w:rPr>
          <w:rFonts w:ascii="MS PGothic" w:cs="MS PGothic" w:eastAsia="MS PGothic" w:hAnsi="MS PGothic"/>
          <w:sz w:val="15"/>
          <w:szCs w:val="15"/>
          <w:color w:val="auto"/>
        </w:rPr>
      </w:pPr>
      <w:r>
        <w:rPr>
          <w:rFonts w:ascii="Arial" w:cs="Arial" w:eastAsia="Arial" w:hAnsi="Arial"/>
          <w:sz w:val="20"/>
          <w:szCs w:val="20"/>
          <w:b w:val="1"/>
          <w:bCs w:val="1"/>
          <w:color w:val="auto"/>
        </w:rPr>
        <w:t>TRANSITION REPORT PURSUANT TO SECTION 13 OR 15(d) OF</w:t>
      </w:r>
    </w:p>
    <w:p>
      <w:pPr>
        <w:spacing w:after="0" w:line="8" w:lineRule="exact"/>
        <w:rPr>
          <w:sz w:val="24"/>
          <w:szCs w:val="24"/>
          <w:color w:val="auto"/>
        </w:rPr>
      </w:pPr>
    </w:p>
    <w:p>
      <w:pPr>
        <w:ind w:left="3700"/>
        <w:spacing w:after="0"/>
        <w:rPr>
          <w:sz w:val="20"/>
          <w:szCs w:val="20"/>
          <w:color w:val="auto"/>
        </w:rPr>
      </w:pPr>
      <w:r>
        <w:rPr>
          <w:rFonts w:ascii="Arial" w:cs="Arial" w:eastAsia="Arial" w:hAnsi="Arial"/>
          <w:sz w:val="20"/>
          <w:szCs w:val="20"/>
          <w:b w:val="1"/>
          <w:bCs w:val="1"/>
          <w:color w:val="auto"/>
        </w:rPr>
        <w:t>THE SECURITIES EXCHANGE ACT OF 1934</w:t>
      </w:r>
    </w:p>
    <w:tbl>
      <w:tblPr>
        <w:tblLayout w:type="fixed"/>
        <w:tblInd w:w="0" w:type="dxa"/>
        <w:tblCellMar>
          <w:top w:w="0" w:type="dxa"/>
          <w:left w:w="0" w:type="dxa"/>
          <w:bottom w:w="0" w:type="dxa"/>
          <w:right w:w="0" w:type="dxa"/>
        </w:tblCellMar>
      </w:tblPr>
      <w:tr>
        <w:trPr>
          <w:trHeight w:val="208"/>
        </w:trPr>
        <w:tc>
          <w:tcPr>
            <w:tcW w:w="3540" w:type="dxa"/>
            <w:vAlign w:val="bottom"/>
          </w:tcPr>
          <w:p>
            <w:pPr>
              <w:spacing w:after="0"/>
              <w:rPr>
                <w:sz w:val="18"/>
                <w:szCs w:val="18"/>
                <w:color w:val="auto"/>
              </w:rPr>
            </w:pPr>
          </w:p>
        </w:tc>
        <w:tc>
          <w:tcPr>
            <w:tcW w:w="2900" w:type="dxa"/>
            <w:vAlign w:val="bottom"/>
          </w:tcPr>
          <w:p>
            <w:pPr>
              <w:ind w:left="520"/>
              <w:spacing w:after="0"/>
              <w:rPr>
                <w:sz w:val="20"/>
                <w:szCs w:val="20"/>
                <w:color w:val="auto"/>
              </w:rPr>
            </w:pPr>
            <w:r>
              <w:rPr>
                <w:rFonts w:ascii="Arial" w:cs="Arial" w:eastAsia="Arial" w:hAnsi="Arial"/>
                <w:sz w:val="16"/>
                <w:szCs w:val="16"/>
                <w:color w:val="auto"/>
              </w:rPr>
              <w:t>For the transition period from</w:t>
            </w:r>
          </w:p>
        </w:tc>
        <w:tc>
          <w:tcPr>
            <w:tcW w:w="800" w:type="dxa"/>
            <w:vAlign w:val="bottom"/>
          </w:tcPr>
          <w:p>
            <w:pPr>
              <w:ind w:left="200"/>
              <w:spacing w:after="0"/>
              <w:rPr>
                <w:sz w:val="20"/>
                <w:szCs w:val="20"/>
                <w:color w:val="auto"/>
              </w:rPr>
            </w:pPr>
            <w:r>
              <w:rPr>
                <w:rFonts w:ascii="Arial" w:cs="Arial" w:eastAsia="Arial" w:hAnsi="Arial"/>
                <w:sz w:val="16"/>
                <w:szCs w:val="16"/>
                <w:color w:val="auto"/>
              </w:rPr>
              <w:t>to</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22"/>
        </w:trPr>
        <w:tc>
          <w:tcPr>
            <w:tcW w:w="3540" w:type="dxa"/>
            <w:vAlign w:val="bottom"/>
          </w:tcPr>
          <w:p>
            <w:pPr>
              <w:spacing w:after="0"/>
              <w:rPr>
                <w:sz w:val="19"/>
                <w:szCs w:val="19"/>
                <w:color w:val="auto"/>
              </w:rPr>
            </w:pPr>
          </w:p>
        </w:tc>
        <w:tc>
          <w:tcPr>
            <w:tcW w:w="3700" w:type="dxa"/>
            <w:vAlign w:val="bottom"/>
            <w:gridSpan w:val="2"/>
          </w:tcPr>
          <w:p>
            <w:pPr>
              <w:jc w:val="center"/>
              <w:ind w:left="587"/>
              <w:spacing w:after="0"/>
              <w:rPr>
                <w:sz w:val="20"/>
                <w:szCs w:val="20"/>
                <w:color w:val="auto"/>
              </w:rPr>
            </w:pPr>
            <w:r>
              <w:rPr>
                <w:rFonts w:ascii="Arial" w:cs="Arial" w:eastAsia="Arial" w:hAnsi="Arial"/>
                <w:sz w:val="16"/>
                <w:szCs w:val="16"/>
                <w:color w:val="auto"/>
                <w:w w:val="94"/>
              </w:rPr>
              <w:t>Commission File Number 1-2256</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399"/>
        </w:trPr>
        <w:tc>
          <w:tcPr>
            <w:tcW w:w="10940" w:type="dxa"/>
            <w:vAlign w:val="bottom"/>
            <w:gridSpan w:val="7"/>
          </w:tcPr>
          <w:p>
            <w:pPr>
              <w:jc w:val="center"/>
              <w:ind w:left="418"/>
              <w:spacing w:after="0"/>
              <w:rPr>
                <w:sz w:val="20"/>
                <w:szCs w:val="20"/>
                <w:color w:val="auto"/>
              </w:rPr>
            </w:pPr>
            <w:r>
              <w:rPr>
                <w:rFonts w:ascii="Arial" w:cs="Arial" w:eastAsia="Arial" w:hAnsi="Arial"/>
                <w:sz w:val="33"/>
                <w:szCs w:val="33"/>
                <w:b w:val="1"/>
                <w:bCs w:val="1"/>
                <w:color w:val="auto"/>
              </w:rPr>
              <w:t>EXXON MOBIL CORPORATION</w:t>
            </w:r>
          </w:p>
        </w:tc>
      </w:tr>
      <w:tr>
        <w:trPr>
          <w:trHeight w:val="164"/>
        </w:trPr>
        <w:tc>
          <w:tcPr>
            <w:tcW w:w="3540" w:type="dxa"/>
            <w:vAlign w:val="bottom"/>
          </w:tcPr>
          <w:p>
            <w:pPr>
              <w:spacing w:after="0"/>
              <w:rPr>
                <w:sz w:val="14"/>
                <w:szCs w:val="14"/>
                <w:color w:val="auto"/>
              </w:rPr>
            </w:pPr>
          </w:p>
        </w:tc>
        <w:tc>
          <w:tcPr>
            <w:tcW w:w="3700" w:type="dxa"/>
            <w:vAlign w:val="bottom"/>
            <w:gridSpan w:val="2"/>
          </w:tcPr>
          <w:p>
            <w:pPr>
              <w:jc w:val="center"/>
              <w:ind w:left="607"/>
              <w:spacing w:after="0"/>
              <w:rPr>
                <w:sz w:val="20"/>
                <w:szCs w:val="20"/>
                <w:color w:val="auto"/>
              </w:rPr>
            </w:pPr>
            <w:r>
              <w:rPr>
                <w:rFonts w:ascii="Arial" w:cs="Arial" w:eastAsia="Arial" w:hAnsi="Arial"/>
                <w:sz w:val="13"/>
                <w:szCs w:val="13"/>
                <w:color w:val="auto"/>
                <w:w w:val="91"/>
              </w:rPr>
              <w:t>(Exact name of registrant as specified in its charter)</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tcPr>
          <w:p>
            <w:pPr>
              <w:spacing w:after="0"/>
              <w:rPr>
                <w:sz w:val="14"/>
                <w:szCs w:val="14"/>
                <w:color w:val="auto"/>
              </w:rPr>
            </w:pPr>
          </w:p>
        </w:tc>
      </w:tr>
      <w:tr>
        <w:trPr>
          <w:trHeight w:val="223"/>
        </w:trPr>
        <w:tc>
          <w:tcPr>
            <w:tcW w:w="6440" w:type="dxa"/>
            <w:vAlign w:val="bottom"/>
            <w:gridSpan w:val="2"/>
          </w:tcPr>
          <w:p>
            <w:pPr>
              <w:jc w:val="center"/>
              <w:ind w:right="627"/>
              <w:spacing w:after="0"/>
              <w:rPr>
                <w:sz w:val="20"/>
                <w:szCs w:val="20"/>
                <w:color w:val="auto"/>
              </w:rPr>
            </w:pPr>
            <w:r>
              <w:rPr>
                <w:rFonts w:ascii="Arial" w:cs="Arial" w:eastAsia="Arial" w:hAnsi="Arial"/>
                <w:sz w:val="16"/>
                <w:szCs w:val="16"/>
                <w:b w:val="1"/>
                <w:bCs w:val="1"/>
                <w:color w:val="auto"/>
              </w:rPr>
              <w:t>NEW JERSEY</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80" w:type="dxa"/>
            <w:vAlign w:val="bottom"/>
          </w:tcPr>
          <w:p>
            <w:pPr>
              <w:jc w:val="center"/>
              <w:ind w:right="1868"/>
              <w:spacing w:after="0"/>
              <w:rPr>
                <w:sz w:val="20"/>
                <w:szCs w:val="20"/>
                <w:color w:val="auto"/>
              </w:rPr>
            </w:pPr>
            <w:r>
              <w:rPr>
                <w:rFonts w:ascii="Arial" w:cs="Arial" w:eastAsia="Arial" w:hAnsi="Arial"/>
                <w:sz w:val="16"/>
                <w:szCs w:val="16"/>
                <w:b w:val="1"/>
                <w:bCs w:val="1"/>
                <w:color w:val="auto"/>
                <w:w w:val="93"/>
              </w:rPr>
              <w:t>13-5409005</w:t>
            </w:r>
          </w:p>
        </w:tc>
      </w:tr>
      <w:tr>
        <w:trPr>
          <w:trHeight w:val="135"/>
        </w:trPr>
        <w:tc>
          <w:tcPr>
            <w:tcW w:w="6440" w:type="dxa"/>
            <w:vAlign w:val="bottom"/>
            <w:gridSpan w:val="2"/>
          </w:tcPr>
          <w:p>
            <w:pPr>
              <w:jc w:val="center"/>
              <w:ind w:right="627"/>
              <w:spacing w:after="0" w:line="135" w:lineRule="exact"/>
              <w:rPr>
                <w:sz w:val="20"/>
                <w:szCs w:val="20"/>
                <w:color w:val="auto"/>
              </w:rPr>
            </w:pPr>
            <w:r>
              <w:rPr>
                <w:rFonts w:ascii="Arial" w:cs="Arial" w:eastAsia="Arial" w:hAnsi="Arial"/>
                <w:sz w:val="12"/>
                <w:szCs w:val="12"/>
                <w:color w:val="auto"/>
                <w:w w:val="94"/>
              </w:rPr>
              <w:t>(State or other jurisdiction of</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780" w:type="dxa"/>
            <w:vAlign w:val="bottom"/>
          </w:tcPr>
          <w:p>
            <w:pPr>
              <w:jc w:val="center"/>
              <w:ind w:right="1868"/>
              <w:spacing w:after="0" w:line="135" w:lineRule="exact"/>
              <w:rPr>
                <w:sz w:val="20"/>
                <w:szCs w:val="20"/>
                <w:color w:val="auto"/>
              </w:rPr>
            </w:pPr>
            <w:r>
              <w:rPr>
                <w:rFonts w:ascii="Arial" w:cs="Arial" w:eastAsia="Arial" w:hAnsi="Arial"/>
                <w:sz w:val="12"/>
                <w:szCs w:val="12"/>
                <w:color w:val="auto"/>
                <w:w w:val="95"/>
              </w:rPr>
              <w:t>(I.R.S. Employer</w:t>
            </w:r>
          </w:p>
        </w:tc>
      </w:tr>
      <w:tr>
        <w:trPr>
          <w:trHeight w:val="155"/>
        </w:trPr>
        <w:tc>
          <w:tcPr>
            <w:tcW w:w="6440" w:type="dxa"/>
            <w:vAlign w:val="bottom"/>
            <w:gridSpan w:val="2"/>
          </w:tcPr>
          <w:p>
            <w:pPr>
              <w:jc w:val="center"/>
              <w:ind w:right="627"/>
              <w:spacing w:after="0"/>
              <w:rPr>
                <w:sz w:val="20"/>
                <w:szCs w:val="20"/>
                <w:color w:val="auto"/>
              </w:rPr>
            </w:pPr>
            <w:r>
              <w:rPr>
                <w:rFonts w:ascii="Arial" w:cs="Arial" w:eastAsia="Arial" w:hAnsi="Arial"/>
                <w:sz w:val="12"/>
                <w:szCs w:val="12"/>
                <w:color w:val="auto"/>
                <w:w w:val="93"/>
              </w:rPr>
              <w:t>incorporation or organization)</w:t>
            </w: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40" w:type="dxa"/>
            <w:vAlign w:val="bottom"/>
            <w:gridSpan w:val="2"/>
          </w:tcPr>
          <w:p>
            <w:pPr>
              <w:jc w:val="center"/>
              <w:ind w:right="1608"/>
              <w:spacing w:after="0"/>
              <w:rPr>
                <w:sz w:val="20"/>
                <w:szCs w:val="20"/>
                <w:color w:val="auto"/>
              </w:rPr>
            </w:pPr>
            <w:r>
              <w:rPr>
                <w:rFonts w:ascii="Arial" w:cs="Arial" w:eastAsia="Arial" w:hAnsi="Arial"/>
                <w:sz w:val="12"/>
                <w:szCs w:val="12"/>
                <w:color w:val="auto"/>
                <w:w w:val="95"/>
              </w:rPr>
              <w:t>Identification Number)</w:t>
            </w:r>
          </w:p>
        </w:tc>
      </w:tr>
      <w:tr>
        <w:trPr>
          <w:trHeight w:val="205"/>
        </w:trPr>
        <w:tc>
          <w:tcPr>
            <w:tcW w:w="8160" w:type="dxa"/>
            <w:vAlign w:val="bottom"/>
            <w:gridSpan w:val="6"/>
          </w:tcPr>
          <w:p>
            <w:pPr>
              <w:jc w:val="center"/>
              <w:ind w:left="3198"/>
              <w:spacing w:after="0"/>
              <w:rPr>
                <w:sz w:val="20"/>
                <w:szCs w:val="20"/>
                <w:color w:val="auto"/>
              </w:rPr>
            </w:pPr>
            <w:r>
              <w:rPr>
                <w:rFonts w:ascii="Arial" w:cs="Arial" w:eastAsia="Arial" w:hAnsi="Arial"/>
                <w:sz w:val="16"/>
                <w:szCs w:val="16"/>
                <w:b w:val="1"/>
                <w:bCs w:val="1"/>
                <w:color w:val="auto"/>
                <w:w w:val="99"/>
              </w:rPr>
              <w:t>5959 LAS COLINAS BOULEVARD, IRVING, TEXAS 75039-2298</w:t>
            </w:r>
          </w:p>
        </w:tc>
        <w:tc>
          <w:tcPr>
            <w:tcW w:w="2780" w:type="dxa"/>
            <w:vAlign w:val="bottom"/>
          </w:tcPr>
          <w:p>
            <w:pPr>
              <w:spacing w:after="0"/>
              <w:rPr>
                <w:sz w:val="17"/>
                <w:szCs w:val="17"/>
                <w:color w:val="auto"/>
              </w:rPr>
            </w:pPr>
          </w:p>
        </w:tc>
      </w:tr>
      <w:tr>
        <w:trPr>
          <w:trHeight w:val="164"/>
        </w:trPr>
        <w:tc>
          <w:tcPr>
            <w:tcW w:w="3540" w:type="dxa"/>
            <w:vAlign w:val="bottom"/>
          </w:tcPr>
          <w:p>
            <w:pPr>
              <w:spacing w:after="0"/>
              <w:rPr>
                <w:sz w:val="14"/>
                <w:szCs w:val="14"/>
                <w:color w:val="auto"/>
              </w:rPr>
            </w:pPr>
          </w:p>
        </w:tc>
        <w:tc>
          <w:tcPr>
            <w:tcW w:w="3700" w:type="dxa"/>
            <w:vAlign w:val="bottom"/>
            <w:gridSpan w:val="2"/>
          </w:tcPr>
          <w:p>
            <w:pPr>
              <w:jc w:val="center"/>
              <w:ind w:left="587"/>
              <w:spacing w:after="0"/>
              <w:rPr>
                <w:sz w:val="20"/>
                <w:szCs w:val="20"/>
                <w:color w:val="auto"/>
              </w:rPr>
            </w:pPr>
            <w:r>
              <w:rPr>
                <w:rFonts w:ascii="Arial" w:cs="Arial" w:eastAsia="Arial" w:hAnsi="Arial"/>
                <w:sz w:val="13"/>
                <w:szCs w:val="13"/>
                <w:color w:val="auto"/>
                <w:w w:val="93"/>
              </w:rPr>
              <w:t>(Address of principal executive offices) (Zip Code)</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tcPr>
          <w:p>
            <w:pPr>
              <w:spacing w:after="0"/>
              <w:rPr>
                <w:sz w:val="14"/>
                <w:szCs w:val="14"/>
                <w:color w:val="auto"/>
              </w:rPr>
            </w:pPr>
          </w:p>
        </w:tc>
      </w:tr>
      <w:tr>
        <w:trPr>
          <w:trHeight w:val="203"/>
        </w:trPr>
        <w:tc>
          <w:tcPr>
            <w:tcW w:w="6440" w:type="dxa"/>
            <w:vAlign w:val="bottom"/>
            <w:gridSpan w:val="2"/>
          </w:tcPr>
          <w:p>
            <w:pPr>
              <w:jc w:val="center"/>
              <w:ind w:left="4938"/>
              <w:spacing w:after="0"/>
              <w:rPr>
                <w:sz w:val="20"/>
                <w:szCs w:val="20"/>
                <w:color w:val="auto"/>
              </w:rPr>
            </w:pPr>
            <w:r>
              <w:rPr>
                <w:rFonts w:ascii="Arial" w:cs="Arial" w:eastAsia="Arial" w:hAnsi="Arial"/>
                <w:sz w:val="16"/>
                <w:szCs w:val="16"/>
                <w:b w:val="1"/>
                <w:bCs w:val="1"/>
                <w:color w:val="auto"/>
                <w:w w:val="93"/>
              </w:rPr>
              <w:t>(972) 444-1000</w:t>
            </w: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164"/>
        </w:trPr>
        <w:tc>
          <w:tcPr>
            <w:tcW w:w="3540" w:type="dxa"/>
            <w:vAlign w:val="bottom"/>
          </w:tcPr>
          <w:p>
            <w:pPr>
              <w:spacing w:after="0"/>
              <w:rPr>
                <w:sz w:val="14"/>
                <w:szCs w:val="14"/>
                <w:color w:val="auto"/>
              </w:rPr>
            </w:pPr>
          </w:p>
        </w:tc>
        <w:tc>
          <w:tcPr>
            <w:tcW w:w="3700" w:type="dxa"/>
            <w:vAlign w:val="bottom"/>
            <w:gridSpan w:val="2"/>
          </w:tcPr>
          <w:p>
            <w:pPr>
              <w:jc w:val="center"/>
              <w:ind w:left="587"/>
              <w:spacing w:after="0"/>
              <w:rPr>
                <w:sz w:val="20"/>
                <w:szCs w:val="20"/>
                <w:color w:val="auto"/>
              </w:rPr>
            </w:pPr>
            <w:r>
              <w:rPr>
                <w:rFonts w:ascii="Arial" w:cs="Arial" w:eastAsia="Arial" w:hAnsi="Arial"/>
                <w:sz w:val="13"/>
                <w:szCs w:val="13"/>
                <w:color w:val="auto"/>
                <w:w w:val="90"/>
              </w:rPr>
              <w:t>(Registrant’s telephone number, including area code)</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tcPr>
          <w:p>
            <w:pPr>
              <w:spacing w:after="0"/>
              <w:rPr>
                <w:sz w:val="14"/>
                <w:szCs w:val="14"/>
                <w:color w:val="auto"/>
              </w:rPr>
            </w:pPr>
          </w:p>
        </w:tc>
      </w:tr>
      <w:tr>
        <w:trPr>
          <w:trHeight w:val="60"/>
        </w:trPr>
        <w:tc>
          <w:tcPr>
            <w:tcW w:w="3540" w:type="dxa"/>
            <w:vAlign w:val="bottom"/>
          </w:tcPr>
          <w:p>
            <w:pPr>
              <w:spacing w:after="0"/>
              <w:rPr>
                <w:sz w:val="5"/>
                <w:szCs w:val="5"/>
                <w:color w:val="auto"/>
              </w:rPr>
            </w:pPr>
          </w:p>
        </w:tc>
        <w:tc>
          <w:tcPr>
            <w:tcW w:w="4320" w:type="dxa"/>
            <w:vAlign w:val="bottom"/>
            <w:tcBorders>
              <w:bottom w:val="single" w:sz="8" w:color="auto"/>
            </w:tcBorders>
            <w:gridSpan w:val="3"/>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780" w:type="dxa"/>
            <w:vAlign w:val="bottom"/>
          </w:tcPr>
          <w:p>
            <w:pPr>
              <w:spacing w:after="0"/>
              <w:rPr>
                <w:sz w:val="5"/>
                <w:szCs w:val="5"/>
                <w:color w:val="auto"/>
              </w:rPr>
            </w:pPr>
          </w:p>
        </w:tc>
      </w:tr>
      <w:tr>
        <w:trPr>
          <w:trHeight w:val="212"/>
        </w:trPr>
        <w:tc>
          <w:tcPr>
            <w:tcW w:w="3540" w:type="dxa"/>
            <w:vAlign w:val="bottom"/>
          </w:tcPr>
          <w:p>
            <w:pPr>
              <w:spacing w:after="0"/>
              <w:rPr>
                <w:sz w:val="18"/>
                <w:szCs w:val="18"/>
                <w:color w:val="auto"/>
              </w:rPr>
            </w:pPr>
          </w:p>
        </w:tc>
        <w:tc>
          <w:tcPr>
            <w:tcW w:w="4320" w:type="dxa"/>
            <w:vAlign w:val="bottom"/>
            <w:gridSpan w:val="3"/>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193"/>
        </w:trPr>
        <w:tc>
          <w:tcPr>
            <w:tcW w:w="35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tcPr>
          <w:p>
            <w:pPr>
              <w:jc w:val="center"/>
              <w:ind w:left="968"/>
              <w:spacing w:after="0"/>
              <w:rPr>
                <w:sz w:val="20"/>
                <w:szCs w:val="20"/>
                <w:color w:val="auto"/>
              </w:rPr>
            </w:pPr>
            <w:r>
              <w:rPr>
                <w:rFonts w:ascii="Arial" w:cs="Arial" w:eastAsia="Arial" w:hAnsi="Arial"/>
                <w:sz w:val="13"/>
                <w:szCs w:val="13"/>
                <w:color w:val="auto"/>
                <w:w w:val="90"/>
              </w:rPr>
              <w:t>Name of Each Exchange</w:t>
            </w:r>
          </w:p>
        </w:tc>
      </w:tr>
      <w:tr>
        <w:trPr>
          <w:trHeight w:val="151"/>
        </w:trPr>
        <w:tc>
          <w:tcPr>
            <w:tcW w:w="64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Title of Each Class</w:t>
            </w:r>
          </w:p>
        </w:tc>
        <w:tc>
          <w:tcPr>
            <w:tcW w:w="8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tcPr>
          <w:p>
            <w:pPr>
              <w:jc w:val="center"/>
              <w:ind w:left="968"/>
              <w:spacing w:after="0"/>
              <w:rPr>
                <w:sz w:val="20"/>
                <w:szCs w:val="20"/>
                <w:color w:val="auto"/>
              </w:rPr>
            </w:pPr>
            <w:r>
              <w:rPr>
                <w:rFonts w:ascii="Arial" w:cs="Arial" w:eastAsia="Arial" w:hAnsi="Arial"/>
                <w:sz w:val="13"/>
                <w:szCs w:val="13"/>
                <w:color w:val="auto"/>
                <w:w w:val="91"/>
              </w:rPr>
              <w:t>on Which Registered</w:t>
            </w:r>
          </w:p>
        </w:tc>
      </w:tr>
      <w:tr>
        <w:trPr>
          <w:trHeight w:val="204"/>
        </w:trPr>
        <w:tc>
          <w:tcPr>
            <w:tcW w:w="6440" w:type="dxa"/>
            <w:vAlign w:val="bottom"/>
            <w:gridSpan w:val="2"/>
          </w:tcPr>
          <w:p>
            <w:pPr>
              <w:spacing w:after="0"/>
              <w:rPr>
                <w:sz w:val="20"/>
                <w:szCs w:val="20"/>
                <w:color w:val="auto"/>
              </w:rPr>
            </w:pPr>
            <w:r>
              <w:rPr>
                <w:rFonts w:ascii="Arial" w:cs="Arial" w:eastAsia="Arial" w:hAnsi="Arial"/>
                <w:sz w:val="16"/>
                <w:szCs w:val="16"/>
                <w:b w:val="1"/>
                <w:bCs w:val="1"/>
                <w:color w:val="auto"/>
                <w:w w:val="94"/>
              </w:rPr>
              <w:t>Common Stock, without par value (4,194,690,266 shares outstanding at January 31, 2015)</w:t>
            </w: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tcPr>
          <w:p>
            <w:pPr>
              <w:ind w:left="540"/>
              <w:spacing w:after="0"/>
              <w:rPr>
                <w:sz w:val="20"/>
                <w:szCs w:val="20"/>
                <w:color w:val="auto"/>
              </w:rPr>
            </w:pPr>
            <w:r>
              <w:rPr>
                <w:rFonts w:ascii="Arial" w:cs="Arial" w:eastAsia="Arial" w:hAnsi="Arial"/>
                <w:sz w:val="16"/>
                <w:szCs w:val="16"/>
                <w:b w:val="1"/>
                <w:bCs w:val="1"/>
                <w:color w:val="auto"/>
              </w:rPr>
              <w:t>New York Stock Exchange</w:t>
            </w:r>
          </w:p>
        </w:tc>
      </w:tr>
      <w:tr>
        <w:trPr>
          <w:trHeight w:val="253"/>
        </w:trPr>
        <w:tc>
          <w:tcPr>
            <w:tcW w:w="7240" w:type="dxa"/>
            <w:vAlign w:val="bottom"/>
            <w:gridSpan w:val="3"/>
          </w:tcPr>
          <w:p>
            <w:pPr>
              <w:ind w:left="200"/>
              <w:spacing w:after="0"/>
              <w:rPr>
                <w:sz w:val="20"/>
                <w:szCs w:val="20"/>
                <w:color w:val="auto"/>
              </w:rPr>
            </w:pPr>
            <w:r>
              <w:rPr>
                <w:rFonts w:ascii="Arial" w:cs="Arial" w:eastAsia="Arial" w:hAnsi="Arial"/>
                <w:sz w:val="15"/>
                <w:szCs w:val="15"/>
                <w:color w:val="auto"/>
                <w:w w:val="90"/>
              </w:rPr>
              <w:t>Indicate by check mark if the registrant is a well-known seasoned issuer, as defined in Rule 405 of the Securities Act.</w:t>
            </w:r>
          </w:p>
        </w:tc>
        <w:tc>
          <w:tcPr>
            <w:tcW w:w="620" w:type="dxa"/>
            <w:vAlign w:val="bottom"/>
          </w:tcPr>
          <w:p>
            <w:pP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No</w:t>
            </w:r>
          </w:p>
        </w:tc>
        <w:tc>
          <w:tcPr>
            <w:tcW w:w="2780" w:type="dxa"/>
            <w:vAlign w:val="bottom"/>
          </w:tcPr>
          <w:p>
            <w:pPr>
              <w:ind w:left="20"/>
              <w:spacing w:after="0" w:line="151" w:lineRule="exact"/>
              <w:rPr>
                <w:sz w:val="20"/>
                <w:szCs w:val="20"/>
                <w:color w:val="auto"/>
              </w:rPr>
            </w:pPr>
            <w:r>
              <w:rPr>
                <w:rFonts w:ascii="MS PGothic" w:cs="MS PGothic" w:eastAsia="MS PGothic" w:hAnsi="MS PGothic"/>
                <w:sz w:val="15"/>
                <w:szCs w:val="15"/>
                <w:color w:val="auto"/>
              </w:rPr>
              <w:t>☐</w:t>
            </w:r>
          </w:p>
        </w:tc>
      </w:tr>
      <w:tr>
        <w:trPr>
          <w:trHeight w:val="257"/>
        </w:trPr>
        <w:tc>
          <w:tcPr>
            <w:tcW w:w="7240" w:type="dxa"/>
            <w:vAlign w:val="bottom"/>
            <w:gridSpan w:val="3"/>
          </w:tcPr>
          <w:p>
            <w:pPr>
              <w:ind w:left="200"/>
              <w:spacing w:after="0"/>
              <w:rPr>
                <w:sz w:val="20"/>
                <w:szCs w:val="20"/>
                <w:color w:val="auto"/>
              </w:rPr>
            </w:pPr>
            <w:r>
              <w:rPr>
                <w:rFonts w:ascii="Arial" w:cs="Arial" w:eastAsia="Arial" w:hAnsi="Arial"/>
                <w:sz w:val="15"/>
                <w:szCs w:val="15"/>
                <w:color w:val="auto"/>
                <w:w w:val="89"/>
              </w:rPr>
              <w:t>Indicate by check mark if the registrant is not required to file reports pursuant to Section 13 or Section 15(d) of the Act.</w:t>
            </w:r>
          </w:p>
        </w:tc>
        <w:tc>
          <w:tcPr>
            <w:tcW w:w="620" w:type="dxa"/>
            <w:vAlign w:val="bottom"/>
          </w:tcPr>
          <w:p>
            <w:pPr>
              <w:ind w:left="140"/>
              <w:spacing w:after="0" w:line="173" w:lineRule="exact"/>
              <w:rPr>
                <w:sz w:val="20"/>
                <w:szCs w:val="20"/>
                <w:color w:val="auto"/>
              </w:rPr>
            </w:pPr>
            <w:r>
              <w:rPr>
                <w:rFonts w:ascii="Arial" w:cs="Arial" w:eastAsia="Arial" w:hAnsi="Arial"/>
                <w:sz w:val="15"/>
                <w:szCs w:val="15"/>
                <w:color w:val="auto"/>
                <w:w w:val="93"/>
              </w:rPr>
              <w:t xml:space="preserve">Yes  </w:t>
            </w:r>
            <w:r>
              <w:rPr>
                <w:rFonts w:ascii="MS PGothic" w:cs="MS PGothic" w:eastAsia="MS PGothic" w:hAnsi="MS PGothic"/>
                <w:sz w:val="15"/>
                <w:szCs w:val="15"/>
                <w:color w:val="auto"/>
                <w:w w:val="93"/>
              </w:rPr>
              <w:t>☐</w:t>
            </w:r>
          </w:p>
        </w:tc>
        <w:tc>
          <w:tcPr>
            <w:tcW w:w="40" w:type="dxa"/>
            <w:vAlign w:val="bottom"/>
          </w:tcPr>
          <w:p>
            <w:pPr>
              <w:spacing w:after="0"/>
              <w:rPr>
                <w:sz w:val="22"/>
                <w:szCs w:val="22"/>
                <w:color w:val="auto"/>
              </w:rPr>
            </w:pPr>
          </w:p>
        </w:tc>
        <w:tc>
          <w:tcPr>
            <w:tcW w:w="260" w:type="dxa"/>
            <w:vAlign w:val="bottom"/>
          </w:tcPr>
          <w:p>
            <w:pPr>
              <w:ind w:left="80"/>
              <w:spacing w:after="0"/>
              <w:rPr>
                <w:sz w:val="20"/>
                <w:szCs w:val="20"/>
                <w:color w:val="auto"/>
              </w:rPr>
            </w:pPr>
            <w:r>
              <w:rPr>
                <w:rFonts w:ascii="Arial" w:cs="Arial" w:eastAsia="Arial" w:hAnsi="Arial"/>
                <w:sz w:val="15"/>
                <w:szCs w:val="15"/>
                <w:color w:val="auto"/>
                <w:w w:val="83"/>
              </w:rPr>
              <w:t>No</w:t>
            </w:r>
          </w:p>
        </w:tc>
        <w:tc>
          <w:tcPr>
            <w:tcW w:w="2780" w:type="dxa"/>
            <w:vAlign w:val="bottom"/>
          </w:tcPr>
          <w:p>
            <w:pPr>
              <w:ind w:left="120"/>
              <w:spacing w:after="0" w:line="151" w:lineRule="exact"/>
              <w:rPr>
                <w:sz w:val="20"/>
                <w:szCs w:val="20"/>
                <w:color w:val="auto"/>
              </w:rPr>
            </w:pPr>
            <w:r>
              <w:rPr>
                <w:rFonts w:ascii="MS PGothic" w:cs="MS PGothic" w:eastAsia="MS PGothic" w:hAnsi="MS PGothic"/>
                <w:sz w:val="15"/>
                <w:szCs w:val="15"/>
                <w:color w:val="auto"/>
              </w:rPr>
              <w:t>☑</w:t>
            </w:r>
          </w:p>
        </w:tc>
      </w:tr>
    </w:tbl>
    <w:p>
      <w:pPr>
        <w:spacing w:after="0" w:line="54" w:lineRule="exact"/>
        <w:rPr>
          <w:sz w:val="24"/>
          <w:szCs w:val="24"/>
          <w:color w:val="auto"/>
        </w:rPr>
      </w:pPr>
    </w:p>
    <w:p>
      <w:pPr>
        <w:jc w:val="both"/>
        <w:ind w:firstLine="200"/>
        <w:spacing w:after="0" w:line="19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ind w:right="20" w:firstLine="200"/>
        <w:spacing w:after="0" w:line="194"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5" w:lineRule="exact"/>
        <w:rPr>
          <w:sz w:val="24"/>
          <w:szCs w:val="24"/>
          <w:color w:val="auto"/>
        </w:rPr>
      </w:pPr>
    </w:p>
    <w:p>
      <w:pPr>
        <w:ind w:firstLine="200"/>
        <w:spacing w:after="0" w:line="194"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54" w:lineRule="exact"/>
        <w:rPr>
          <w:sz w:val="24"/>
          <w:szCs w:val="24"/>
          <w:color w:val="auto"/>
        </w:rPr>
      </w:pPr>
    </w:p>
    <w:p>
      <w:pPr>
        <w:ind w:right="40" w:firstLine="200"/>
        <w:spacing w:after="0" w:line="27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 filer,” “accelerated filer,” and “smaller reporting company” in Rule 12b-2 of the Exchange Act.</w:t>
      </w:r>
    </w:p>
    <w:p>
      <w:pPr>
        <w:sectPr>
          <w:pgSz w:w="11900" w:h="16838" w:orient="portrait"/>
          <w:cols w:equalWidth="0" w:num="1">
            <w:col w:w="10940"/>
          </w:cols>
          <w:pgMar w:left="820" w:top="1120" w:right="139" w:bottom="1440" w:gutter="0" w:footer="0" w:header="0"/>
        </w:sectPr>
      </w:pPr>
    </w:p>
    <w:p>
      <w:pPr>
        <w:spacing w:after="0" w:line="230" w:lineRule="exact"/>
        <w:rPr>
          <w:sz w:val="24"/>
          <w:szCs w:val="24"/>
          <w:color w:val="auto"/>
        </w:rPr>
      </w:pPr>
    </w:p>
    <w:p>
      <w:pPr>
        <w:ind w:left="404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5360" w:space="100"/>
            <w:col w:w="140" w:space="500"/>
            <w:col w:w="980" w:space="120"/>
            <w:col w:w="3740"/>
          </w:cols>
          <w:pgMar w:left="820" w:top="1120" w:right="139" w:bottom="1440" w:gutter="0" w:footer="0" w:header="0"/>
          <w:type w:val="continuous"/>
        </w:sectPr>
      </w:pPr>
    </w:p>
    <w:p>
      <w:pPr>
        <w:spacing w:after="0" w:line="28" w:lineRule="exact"/>
        <w:rPr>
          <w:sz w:val="24"/>
          <w:szCs w:val="24"/>
          <w:color w:val="auto"/>
        </w:rPr>
      </w:pPr>
    </w:p>
    <w:p>
      <w:pPr>
        <w:ind w:left="380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5040" w:space="100"/>
            <w:col w:w="140" w:space="440"/>
            <w:col w:w="1620" w:space="100"/>
            <w:col w:w="3500"/>
          </w:cols>
          <w:pgMar w:left="820" w:top="1120" w:right="139" w:bottom="1440" w:gutter="0" w:footer="0" w:header="0"/>
          <w:type w:val="continuous"/>
        </w:sectPr>
      </w:pPr>
    </w:p>
    <w:p>
      <w:pPr>
        <w:spacing w:after="0" w:line="28" w:lineRule="exact"/>
        <w:rPr>
          <w:sz w:val="24"/>
          <w:szCs w:val="24"/>
          <w:color w:val="auto"/>
        </w:rPr>
      </w:pPr>
    </w:p>
    <w:p>
      <w:pPr>
        <w:ind w:left="200"/>
        <w:spacing w:after="0"/>
        <w:rPr>
          <w:sz w:val="20"/>
          <w:szCs w:val="20"/>
          <w:color w:val="auto"/>
        </w:rPr>
      </w:pPr>
      <w:r>
        <w:rPr>
          <w:rFonts w:ascii="Arial" w:cs="Arial" w:eastAsia="Arial" w:hAnsi="Arial"/>
          <w:sz w:val="13"/>
          <w:szCs w:val="13"/>
          <w:color w:val="auto"/>
        </w:rPr>
        <w:t>Indicate by check mark whether the registrant is a shell company (as defined by Rule 12b-2 of the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44" w:lineRule="exact"/>
        <w:rPr>
          <w:sz w:val="24"/>
          <w:szCs w:val="24"/>
          <w:color w:val="auto"/>
        </w:rPr>
      </w:pPr>
    </w:p>
    <w:p>
      <w:pPr>
        <w:sectPr>
          <w:pgSz w:w="11900" w:h="16838" w:orient="portrait"/>
          <w:cols w:equalWidth="0" w:num="5">
            <w:col w:w="6300" w:space="140"/>
            <w:col w:w="200" w:space="120"/>
            <w:col w:w="140" w:space="180"/>
            <w:col w:w="180" w:space="100"/>
            <w:col w:w="3580"/>
          </w:cols>
          <w:pgMar w:left="820" w:top="1120" w:right="139" w:bottom="1440" w:gutter="0" w:footer="0" w:header="0"/>
          <w:type w:val="continuous"/>
        </w:sectPr>
      </w:pPr>
    </w:p>
    <w:p>
      <w:pPr>
        <w:ind w:firstLine="200"/>
        <w:spacing w:after="0" w:line="257" w:lineRule="auto"/>
        <w:rPr>
          <w:sz w:val="20"/>
          <w:szCs w:val="20"/>
          <w:color w:val="auto"/>
        </w:rPr>
      </w:pPr>
      <w:r>
        <w:rPr>
          <w:rFonts w:ascii="Arial" w:cs="Arial" w:eastAsia="Arial" w:hAnsi="Arial"/>
          <w:sz w:val="15"/>
          <w:szCs w:val="15"/>
          <w:color w:val="auto"/>
        </w:rPr>
        <w:t>The aggregate market value of the voting stock held by non-affiliates of the registrant on June 30, 2014, the last business day of the registrant’s most recently completed second fiscal based on the closing price on that date of $100.68 on the New York Stock Exchange composite tape, was in excess of $429 billion.</w:t>
      </w:r>
    </w:p>
    <w:p>
      <w:pPr>
        <w:spacing w:after="0" w:line="1" w:lineRule="exact"/>
        <w:rPr>
          <w:sz w:val="24"/>
          <w:szCs w:val="24"/>
          <w:color w:val="auto"/>
        </w:rPr>
      </w:pPr>
    </w:p>
    <w:p>
      <w:pPr>
        <w:ind w:left="1780"/>
        <w:spacing w:after="0"/>
        <w:rPr>
          <w:sz w:val="20"/>
          <w:szCs w:val="20"/>
          <w:color w:val="auto"/>
        </w:rPr>
      </w:pPr>
      <w:r>
        <w:rPr>
          <w:rFonts w:ascii="Arial" w:cs="Arial" w:eastAsia="Arial" w:hAnsi="Arial"/>
          <w:sz w:val="16"/>
          <w:szCs w:val="16"/>
          <w:b w:val="1"/>
          <w:bCs w:val="1"/>
          <w:color w:val="auto"/>
        </w:rPr>
        <w:t>Documents Incorporated by Reference: Proxy Statement for the 2015 Annual Meeting of Shareholders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57785</wp:posOffset>
            </wp:positionV>
            <wp:extent cx="69430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4309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96520</wp:posOffset>
            </wp:positionV>
            <wp:extent cx="69430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43090" cy="7620"/>
                    </a:xfrm>
                    <a:prstGeom prst="rect">
                      <a:avLst/>
                    </a:prstGeom>
                    <a:noFill/>
                  </pic:spPr>
                </pic:pic>
              </a:graphicData>
            </a:graphic>
          </wp:anchor>
        </w:drawing>
        <w:drawing>
          <wp:anchor simplePos="0" relativeHeight="251657728" behindDoc="1" locked="0" layoutInCell="0" allowOverlap="1">
            <wp:simplePos x="0" y="0"/>
            <wp:positionH relativeFrom="column">
              <wp:posOffset>-371475</wp:posOffset>
            </wp:positionH>
            <wp:positionV relativeFrom="paragraph">
              <wp:posOffset>638810</wp:posOffset>
            </wp:positionV>
            <wp:extent cx="727964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1120" w:right="139" w:bottom="1440" w:gutter="0" w:footer="0" w:header="0"/>
          <w:type w:val="continuous"/>
        </w:sectPr>
      </w:pPr>
    </w:p>
    <w:bookmarkStart w:id="1" w:name="page2"/>
    <w:bookmarkEnd w:id="1"/>
    <w:p>
      <w:pPr>
        <w:jc w:val="center"/>
        <w:ind w:right="-1340"/>
        <w:spacing w:after="0"/>
        <w:rPr>
          <w:sz w:val="20"/>
          <w:szCs w:val="20"/>
          <w:color w:val="auto"/>
        </w:rPr>
      </w:pPr>
      <w:r>
        <w:rPr>
          <w:rFonts w:ascii="Arial" w:cs="Arial" w:eastAsia="Arial" w:hAnsi="Arial"/>
          <w:sz w:val="16"/>
          <w:szCs w:val="16"/>
          <w:b w:val="1"/>
          <w:bCs w:val="1"/>
          <w:color w:val="auto"/>
        </w:rPr>
        <w:t>EXXON MOBIL CORPORATION</w:t>
      </w:r>
    </w:p>
    <w:p>
      <w:pPr>
        <w:spacing w:after="0" w:line="28" w:lineRule="exact"/>
        <w:rPr>
          <w:sz w:val="20"/>
          <w:szCs w:val="20"/>
          <w:color w:val="auto"/>
        </w:rPr>
      </w:pPr>
    </w:p>
    <w:p>
      <w:pPr>
        <w:jc w:val="center"/>
        <w:ind w:right="-1340"/>
        <w:spacing w:after="0"/>
        <w:rPr>
          <w:sz w:val="20"/>
          <w:szCs w:val="20"/>
          <w:color w:val="auto"/>
        </w:rPr>
      </w:pPr>
      <w:r>
        <w:rPr>
          <w:rFonts w:ascii="Arial" w:cs="Arial" w:eastAsia="Arial" w:hAnsi="Arial"/>
          <w:sz w:val="16"/>
          <w:szCs w:val="16"/>
          <w:b w:val="1"/>
          <w:bCs w:val="1"/>
          <w:color w:val="auto"/>
        </w:rPr>
        <w:t>FORM 10-K</w:t>
      </w:r>
    </w:p>
    <w:p>
      <w:pPr>
        <w:spacing w:after="0" w:line="12" w:lineRule="exact"/>
        <w:rPr>
          <w:sz w:val="20"/>
          <w:szCs w:val="20"/>
          <w:color w:val="auto"/>
        </w:rPr>
      </w:pPr>
    </w:p>
    <w:p>
      <w:pPr>
        <w:jc w:val="center"/>
        <w:ind w:right="-1340"/>
        <w:spacing w:after="0"/>
        <w:rPr>
          <w:sz w:val="20"/>
          <w:szCs w:val="20"/>
          <w:color w:val="auto"/>
        </w:rPr>
      </w:pPr>
      <w:r>
        <w:rPr>
          <w:rFonts w:ascii="Arial" w:cs="Arial" w:eastAsia="Arial" w:hAnsi="Arial"/>
          <w:sz w:val="16"/>
          <w:szCs w:val="16"/>
          <w:b w:val="1"/>
          <w:bCs w:val="1"/>
          <w:color w:val="auto"/>
        </w:rPr>
        <w:t>FOR THE FISCAL YEAR ENDED DECEMBER 31, 2014</w:t>
      </w:r>
    </w:p>
    <w:p>
      <w:pPr>
        <w:spacing w:after="0" w:line="144"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TABLE OF CONTENTS</w:t>
      </w:r>
    </w:p>
    <w:p>
      <w:pPr>
        <w:spacing w:after="0" w:line="200" w:lineRule="exact"/>
        <w:rPr>
          <w:sz w:val="20"/>
          <w:szCs w:val="20"/>
          <w:color w:val="auto"/>
        </w:rPr>
      </w:pPr>
    </w:p>
    <w:p>
      <w:pPr>
        <w:spacing w:after="0" w:line="204" w:lineRule="exact"/>
        <w:rPr>
          <w:sz w:val="20"/>
          <w:szCs w:val="20"/>
          <w:color w:val="auto"/>
        </w:rPr>
      </w:pPr>
    </w:p>
    <w:p>
      <w:pPr>
        <w:ind w:left="5440"/>
        <w:spacing w:after="0"/>
        <w:rPr>
          <w:sz w:val="20"/>
          <w:szCs w:val="20"/>
          <w:color w:val="auto"/>
        </w:rPr>
      </w:pPr>
      <w:r>
        <w:rPr>
          <w:rFonts w:ascii="Arial" w:cs="Arial" w:eastAsia="Arial" w:hAnsi="Arial"/>
          <w:sz w:val="16"/>
          <w:szCs w:val="16"/>
          <w:b w:val="1"/>
          <w:bCs w:val="1"/>
          <w:color w:val="auto"/>
        </w:rPr>
        <w:t>PART 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Item 1.</w:t>
      </w:r>
      <w:r>
        <w:rPr>
          <w:sz w:val="20"/>
          <w:szCs w:val="20"/>
          <w:color w:val="auto"/>
        </w:rPr>
        <w:tab/>
      </w:r>
      <w:r>
        <w:rPr>
          <w:rFonts w:ascii="Arial" w:cs="Arial" w:eastAsia="Arial" w:hAnsi="Arial"/>
          <w:sz w:val="14"/>
          <w:szCs w:val="14"/>
          <w:color w:val="auto"/>
        </w:rPr>
        <w:t>Business</w:t>
      </w:r>
    </w:p>
    <w:p>
      <w:pPr>
        <w:spacing w:after="0" w:line="98"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Item 1A.</w:t>
      </w:r>
      <w:r>
        <w:rPr>
          <w:sz w:val="20"/>
          <w:szCs w:val="20"/>
          <w:color w:val="auto"/>
        </w:rPr>
        <w:tab/>
      </w:r>
      <w:r>
        <w:rPr>
          <w:rFonts w:ascii="Arial" w:cs="Arial" w:eastAsia="Arial" w:hAnsi="Arial"/>
          <w:sz w:val="14"/>
          <w:szCs w:val="14"/>
          <w:color w:val="auto"/>
        </w:rPr>
        <w:t>Risk Factors</w:t>
      </w:r>
    </w:p>
    <w:p>
      <w:pPr>
        <w:spacing w:after="0" w:line="98"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Item 1B.</w:t>
      </w:r>
      <w:r>
        <w:rPr>
          <w:sz w:val="20"/>
          <w:szCs w:val="20"/>
          <w:color w:val="auto"/>
        </w:rPr>
        <w:tab/>
      </w:r>
      <w:r>
        <w:rPr>
          <w:rFonts w:ascii="Arial" w:cs="Arial" w:eastAsia="Arial" w:hAnsi="Arial"/>
          <w:sz w:val="14"/>
          <w:szCs w:val="14"/>
          <w:color w:val="auto"/>
        </w:rPr>
        <w:t>Unresolved Staff Comments</w:t>
      </w:r>
    </w:p>
    <w:p>
      <w:pPr>
        <w:spacing w:after="0" w:line="98"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4"/>
          <w:szCs w:val="14"/>
          <w:color w:val="auto"/>
        </w:rPr>
        <w:t>Properties</w:t>
      </w:r>
    </w:p>
    <w:p>
      <w:pPr>
        <w:spacing w:after="0" w:line="98"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Item 3.</w:t>
      </w:r>
      <w:r>
        <w:rPr>
          <w:sz w:val="20"/>
          <w:szCs w:val="20"/>
          <w:color w:val="auto"/>
        </w:rPr>
        <w:tab/>
      </w:r>
      <w:r>
        <w:rPr>
          <w:rFonts w:ascii="Arial" w:cs="Arial" w:eastAsia="Arial" w:hAnsi="Arial"/>
          <w:sz w:val="14"/>
          <w:szCs w:val="14"/>
          <w:color w:val="auto"/>
        </w:rPr>
        <w:t>Legal Proceedings</w:t>
      </w:r>
    </w:p>
    <w:p>
      <w:pPr>
        <w:spacing w:after="0" w:line="98"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Item 4.</w:t>
      </w:r>
      <w:r>
        <w:rPr>
          <w:sz w:val="20"/>
          <w:szCs w:val="20"/>
          <w:color w:val="auto"/>
        </w:rPr>
        <w:tab/>
      </w:r>
      <w:r>
        <w:rPr>
          <w:rFonts w:ascii="Arial" w:cs="Arial" w:eastAsia="Arial" w:hAnsi="Arial"/>
          <w:sz w:val="15"/>
          <w:szCs w:val="15"/>
          <w:color w:val="auto"/>
        </w:rPr>
        <w:t>Mine Safety Disclosures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Officers of the Registrant [pursuant to Instruction 3 to Regulation S-K, Item 401(b)]</w:t>
      </w:r>
    </w:p>
    <w:p>
      <w:pPr>
        <w:spacing w:after="0" w:line="216" w:lineRule="exact"/>
        <w:rPr>
          <w:sz w:val="20"/>
          <w:szCs w:val="20"/>
          <w:color w:val="auto"/>
        </w:rPr>
      </w:pPr>
    </w:p>
    <w:p>
      <w:pPr>
        <w:ind w:left="5420"/>
        <w:spacing w:after="0"/>
        <w:rPr>
          <w:sz w:val="20"/>
          <w:szCs w:val="20"/>
          <w:color w:val="auto"/>
        </w:rPr>
      </w:pPr>
      <w:r>
        <w:rPr>
          <w:rFonts w:ascii="Arial" w:cs="Arial" w:eastAsia="Arial" w:hAnsi="Arial"/>
          <w:sz w:val="16"/>
          <w:szCs w:val="16"/>
          <w:b w:val="1"/>
          <w:bCs w:val="1"/>
          <w:color w:val="auto"/>
        </w:rPr>
        <w:t>PART II</w:t>
      </w:r>
    </w:p>
    <w:p>
      <w:pPr>
        <w:spacing w:after="0" w:line="90"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Item 5.</w:t>
      </w:r>
      <w:r>
        <w:rPr>
          <w:sz w:val="20"/>
          <w:szCs w:val="20"/>
          <w:color w:val="auto"/>
        </w:rPr>
        <w:tab/>
      </w:r>
      <w:r>
        <w:rPr>
          <w:rFonts w:ascii="Arial" w:cs="Arial" w:eastAsia="Arial" w:hAnsi="Arial"/>
          <w:sz w:val="14"/>
          <w:szCs w:val="14"/>
          <w:color w:val="auto"/>
        </w:rPr>
        <w:t>Market for Registrant’s Common Equity, Related Stockholder Matters and Issuer Purchases of Equity Securities</w:t>
      </w:r>
    </w:p>
    <w:p>
      <w:pPr>
        <w:spacing w:after="0" w:line="98"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Item 6.</w:t>
      </w:r>
      <w:r>
        <w:rPr>
          <w:sz w:val="20"/>
          <w:szCs w:val="20"/>
          <w:color w:val="auto"/>
        </w:rPr>
        <w:tab/>
      </w:r>
      <w:r>
        <w:rPr>
          <w:rFonts w:ascii="Arial" w:cs="Arial" w:eastAsia="Arial" w:hAnsi="Arial"/>
          <w:sz w:val="14"/>
          <w:szCs w:val="14"/>
          <w:color w:val="auto"/>
        </w:rPr>
        <w:t>Selected Financial Data</w:t>
      </w:r>
    </w:p>
    <w:p>
      <w:pPr>
        <w:spacing w:after="0" w:line="98"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Item 7.</w:t>
      </w:r>
      <w:r>
        <w:rPr>
          <w:sz w:val="20"/>
          <w:szCs w:val="20"/>
          <w:color w:val="auto"/>
        </w:rPr>
        <w:tab/>
      </w:r>
      <w:r>
        <w:rPr>
          <w:rFonts w:ascii="Arial" w:cs="Arial" w:eastAsia="Arial" w:hAnsi="Arial"/>
          <w:sz w:val="14"/>
          <w:szCs w:val="14"/>
          <w:color w:val="auto"/>
        </w:rPr>
        <w:t>Management’s Discussion and Analysis of Financial Condition and Results of Operations</w:t>
      </w:r>
    </w:p>
    <w:p>
      <w:pPr>
        <w:spacing w:after="0" w:line="98"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Item 7A.</w:t>
      </w:r>
      <w:r>
        <w:rPr>
          <w:sz w:val="20"/>
          <w:szCs w:val="20"/>
          <w:color w:val="auto"/>
        </w:rPr>
        <w:tab/>
      </w:r>
      <w:r>
        <w:rPr>
          <w:rFonts w:ascii="Arial" w:cs="Arial" w:eastAsia="Arial" w:hAnsi="Arial"/>
          <w:sz w:val="15"/>
          <w:szCs w:val="15"/>
          <w:color w:val="auto"/>
        </w:rPr>
        <w:t>Quantitative and Qualitative Disclosures About Market Risk</w:t>
      </w:r>
    </w:p>
    <w:p>
      <w:pPr>
        <w:spacing w:after="0" w:line="98"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Item 8.</w:t>
      </w:r>
      <w:r>
        <w:rPr>
          <w:sz w:val="20"/>
          <w:szCs w:val="20"/>
          <w:color w:val="auto"/>
        </w:rPr>
        <w:tab/>
      </w:r>
      <w:r>
        <w:rPr>
          <w:rFonts w:ascii="Arial" w:cs="Arial" w:eastAsia="Arial" w:hAnsi="Arial"/>
          <w:sz w:val="14"/>
          <w:szCs w:val="14"/>
          <w:color w:val="auto"/>
        </w:rPr>
        <w:t>Financial Statements and Supplementary Data</w:t>
      </w:r>
    </w:p>
    <w:p>
      <w:pPr>
        <w:spacing w:after="0" w:line="98"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Item 9.</w:t>
      </w:r>
      <w:r>
        <w:rPr>
          <w:sz w:val="20"/>
          <w:szCs w:val="20"/>
          <w:color w:val="auto"/>
        </w:rPr>
        <w:tab/>
      </w:r>
      <w:r>
        <w:rPr>
          <w:rFonts w:ascii="Arial" w:cs="Arial" w:eastAsia="Arial" w:hAnsi="Arial"/>
          <w:sz w:val="14"/>
          <w:szCs w:val="14"/>
          <w:color w:val="auto"/>
        </w:rPr>
        <w:t>Changes in and Disagreements With Accountants on Accounting and Financial Disclosure</w:t>
      </w:r>
    </w:p>
    <w:p>
      <w:pPr>
        <w:spacing w:after="0" w:line="98"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Item 9A.</w:t>
      </w:r>
      <w:r>
        <w:rPr>
          <w:sz w:val="20"/>
          <w:szCs w:val="20"/>
          <w:color w:val="auto"/>
        </w:rPr>
        <w:tab/>
      </w:r>
      <w:r>
        <w:rPr>
          <w:rFonts w:ascii="Arial" w:cs="Arial" w:eastAsia="Arial" w:hAnsi="Arial"/>
          <w:sz w:val="14"/>
          <w:szCs w:val="14"/>
          <w:color w:val="auto"/>
        </w:rPr>
        <w:t>Controls and Procedures</w:t>
      </w:r>
    </w:p>
    <w:p>
      <w:pPr>
        <w:spacing w:after="0" w:line="98"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Item 9B.</w:t>
      </w:r>
      <w:r>
        <w:rPr>
          <w:sz w:val="20"/>
          <w:szCs w:val="20"/>
          <w:color w:val="auto"/>
        </w:rPr>
        <w:tab/>
      </w:r>
      <w:r>
        <w:rPr>
          <w:rFonts w:ascii="Arial" w:cs="Arial" w:eastAsia="Arial" w:hAnsi="Arial"/>
          <w:sz w:val="15"/>
          <w:szCs w:val="15"/>
          <w:color w:val="auto"/>
        </w:rPr>
        <w:t>Other Information</w:t>
      </w:r>
    </w:p>
    <w:p>
      <w:pPr>
        <w:spacing w:after="0" w:line="216"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PART III</w:t>
      </w:r>
    </w:p>
    <w:p>
      <w:pPr>
        <w:spacing w:after="0" w:line="90"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Item 10.</w:t>
      </w:r>
      <w:r>
        <w:rPr>
          <w:sz w:val="20"/>
          <w:szCs w:val="20"/>
          <w:color w:val="auto"/>
        </w:rPr>
        <w:tab/>
      </w:r>
      <w:r>
        <w:rPr>
          <w:rFonts w:ascii="Arial" w:cs="Arial" w:eastAsia="Arial" w:hAnsi="Arial"/>
          <w:sz w:val="14"/>
          <w:szCs w:val="14"/>
          <w:color w:val="auto"/>
        </w:rPr>
        <w:t>Directors, Executive Officers and Corporate Governance</w:t>
      </w:r>
    </w:p>
    <w:p>
      <w:pPr>
        <w:spacing w:after="0" w:line="98"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Item 11.</w:t>
      </w:r>
      <w:r>
        <w:rPr>
          <w:sz w:val="20"/>
          <w:szCs w:val="20"/>
          <w:color w:val="auto"/>
        </w:rPr>
        <w:tab/>
      </w:r>
      <w:r>
        <w:rPr>
          <w:rFonts w:ascii="Arial" w:cs="Arial" w:eastAsia="Arial" w:hAnsi="Arial"/>
          <w:sz w:val="14"/>
          <w:szCs w:val="14"/>
          <w:color w:val="auto"/>
        </w:rPr>
        <w:t>Executive Compensation</w:t>
      </w:r>
    </w:p>
    <w:p>
      <w:pPr>
        <w:spacing w:after="0" w:line="98"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Item 12.</w:t>
      </w:r>
      <w:r>
        <w:rPr>
          <w:sz w:val="20"/>
          <w:szCs w:val="20"/>
          <w:color w:val="auto"/>
        </w:rPr>
        <w:tab/>
      </w:r>
      <w:r>
        <w:rPr>
          <w:rFonts w:ascii="Arial" w:cs="Arial" w:eastAsia="Arial" w:hAnsi="Arial"/>
          <w:sz w:val="14"/>
          <w:szCs w:val="14"/>
          <w:color w:val="auto"/>
        </w:rPr>
        <w:t>Security Ownership of Certain Beneficial Owners and Management and Related Stockholder Matters</w:t>
      </w:r>
    </w:p>
    <w:p>
      <w:pPr>
        <w:spacing w:after="0" w:line="98"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Item 13.</w:t>
      </w:r>
      <w:r>
        <w:rPr>
          <w:sz w:val="20"/>
          <w:szCs w:val="20"/>
          <w:color w:val="auto"/>
        </w:rPr>
        <w:tab/>
      </w:r>
      <w:r>
        <w:rPr>
          <w:rFonts w:ascii="Arial" w:cs="Arial" w:eastAsia="Arial" w:hAnsi="Arial"/>
          <w:sz w:val="14"/>
          <w:szCs w:val="14"/>
          <w:color w:val="auto"/>
        </w:rPr>
        <w:t>Certain Relationships and Related Transactions, and Director Independence</w:t>
      </w:r>
    </w:p>
    <w:p>
      <w:pPr>
        <w:spacing w:after="0" w:line="98"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Item 14.</w:t>
      </w:r>
      <w:r>
        <w:rPr>
          <w:sz w:val="20"/>
          <w:szCs w:val="20"/>
          <w:color w:val="auto"/>
        </w:rPr>
        <w:tab/>
      </w:r>
      <w:r>
        <w:rPr>
          <w:rFonts w:ascii="Arial" w:cs="Arial" w:eastAsia="Arial" w:hAnsi="Arial"/>
          <w:sz w:val="14"/>
          <w:szCs w:val="14"/>
          <w:color w:val="auto"/>
        </w:rPr>
        <w:t>Principal Accounting Fees and Services</w:t>
      </w:r>
    </w:p>
    <w:p>
      <w:pPr>
        <w:spacing w:after="0" w:line="216"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PART IV</w:t>
      </w:r>
    </w:p>
    <w:p>
      <w:pPr>
        <w:spacing w:after="0" w:line="90"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Item 15.</w:t>
      </w:r>
      <w:r>
        <w:rPr>
          <w:sz w:val="20"/>
          <w:szCs w:val="20"/>
          <w:color w:val="auto"/>
        </w:rPr>
        <w:tab/>
      </w:r>
      <w:r>
        <w:rPr>
          <w:rFonts w:ascii="Arial" w:cs="Arial" w:eastAsia="Arial" w:hAnsi="Arial"/>
          <w:sz w:val="14"/>
          <w:szCs w:val="14"/>
          <w:color w:val="auto"/>
        </w:rPr>
        <w:t>Exhibits, Financial Statement Schedules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Financial Section</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Signatures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Index to Exhibits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Exhibit 12 — Computation of Ratio of Earnings to Fixed Charges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Exhibits 31 and 32 — Certifications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659130</wp:posOffset>
            </wp:positionV>
            <wp:extent cx="727964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9179"/>
          </w:cols>
          <w:pgMar w:left="1280" w:top="809" w:right="1440" w:bottom="1440" w:gutter="0" w:footer="0" w:header="0"/>
        </w:sectPr>
      </w:pPr>
    </w:p>
    <w:bookmarkStart w:id="2" w:name="page3"/>
    <w:bookmarkEnd w:id="2"/>
    <w:p>
      <w:pPr>
        <w:jc w:val="center"/>
        <w:ind w:left="1180"/>
        <w:spacing w:after="0"/>
        <w:rPr>
          <w:sz w:val="20"/>
          <w:szCs w:val="20"/>
          <w:color w:val="auto"/>
        </w:rPr>
      </w:pPr>
      <w:r>
        <w:rPr>
          <w:rFonts w:ascii="Arial" w:cs="Arial" w:eastAsia="Arial" w:hAnsi="Arial"/>
          <w:sz w:val="20"/>
          <w:szCs w:val="20"/>
          <w:b w:val="1"/>
          <w:bCs w:val="1"/>
          <w:color w:val="auto"/>
        </w:rPr>
        <w:t>PART I</w:t>
      </w:r>
    </w:p>
    <w:p>
      <w:pPr>
        <w:spacing w:after="0" w:line="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Exxon Mobil Corporation was incorporated in the State of New Jersey in 1882. Divisions and affiliated companies of ExxonMobil operate or market products in the States and most other countries of the world. Their principal business is energy, involving exploration for, and production of, crude oil and natural gas, manufac petroleum products and transportation and sale of crude oil, natural gas and petroleum products. ExxonMobil is a major manufacturer and marketer of com petrochemicals, including olefins, aromatics, polyethylene and polypropylene plastics and a wide variety of specialty products. Affiliates of ExxonMobil conduct ex research programs in support of these businesses.</w:t>
      </w:r>
    </w:p>
    <w:p>
      <w:pPr>
        <w:spacing w:after="0" w:line="46" w:lineRule="exact"/>
        <w:rPr>
          <w:sz w:val="20"/>
          <w:szCs w:val="20"/>
          <w:color w:val="auto"/>
        </w:rPr>
      </w:pPr>
    </w:p>
    <w:p>
      <w:pPr>
        <w:jc w:val="both"/>
        <w:ind w:firstLine="200"/>
        <w:spacing w:after="0" w:line="271" w:lineRule="auto"/>
        <w:rPr>
          <w:sz w:val="20"/>
          <w:szCs w:val="20"/>
          <w:color w:val="auto"/>
        </w:rPr>
      </w:pPr>
      <w:r>
        <w:rPr>
          <w:rFonts w:ascii="Arial" w:cs="Arial" w:eastAsia="Arial" w:hAnsi="Arial"/>
          <w:sz w:val="16"/>
          <w:szCs w:val="16"/>
          <w:color w:val="auto"/>
        </w:rPr>
        <w:t xml:space="preserve">Exxon Mobil Corporation has several divisions and hundreds of affiliates, many with names that include </w:t>
      </w:r>
      <w:r>
        <w:rPr>
          <w:rFonts w:ascii="Arial" w:cs="Arial" w:eastAsia="Arial" w:hAnsi="Arial"/>
          <w:sz w:val="16"/>
          <w:szCs w:val="16"/>
          <w:i w:val="1"/>
          <w:iCs w:val="1"/>
          <w:color w:val="auto"/>
        </w:rPr>
        <w:t>ExxonMobil</w:t>
      </w:r>
      <w:r>
        <w:rPr>
          <w:rFonts w:ascii="Arial" w:cs="Arial" w:eastAsia="Arial" w:hAnsi="Arial"/>
          <w:sz w:val="16"/>
          <w:szCs w:val="16"/>
          <w:color w:val="auto"/>
        </w:rPr>
        <w:t xml:space="preserve">, </w:t>
      </w:r>
      <w:r>
        <w:rPr>
          <w:rFonts w:ascii="Arial" w:cs="Arial" w:eastAsia="Arial" w:hAnsi="Arial"/>
          <w:sz w:val="16"/>
          <w:szCs w:val="16"/>
          <w:i w:val="1"/>
          <w:iCs w:val="1"/>
          <w:color w:val="auto"/>
        </w:rPr>
        <w:t>Exxon</w:t>
      </w:r>
      <w:r>
        <w:rPr>
          <w:rFonts w:ascii="Arial" w:cs="Arial" w:eastAsia="Arial" w:hAnsi="Arial"/>
          <w:sz w:val="16"/>
          <w:szCs w:val="16"/>
          <w:color w:val="auto"/>
        </w:rPr>
        <w:t xml:space="preserve">, </w:t>
      </w:r>
      <w:r>
        <w:rPr>
          <w:rFonts w:ascii="Arial" w:cs="Arial" w:eastAsia="Arial" w:hAnsi="Arial"/>
          <w:sz w:val="16"/>
          <w:szCs w:val="16"/>
          <w:i w:val="1"/>
          <w:iCs w:val="1"/>
          <w:color w:val="auto"/>
        </w:rPr>
        <w:t>Esso, Mobil</w:t>
      </w:r>
      <w:r>
        <w:rPr>
          <w:rFonts w:ascii="Arial" w:cs="Arial" w:eastAsia="Arial" w:hAnsi="Arial"/>
          <w:sz w:val="16"/>
          <w:szCs w:val="16"/>
          <w:color w:val="auto"/>
        </w:rPr>
        <w:t xml:space="preserve"> or </w:t>
      </w:r>
      <w:r>
        <w:rPr>
          <w:rFonts w:ascii="Arial" w:cs="Arial" w:eastAsia="Arial" w:hAnsi="Arial"/>
          <w:sz w:val="16"/>
          <w:szCs w:val="16"/>
          <w:i w:val="1"/>
          <w:iCs w:val="1"/>
          <w:color w:val="auto"/>
        </w:rPr>
        <w:t>XTO</w:t>
      </w:r>
      <w:r>
        <w:rPr>
          <w:rFonts w:ascii="Arial" w:cs="Arial" w:eastAsia="Arial" w:hAnsi="Arial"/>
          <w:sz w:val="16"/>
          <w:szCs w:val="16"/>
          <w:color w:val="auto"/>
        </w:rPr>
        <w:t xml:space="preserve">. For convenie simplicity, in this report the terms </w:t>
      </w:r>
      <w:r>
        <w:rPr>
          <w:rFonts w:ascii="Arial" w:cs="Arial" w:eastAsia="Arial" w:hAnsi="Arial"/>
          <w:sz w:val="16"/>
          <w:szCs w:val="16"/>
          <w:i w:val="1"/>
          <w:iCs w:val="1"/>
          <w:color w:val="auto"/>
        </w:rPr>
        <w:t>ExxonMobil, Exxon, Esso, Mobil</w:t>
      </w:r>
      <w:r>
        <w:rPr>
          <w:rFonts w:ascii="Arial" w:cs="Arial" w:eastAsia="Arial" w:hAnsi="Arial"/>
          <w:sz w:val="16"/>
          <w:szCs w:val="16"/>
          <w:color w:val="auto"/>
        </w:rPr>
        <w:t xml:space="preserve"> and </w:t>
      </w:r>
      <w:r>
        <w:rPr>
          <w:rFonts w:ascii="Arial" w:cs="Arial" w:eastAsia="Arial" w:hAnsi="Arial"/>
          <w:sz w:val="16"/>
          <w:szCs w:val="16"/>
          <w:i w:val="1"/>
          <w:iCs w:val="1"/>
          <w:color w:val="auto"/>
        </w:rPr>
        <w:t>XTO</w:t>
      </w:r>
      <w:r>
        <w:rPr>
          <w:rFonts w:ascii="Arial" w:cs="Arial" w:eastAsia="Arial" w:hAnsi="Arial"/>
          <w:sz w:val="16"/>
          <w:szCs w:val="16"/>
          <w:color w:val="auto"/>
        </w:rPr>
        <w:t xml:space="preserve">, as well as terms like </w:t>
      </w:r>
      <w:r>
        <w:rPr>
          <w:rFonts w:ascii="Arial" w:cs="Arial" w:eastAsia="Arial" w:hAnsi="Arial"/>
          <w:sz w:val="16"/>
          <w:szCs w:val="16"/>
          <w:i w:val="1"/>
          <w:iCs w:val="1"/>
          <w:color w:val="auto"/>
        </w:rPr>
        <w:t>Corporation</w:t>
      </w:r>
      <w:r>
        <w:rPr>
          <w:rFonts w:ascii="Arial" w:cs="Arial" w:eastAsia="Arial" w:hAnsi="Arial"/>
          <w:sz w:val="16"/>
          <w:szCs w:val="16"/>
          <w:color w:val="auto"/>
        </w:rPr>
        <w:t xml:space="preserv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w:t>
      </w:r>
      <w:r>
        <w:rPr>
          <w:rFonts w:ascii="Arial" w:cs="Arial" w:eastAsia="Arial" w:hAnsi="Arial"/>
          <w:sz w:val="16"/>
          <w:szCs w:val="16"/>
          <w:i w:val="1"/>
          <w:iCs w:val="1"/>
          <w:color w:val="auto"/>
        </w:rPr>
        <w:t>our</w:t>
      </w:r>
      <w:r>
        <w:rPr>
          <w:rFonts w:ascii="Arial" w:cs="Arial" w:eastAsia="Arial" w:hAnsi="Arial"/>
          <w:sz w:val="16"/>
          <w:szCs w:val="16"/>
          <w:color w:val="auto"/>
        </w:rPr>
        <w:t xml:space="preserve">, </w:t>
      </w:r>
      <w:r>
        <w:rPr>
          <w:rFonts w:ascii="Arial" w:cs="Arial" w:eastAsia="Arial" w:hAnsi="Arial"/>
          <w:sz w:val="16"/>
          <w:szCs w:val="16"/>
          <w:i w:val="1"/>
          <w:iCs w:val="1"/>
          <w:color w:val="auto"/>
        </w:rPr>
        <w:t>we</w:t>
      </w:r>
      <w:r>
        <w:rPr>
          <w:rFonts w:ascii="Arial" w:cs="Arial" w:eastAsia="Arial" w:hAnsi="Arial"/>
          <w:sz w:val="16"/>
          <w:szCs w:val="16"/>
          <w:color w:val="auto"/>
        </w:rPr>
        <w:t xml:space="preserve"> and </w:t>
      </w:r>
      <w:r>
        <w:rPr>
          <w:rFonts w:ascii="Arial" w:cs="Arial" w:eastAsia="Arial" w:hAnsi="Arial"/>
          <w:sz w:val="16"/>
          <w:szCs w:val="16"/>
          <w:i w:val="1"/>
          <w:iCs w:val="1"/>
          <w:color w:val="auto"/>
        </w:rPr>
        <w:t>its</w:t>
      </w:r>
      <w:r>
        <w:rPr>
          <w:rFonts w:ascii="Arial" w:cs="Arial" w:eastAsia="Arial" w:hAnsi="Arial"/>
          <w:sz w:val="16"/>
          <w:szCs w:val="16"/>
          <w:color w:val="auto"/>
        </w:rPr>
        <w:t>, are sometimes used as abbr references to specific affiliates or groups of affiliates. The precise meaning depends on the context in question.</w:t>
      </w:r>
    </w:p>
    <w:p>
      <w:pPr>
        <w:spacing w:after="0" w:line="38" w:lineRule="exact"/>
        <w:rPr>
          <w:sz w:val="20"/>
          <w:szCs w:val="20"/>
          <w:color w:val="auto"/>
        </w:rPr>
      </w:pPr>
    </w:p>
    <w:p>
      <w:pPr>
        <w:jc w:val="both"/>
        <w:ind w:firstLine="200"/>
        <w:spacing w:after="0" w:line="261" w:lineRule="auto"/>
        <w:rPr>
          <w:sz w:val="20"/>
          <w:szCs w:val="20"/>
          <w:color w:val="auto"/>
        </w:rPr>
      </w:pPr>
      <w:r>
        <w:rPr>
          <w:rFonts w:ascii="Arial" w:cs="Arial" w:eastAsia="Arial" w:hAnsi="Arial"/>
          <w:sz w:val="16"/>
          <w:szCs w:val="16"/>
          <w:color w:val="auto"/>
        </w:rPr>
        <w:t>Throughout ExxonMobil’s businesses, new and ongoing measures are taken to prevent and minimize the impact of our operations on air, water and ground. These in significant investment in refining infrastructure and technology to manufacture clean fuels, as well as projects to monitor and reduce nitrogen oxide, sulfur ox greenhouse gas emissions, and expenditures for asset retirement obligations. Using definitions and guidelines established by the American Petroleum Institute, Exxon 2014 worldwide environmental expenditures for all such preventative and remediation steps, including ExxonMobil’s share of equity company expenditure $6.2 billion, of which $3.5 billion were included in expenses with the remainder in capital expenditures. The total cost for such activities is expected to remain in this r 2015 and 2016 (with capital expenditures approximately 40 percent of the total).</w:t>
      </w:r>
    </w:p>
    <w:p>
      <w:pPr>
        <w:spacing w:after="0" w:line="49" w:lineRule="exact"/>
        <w:rPr>
          <w:sz w:val="20"/>
          <w:szCs w:val="20"/>
          <w:color w:val="auto"/>
        </w:rPr>
      </w:pPr>
    </w:p>
    <w:p>
      <w:pPr>
        <w:jc w:val="both"/>
        <w:ind w:firstLine="200"/>
        <w:spacing w:after="0" w:line="271" w:lineRule="auto"/>
        <w:rPr>
          <w:sz w:val="20"/>
          <w:szCs w:val="20"/>
          <w:color w:val="auto"/>
        </w:rPr>
      </w:pPr>
      <w:r>
        <w:rPr>
          <w:rFonts w:ascii="Arial" w:cs="Arial" w:eastAsia="Arial" w:hAnsi="Arial"/>
          <w:sz w:val="16"/>
          <w:szCs w:val="16"/>
          <w:color w:val="auto"/>
        </w:rPr>
        <w:t>The energy and petrochemical industries are highly competitive. There is competition within the industries and also with other industries in supplying the energy, f chemical needs of both industrial and individual consumers. The Corporation competes with other firms in the sale or purchase of needed goods and services in many and international markets and employs all methods of competition which are lawful and appropriate for such purposes.</w:t>
      </w:r>
    </w:p>
    <w:p>
      <w:pPr>
        <w:spacing w:after="0" w:line="38" w:lineRule="exact"/>
        <w:rPr>
          <w:sz w:val="20"/>
          <w:szCs w:val="20"/>
          <w:color w:val="auto"/>
        </w:rPr>
      </w:pPr>
    </w:p>
    <w:p>
      <w:pPr>
        <w:jc w:val="both"/>
        <w:ind w:firstLine="200"/>
        <w:spacing w:after="0" w:line="271" w:lineRule="auto"/>
        <w:rPr>
          <w:sz w:val="20"/>
          <w:szCs w:val="20"/>
          <w:color w:val="auto"/>
        </w:rPr>
      </w:pPr>
      <w:r>
        <w:rPr>
          <w:rFonts w:ascii="Arial" w:cs="Arial" w:eastAsia="Arial" w:hAnsi="Arial"/>
          <w:sz w:val="16"/>
          <w:szCs w:val="16"/>
          <w:color w:val="auto"/>
        </w:rPr>
        <w:t>Operating data and industry segment information for the Corporation are contained in the Financial Section of this report under the following: “Quarterly Inform “Note 18: Disclosures about Segments and Related Information” and “Operating Summary”. Information on oil and gas reserves is contained in the “Oil and Gas Re part of the “Supplemental Information on Oil and Gas Exploration and Production Activities” portion of the Financial Section of this report.</w:t>
      </w:r>
    </w:p>
    <w:p>
      <w:pPr>
        <w:spacing w:after="0" w:line="38" w:lineRule="exact"/>
        <w:rPr>
          <w:sz w:val="20"/>
          <w:szCs w:val="20"/>
          <w:color w:val="auto"/>
        </w:rPr>
      </w:pPr>
    </w:p>
    <w:p>
      <w:pPr>
        <w:jc w:val="both"/>
        <w:ind w:firstLine="200"/>
        <w:spacing w:after="0" w:line="198" w:lineRule="exact"/>
        <w:rPr>
          <w:sz w:val="20"/>
          <w:szCs w:val="20"/>
          <w:color w:val="auto"/>
        </w:rPr>
      </w:pPr>
      <w:r>
        <w:rPr>
          <w:rFonts w:ascii="Arial" w:cs="Arial" w:eastAsia="Arial" w:hAnsi="Arial"/>
          <w:sz w:val="15"/>
          <w:szCs w:val="15"/>
          <w:color w:val="auto"/>
        </w:rPr>
        <w:t>ExxonMobil has a long</w:t>
      </w:r>
      <w:r>
        <w:rPr>
          <w:rFonts w:ascii="MS PGothic" w:cs="MS PGothic" w:eastAsia="MS PGothic" w:hAnsi="MS PGothic"/>
          <w:sz w:val="15"/>
          <w:szCs w:val="15"/>
          <w:color w:val="auto"/>
        </w:rPr>
        <w:t>‑</w:t>
      </w:r>
      <w:r>
        <w:rPr>
          <w:rFonts w:ascii="Arial" w:cs="Arial" w:eastAsia="Arial" w:hAnsi="Arial"/>
          <w:sz w:val="15"/>
          <w:szCs w:val="15"/>
          <w:color w:val="auto"/>
        </w:rPr>
        <w:t>standing commitment to the development of proprietary technology. We have a wide array of research programs designed to meet th identified in each of our business segments. Information on Company-sponsored research and development spending is contained in “Note 3: Miscellaneous Fi Information” of the Financial Section of this report. ExxonMobil held approximately 11 thousand active patents worldwide at the end of 2014. For technology lice third parties, revenues totaled approximately $148 million in 2014. Although technology is an important contributor to the overall operations and results of our Comp profitability of each business segment is not dependent on any individual patent, trade secret, trademark, license, franchise or concession.</w:t>
      </w:r>
    </w:p>
    <w:p>
      <w:pPr>
        <w:spacing w:after="0" w:line="66" w:lineRule="exact"/>
        <w:rPr>
          <w:sz w:val="20"/>
          <w:szCs w:val="20"/>
          <w:color w:val="auto"/>
        </w:rPr>
      </w:pPr>
    </w:p>
    <w:p>
      <w:pPr>
        <w:jc w:val="both"/>
        <w:ind w:firstLine="200"/>
        <w:spacing w:after="0" w:line="265" w:lineRule="auto"/>
        <w:rPr>
          <w:sz w:val="20"/>
          <w:szCs w:val="20"/>
          <w:color w:val="auto"/>
        </w:rPr>
      </w:pPr>
      <w:r>
        <w:rPr>
          <w:rFonts w:ascii="Arial" w:cs="Arial" w:eastAsia="Arial" w:hAnsi="Arial"/>
          <w:sz w:val="16"/>
          <w:szCs w:val="16"/>
          <w:color w:val="auto"/>
        </w:rPr>
        <w:t>The number of regular employees was 75.3 thousand, 75.0 thousand, and 76.9 thousand at years ended 2014, 2013 and 2012, respectively. Regular employees are as active executive, management, professional, technical and wage employees who work full time or part time for the Corporation and are covered by the Corpo benefit plans and programs. Regular employees do not include employees of the company-operated retail sites (CORS). The number of CORS employees was 8.4 th 9.8 thousand, and 11.1 thousand at years ended 2014, 2013 and 2012, respectively.</w:t>
      </w:r>
    </w:p>
    <w:p>
      <w:pPr>
        <w:spacing w:after="0" w:line="45" w:lineRule="exact"/>
        <w:rPr>
          <w:sz w:val="20"/>
          <w:szCs w:val="20"/>
          <w:color w:val="auto"/>
        </w:rPr>
      </w:pPr>
    </w:p>
    <w:p>
      <w:pPr>
        <w:jc w:val="both"/>
        <w:ind w:firstLine="200"/>
        <w:spacing w:after="0" w:line="271" w:lineRule="auto"/>
        <w:rPr>
          <w:sz w:val="20"/>
          <w:szCs w:val="20"/>
          <w:color w:val="auto"/>
        </w:rPr>
      </w:pPr>
      <w:r>
        <w:rPr>
          <w:rFonts w:ascii="Arial" w:cs="Arial" w:eastAsia="Arial" w:hAnsi="Arial"/>
          <w:sz w:val="16"/>
          <w:szCs w:val="16"/>
          <w:color w:val="auto"/>
        </w:rPr>
        <w:t>Information concerning the source and availability of raw materials used in the Corporation’s business, the extent of seasonality in the business, the possib renegotiation of profits or termination of contracts at the election of governments and risks attendant to foreign operations may be found in “Item 1A–Risk Factors” an 2–Properties” in this report.</w:t>
      </w:r>
    </w:p>
    <w:p>
      <w:pPr>
        <w:spacing w:after="0" w:line="38" w:lineRule="exact"/>
        <w:rPr>
          <w:sz w:val="20"/>
          <w:szCs w:val="20"/>
          <w:color w:val="auto"/>
        </w:rPr>
      </w:pPr>
    </w:p>
    <w:p>
      <w:pPr>
        <w:jc w:val="both"/>
        <w:ind w:firstLine="200"/>
        <w:spacing w:after="0" w:line="262" w:lineRule="auto"/>
        <w:rPr>
          <w:sz w:val="20"/>
          <w:szCs w:val="20"/>
          <w:color w:val="auto"/>
        </w:rPr>
      </w:pPr>
      <w:r>
        <w:rPr>
          <w:rFonts w:ascii="Arial" w:cs="Arial" w:eastAsia="Arial" w:hAnsi="Arial"/>
          <w:sz w:val="16"/>
          <w:szCs w:val="16"/>
          <w:color w:val="auto"/>
        </w:rPr>
        <w:t>ExxonMobil maintains a website at exxonmobil.com. Our annual report on Form 10-K, quarterly reports on Form 10-Q, current reports on Form 8-K and any amen to those reports filed or furnished pursuant to Section 13(a) of the Securities Exchange Act of 1934 are made available through our website as soon as reasonably p after we electronically file or furnish the reports to the Securities and Exchange Commission. Also available on the Corporation’s website are the Company’s Co Governance Guidelines and Code of Ethics and Business Conduct, as well as the charters of the audit, compensation and nominating committees of the Board of Di Information on our website is not incorporated into this report.</w:t>
      </w:r>
    </w:p>
    <w:p>
      <w:pPr>
        <w:jc w:val="center"/>
        <w:ind w:left="114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641" w:right="139" w:bottom="1440" w:gutter="0" w:footer="0" w:header="0"/>
        </w:sectPr>
      </w:pPr>
    </w:p>
    <w:bookmarkStart w:id="3" w:name="page4"/>
    <w:bookmarkEnd w:id="3"/>
    <w:p>
      <w:pPr>
        <w:spacing w:after="0"/>
        <w:tabs>
          <w:tab w:leader="none" w:pos="10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83" w:lineRule="exact"/>
        <w:rPr>
          <w:sz w:val="20"/>
          <w:szCs w:val="20"/>
          <w:color w:val="auto"/>
        </w:rPr>
      </w:pPr>
    </w:p>
    <w:p>
      <w:pPr>
        <w:jc w:val="both"/>
        <w:ind w:right="20"/>
        <w:spacing w:after="0" w:line="321" w:lineRule="auto"/>
        <w:rPr>
          <w:sz w:val="20"/>
          <w:szCs w:val="20"/>
          <w:color w:val="auto"/>
        </w:rPr>
      </w:pPr>
      <w:r>
        <w:rPr>
          <w:rFonts w:ascii="Arial" w:cs="Arial" w:eastAsia="Arial" w:hAnsi="Arial"/>
          <w:sz w:val="15"/>
          <w:szCs w:val="15"/>
          <w:color w:val="auto"/>
        </w:rPr>
        <w:t>ExxonMobil’s financial and operating results are subject to a variety of risks inherent in the global oil, gas, and petrochemical businesses. Many of these risk factors within the Company’s control and could adversely affect our business, our financial and operating results or our financial condition. These risk factors include: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Supply and Demand</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oil, gas, and petrochemical businesses are fundamentally commodity businesses. This means ExxonMobil’s operations and earnings may be significantly affe changes in oil, gas and petrochemical prices and by changes in margins on refined products. Oil, gas, petrochemical and product prices and margins in turn depend o regional and global events or conditions that affect supply and demand for the relevant commodity.</w:t>
      </w:r>
    </w:p>
    <w:p>
      <w:pPr>
        <w:spacing w:after="0" w:line="3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Economic conditions. </w:t>
      </w:r>
      <w:r>
        <w:rPr>
          <w:rFonts w:ascii="Arial" w:cs="Arial" w:eastAsia="Arial" w:hAnsi="Arial"/>
          <w:sz w:val="16"/>
          <w:szCs w:val="16"/>
          <w:color w:val="auto"/>
        </w:rPr>
        <w:t>The demand for energy and petrochemicals correlates closely with general economic growth rates. The occurrence of recessions or other per</w:t>
      </w:r>
      <w:r>
        <w:rPr>
          <w:rFonts w:ascii="Arial" w:cs="Arial" w:eastAsia="Arial" w:hAnsi="Arial"/>
          <w:sz w:val="16"/>
          <w:szCs w:val="16"/>
          <w:b w:val="1"/>
          <w:bCs w:val="1"/>
          <w:color w:val="auto"/>
        </w:rPr>
        <w:t xml:space="preserve"> </w:t>
      </w:r>
      <w:r>
        <w:rPr>
          <w:rFonts w:ascii="Arial" w:cs="Arial" w:eastAsia="Arial" w:hAnsi="Arial"/>
          <w:sz w:val="16"/>
          <w:szCs w:val="16"/>
          <w:color w:val="auto"/>
        </w:rPr>
        <w:t>low or negative economic growth will typically have a direct adverse impact on our results. Other factors that affect general economic conditions in the world or in region, such as changes in population growth rates, periods of civil unrest, government austerity programs, or currency exchange rate fluctuations, can also impact the for energy and petrochemicals. Sovereign debt downgrades, defaults, inability to access debt markets due to credit or legal constraints, liquidity crises, the bre restructuring of fiscal, monetary, or political systems such as the European Union, and other events or conditions that impair the functioning of financial mark institutions also pose risks to ExxonMobil, including risks to the safety of our financial assets and to the ability of our partners and customers to fulfill their commitm ExxonMobil.</w:t>
      </w:r>
    </w:p>
    <w:p>
      <w:pPr>
        <w:spacing w:after="0" w:line="4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b w:val="1"/>
          <w:bCs w:val="1"/>
          <w:color w:val="auto"/>
        </w:rPr>
        <w:t xml:space="preserve">Other demand-related factors. </w:t>
      </w:r>
      <w:r>
        <w:rPr>
          <w:rFonts w:ascii="Arial" w:cs="Arial" w:eastAsia="Arial" w:hAnsi="Arial"/>
          <w:sz w:val="16"/>
          <w:szCs w:val="16"/>
          <w:color w:val="auto"/>
        </w:rPr>
        <w:t>Other factors that may affect the demand for oil, gas and petrochemicals, and therefore impact our results, include techn</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improvements in energy efficiency; seasonal weather patterns, which affect the demand for energy associated with heating and cooling; increased competitive alternative energy sources that have so far generally not been competitive with oil and gas without the benefit of government subsidies or mandates; and cha technology or consumer preferences that alter fuel choices, such as toward alternative fueled vehicles.</w:t>
      </w:r>
    </w:p>
    <w:p>
      <w:pPr>
        <w:spacing w:after="0" w:line="3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Other supply-related factors. </w:t>
      </w:r>
      <w:r>
        <w:rPr>
          <w:rFonts w:ascii="Arial" w:cs="Arial" w:eastAsia="Arial" w:hAnsi="Arial"/>
          <w:sz w:val="16"/>
          <w:szCs w:val="16"/>
          <w:color w:val="auto"/>
        </w:rPr>
        <w:t>Commodity prices and margins also vary depending on a number of factors affecting supply. For example, increased supply fr</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of new oil and gas supply sources and technologies to enhance recovery from existing sources tend to reduce commodity prices to the extent such increases are not offset by commensurate growth in demand. Similarly, increases in industry refining or petrochemical manufacturing capacity tend to reduce margin affected products. World oil, gas, and petrochemical supply levels can also be affected by factors that reduce available supplies, such as adherence by member coun OPEC production quotas and the occurrence of wars, hostile actions, natural disasters, disruptions in competitors’ operations, or unexpected unavailability of distr channels that may disrupt supplies. Technological change can also alter the relative costs for competitors to find, produce, and refine oil and gas and to man petrochemicals.</w:t>
      </w:r>
    </w:p>
    <w:p>
      <w:pPr>
        <w:spacing w:after="0" w:line="45"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b w:val="1"/>
          <w:bCs w:val="1"/>
          <w:color w:val="auto"/>
        </w:rPr>
        <w:t xml:space="preserve">Other market factors. </w:t>
      </w:r>
      <w:r>
        <w:rPr>
          <w:rFonts w:ascii="Arial" w:cs="Arial" w:eastAsia="Arial" w:hAnsi="Arial"/>
          <w:sz w:val="16"/>
          <w:szCs w:val="16"/>
          <w:color w:val="auto"/>
        </w:rPr>
        <w:t>ExxonMobil’s business results are also exposed to potential negative impacts due to changes in interest rates, inflation, currency exchange ra</w:t>
      </w:r>
      <w:r>
        <w:rPr>
          <w:rFonts w:ascii="Arial" w:cs="Arial" w:eastAsia="Arial" w:hAnsi="Arial"/>
          <w:sz w:val="16"/>
          <w:szCs w:val="16"/>
          <w:b w:val="1"/>
          <w:bCs w:val="1"/>
          <w:color w:val="auto"/>
        </w:rPr>
        <w:t xml:space="preserve"> </w:t>
      </w:r>
      <w:r>
        <w:rPr>
          <w:rFonts w:ascii="Arial" w:cs="Arial" w:eastAsia="Arial" w:hAnsi="Arial"/>
          <w:sz w:val="16"/>
          <w:szCs w:val="16"/>
          <w:color w:val="auto"/>
        </w:rPr>
        <w:t>other local or regional market conditions. We generally do not use financial instruments to hedge market exposures.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and Political Factors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ExxonMobil’s results can be adversely affected by political or regulatory developments affecting our operations.</w:t>
      </w:r>
    </w:p>
    <w:p>
      <w:pPr>
        <w:spacing w:after="0" w:line="82" w:lineRule="exact"/>
        <w:rPr>
          <w:sz w:val="20"/>
          <w:szCs w:val="20"/>
          <w:color w:val="auto"/>
        </w:rPr>
      </w:pPr>
    </w:p>
    <w:p>
      <w:pPr>
        <w:jc w:val="both"/>
        <w:ind w:right="20"/>
        <w:spacing w:after="0" w:line="273" w:lineRule="auto"/>
        <w:rPr>
          <w:sz w:val="20"/>
          <w:szCs w:val="20"/>
          <w:color w:val="auto"/>
        </w:rPr>
      </w:pPr>
      <w:r>
        <w:rPr>
          <w:rFonts w:ascii="Arial" w:cs="Arial" w:eastAsia="Arial" w:hAnsi="Arial"/>
          <w:sz w:val="16"/>
          <w:szCs w:val="16"/>
          <w:b w:val="1"/>
          <w:bCs w:val="1"/>
          <w:color w:val="auto"/>
        </w:rPr>
        <w:t xml:space="preserve">Access limitations. </w:t>
      </w:r>
      <w:r>
        <w:rPr>
          <w:rFonts w:ascii="Arial" w:cs="Arial" w:eastAsia="Arial" w:hAnsi="Arial"/>
          <w:sz w:val="16"/>
          <w:szCs w:val="16"/>
          <w:color w:val="auto"/>
        </w:rPr>
        <w:t>A number of countries limit access to their oil and gas resources, or may place resources off-limits from development altogether. Restrictions on</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in the oil and gas sector tend to increase in times of high commodity prices, when national governments may have less need of outside sources of private Many countries also restrict the import or export of certain products based on point of origin.</w:t>
      </w:r>
    </w:p>
    <w:p>
      <w:pPr>
        <w:spacing w:after="0" w:line="34" w:lineRule="exact"/>
        <w:rPr>
          <w:sz w:val="20"/>
          <w:szCs w:val="20"/>
          <w:color w:val="auto"/>
        </w:rPr>
      </w:pPr>
    </w:p>
    <w:p>
      <w:pPr>
        <w:spacing w:after="0" w:line="273" w:lineRule="auto"/>
        <w:rPr>
          <w:sz w:val="20"/>
          <w:szCs w:val="20"/>
          <w:color w:val="auto"/>
        </w:rPr>
      </w:pPr>
      <w:r>
        <w:rPr>
          <w:rFonts w:ascii="Arial" w:cs="Arial" w:eastAsia="Arial" w:hAnsi="Arial"/>
          <w:sz w:val="16"/>
          <w:szCs w:val="16"/>
          <w:b w:val="1"/>
          <w:bCs w:val="1"/>
          <w:color w:val="auto"/>
        </w:rPr>
        <w:t xml:space="preserve">Restrictions on doing business. </w:t>
      </w:r>
      <w:r>
        <w:rPr>
          <w:rFonts w:ascii="Arial" w:cs="Arial" w:eastAsia="Arial" w:hAnsi="Arial"/>
          <w:sz w:val="16"/>
          <w:szCs w:val="16"/>
          <w:color w:val="auto"/>
        </w:rPr>
        <w:t>ExxonMobil is subject to laws and sanctions imposed by the U.S. or by other jurisdictions where we do business that may</w:t>
      </w:r>
      <w:r>
        <w:rPr>
          <w:rFonts w:ascii="Arial" w:cs="Arial" w:eastAsia="Arial" w:hAnsi="Arial"/>
          <w:sz w:val="16"/>
          <w:szCs w:val="16"/>
          <w:b w:val="1"/>
          <w:bCs w:val="1"/>
          <w:color w:val="auto"/>
        </w:rPr>
        <w:t xml:space="preserve"> </w:t>
      </w:r>
      <w:r>
        <w:rPr>
          <w:rFonts w:ascii="Arial" w:cs="Arial" w:eastAsia="Arial" w:hAnsi="Arial"/>
          <w:sz w:val="16"/>
          <w:szCs w:val="16"/>
          <w:color w:val="auto"/>
        </w:rPr>
        <w:t>ExxonMobil or certain of its affiliates from doing business in certain countries, or restricting the kind of business that may be conducted. Such restrictions may pr competitive advantage to competitors who may not be subject to comparable restrictions.</w:t>
      </w:r>
    </w:p>
    <w:p>
      <w:pPr>
        <w:spacing w:after="0" w:line="3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Lack of legal certainty. </w:t>
      </w:r>
      <w:r>
        <w:rPr>
          <w:rFonts w:ascii="Arial" w:cs="Arial" w:eastAsia="Arial" w:hAnsi="Arial"/>
          <w:sz w:val="16"/>
          <w:szCs w:val="16"/>
          <w:color w:val="auto"/>
        </w:rPr>
        <w:t>Some countries in which we do business lack well-developed legal systems, or have not yet adopted clear regulatory frameworks for oil</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Lack of legal certainty exposes our operations to increased risk of adverse or unpredictable actions by government officials, and also makes it more diffi us to enforce our contracts. In some cases these risks can be partially offset by agreements to arbitrate disputes in an international forum, but the adequacy of this reme still depend on the local legal system to enforce an award.</w:t>
      </w:r>
    </w:p>
    <w:p>
      <w:pPr>
        <w:jc w:val="center"/>
        <w:ind w:left="114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646" w:right="139" w:bottom="1440" w:gutter="0" w:footer="0" w:header="0"/>
        </w:sectPr>
      </w:pPr>
    </w:p>
    <w:bookmarkStart w:id="4" w:name="page5"/>
    <w:bookmarkEnd w:id="4"/>
    <w:p>
      <w:pPr>
        <w:spacing w:after="0" w:line="291" w:lineRule="auto"/>
        <w:rPr>
          <w:sz w:val="20"/>
          <w:szCs w:val="20"/>
          <w:color w:val="auto"/>
        </w:rPr>
      </w:pPr>
      <w:r>
        <w:rPr>
          <w:rFonts w:ascii="Arial" w:cs="Arial" w:eastAsia="Arial" w:hAnsi="Arial"/>
          <w:sz w:val="16"/>
          <w:szCs w:val="16"/>
          <w:b w:val="1"/>
          <w:bCs w:val="1"/>
          <w:color w:val="auto"/>
        </w:rPr>
        <w:t xml:space="preserve">Regulatory and litigation risks. </w:t>
      </w:r>
      <w:r>
        <w:rPr>
          <w:rFonts w:ascii="Arial" w:cs="Arial" w:eastAsia="Arial" w:hAnsi="Arial"/>
          <w:sz w:val="16"/>
          <w:szCs w:val="16"/>
          <w:color w:val="auto"/>
        </w:rPr>
        <w:t>Even in countries with well-developed legal systems where ExxonMobil does business, we remain exposed to changes in law (in</w:t>
      </w:r>
      <w:r>
        <w:rPr>
          <w:rFonts w:ascii="Arial" w:cs="Arial" w:eastAsia="Arial" w:hAnsi="Arial"/>
          <w:sz w:val="16"/>
          <w:szCs w:val="16"/>
          <w:b w:val="1"/>
          <w:bCs w:val="1"/>
          <w:color w:val="auto"/>
        </w:rPr>
        <w:t xml:space="preserve"> </w:t>
      </w:r>
      <w:r>
        <w:rPr>
          <w:rFonts w:ascii="Arial" w:cs="Arial" w:eastAsia="Arial" w:hAnsi="Arial"/>
          <w:sz w:val="16"/>
          <w:szCs w:val="16"/>
          <w:color w:val="auto"/>
        </w:rPr>
        <w:t>changes that result from international treaties and accords) that could adversely affect our results, such as:</w:t>
      </w:r>
    </w:p>
    <w:p>
      <w:pPr>
        <w:spacing w:after="0" w:line="146" w:lineRule="exact"/>
        <w:rPr>
          <w:sz w:val="20"/>
          <w:szCs w:val="20"/>
          <w:color w:val="auto"/>
        </w:rPr>
      </w:pPr>
    </w:p>
    <w:p>
      <w:pPr>
        <w:ind w:left="920" w:hanging="714"/>
        <w:spacing w:after="0"/>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increases in taxes or government royalty rates (including retroactive claims);</w:t>
      </w:r>
    </w:p>
    <w:p>
      <w:pPr>
        <w:spacing w:after="0" w:line="23" w:lineRule="exact"/>
        <w:rPr>
          <w:rFonts w:ascii="Arial" w:cs="Arial" w:eastAsia="Arial" w:hAnsi="Arial"/>
          <w:sz w:val="16"/>
          <w:szCs w:val="16"/>
          <w:color w:val="auto"/>
        </w:rPr>
      </w:pPr>
    </w:p>
    <w:p>
      <w:pPr>
        <w:ind w:left="920" w:hanging="714"/>
        <w:spacing w:after="0"/>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price controls;</w:t>
      </w:r>
    </w:p>
    <w:p>
      <w:pPr>
        <w:spacing w:after="0" w:line="12" w:lineRule="exact"/>
        <w:rPr>
          <w:rFonts w:ascii="Arial" w:cs="Arial" w:eastAsia="Arial" w:hAnsi="Arial"/>
          <w:sz w:val="16"/>
          <w:szCs w:val="16"/>
          <w:color w:val="auto"/>
        </w:rPr>
      </w:pPr>
    </w:p>
    <w:p>
      <w:pPr>
        <w:ind w:left="920" w:right="80" w:hanging="714"/>
        <w:spacing w:after="0" w:line="255" w:lineRule="auto"/>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environmental regulations or other laws that increase our cost of compliance or reduce or delay available business opportunities (including in laws related to offshore drilling operations, water use, or hydraulic fracturing);</w:t>
      </w:r>
    </w:p>
    <w:p>
      <w:pPr>
        <w:spacing w:after="0" w:line="1" w:lineRule="exact"/>
        <w:rPr>
          <w:rFonts w:ascii="Arial" w:cs="Arial" w:eastAsia="Arial" w:hAnsi="Arial"/>
          <w:sz w:val="16"/>
          <w:szCs w:val="16"/>
          <w:color w:val="auto"/>
        </w:rPr>
      </w:pPr>
    </w:p>
    <w:p>
      <w:pPr>
        <w:ind w:left="920" w:hanging="714"/>
        <w:spacing w:after="0"/>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adoption of regulations mandating the use of alternative fuels or uncompetitive fuel components;</w:t>
      </w:r>
    </w:p>
    <w:p>
      <w:pPr>
        <w:spacing w:after="0" w:line="12" w:lineRule="exact"/>
        <w:rPr>
          <w:rFonts w:ascii="Arial" w:cs="Arial" w:eastAsia="Arial" w:hAnsi="Arial"/>
          <w:sz w:val="16"/>
          <w:szCs w:val="16"/>
          <w:color w:val="auto"/>
        </w:rPr>
      </w:pPr>
    </w:p>
    <w:p>
      <w:pPr>
        <w:ind w:left="920" w:hanging="714"/>
        <w:spacing w:after="0" w:line="255" w:lineRule="auto"/>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adoption of government payment transparency regulations that could require us to disclose competitively sensitive commercial information, or that coul us to violate the non-disclosure laws of other countries; and</w:t>
      </w:r>
    </w:p>
    <w:p>
      <w:pPr>
        <w:spacing w:after="0" w:line="1" w:lineRule="exact"/>
        <w:rPr>
          <w:rFonts w:ascii="Arial" w:cs="Arial" w:eastAsia="Arial" w:hAnsi="Arial"/>
          <w:sz w:val="16"/>
          <w:szCs w:val="16"/>
          <w:color w:val="auto"/>
        </w:rPr>
      </w:pPr>
    </w:p>
    <w:p>
      <w:pPr>
        <w:ind w:left="920" w:right="20" w:hanging="714"/>
        <w:spacing w:after="0" w:line="271" w:lineRule="auto"/>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government actions to cancel contracts, re-denominate the official currency, renounce or default on obligations, renegotiate terms unilaterally, or exp assets.</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Legal remedies available to compensate us for expropriation or other takings may be inadequate.</w:t>
      </w:r>
    </w:p>
    <w:p>
      <w:pPr>
        <w:spacing w:after="0" w:line="86" w:lineRule="exact"/>
        <w:rPr>
          <w:sz w:val="20"/>
          <w:szCs w:val="20"/>
          <w:color w:val="auto"/>
        </w:rPr>
      </w:pPr>
    </w:p>
    <w:p>
      <w:pPr>
        <w:ind w:right="60" w:firstLine="200"/>
        <w:spacing w:after="0" w:line="286" w:lineRule="auto"/>
        <w:rPr>
          <w:sz w:val="20"/>
          <w:szCs w:val="20"/>
          <w:color w:val="auto"/>
        </w:rPr>
      </w:pPr>
      <w:r>
        <w:rPr>
          <w:rFonts w:ascii="Arial" w:cs="Arial" w:eastAsia="Arial" w:hAnsi="Arial"/>
          <w:sz w:val="16"/>
          <w:szCs w:val="16"/>
          <w:color w:val="auto"/>
        </w:rPr>
        <w:t>We also may be adversely affected by the outcome of litigation, especially in countries such as the United States in which very large and unpredictable punitive awards may occur, or by government enforcement proceedings alleging non-compliance with applicable laws or regulations.</w:t>
      </w:r>
    </w:p>
    <w:p>
      <w:pPr>
        <w:spacing w:after="0" w:line="2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Security concerns. </w:t>
      </w:r>
      <w:r>
        <w:rPr>
          <w:rFonts w:ascii="Arial" w:cs="Arial" w:eastAsia="Arial" w:hAnsi="Arial"/>
          <w:sz w:val="16"/>
          <w:szCs w:val="16"/>
          <w:color w:val="auto"/>
        </w:rPr>
        <w:t>Successful operation of particular facilities or projects may be disrupted by civil unrest, acts of sabotage or terrorism, and other local security co</w:t>
      </w:r>
      <w:r>
        <w:rPr>
          <w:rFonts w:ascii="Arial" w:cs="Arial" w:eastAsia="Arial" w:hAnsi="Arial"/>
          <w:sz w:val="16"/>
          <w:szCs w:val="16"/>
          <w:b w:val="1"/>
          <w:bCs w:val="1"/>
          <w:color w:val="auto"/>
        </w:rPr>
        <w:t xml:space="preserve"> </w:t>
      </w:r>
      <w:r>
        <w:rPr>
          <w:rFonts w:ascii="Arial" w:cs="Arial" w:eastAsia="Arial" w:hAnsi="Arial"/>
          <w:sz w:val="16"/>
          <w:szCs w:val="16"/>
          <w:color w:val="auto"/>
        </w:rPr>
        <w:t>Such concerns may require us to incur greater costs for security or to shut down operations for a period of time.</w:t>
      </w:r>
    </w:p>
    <w:p>
      <w:pPr>
        <w:spacing w:after="0" w:line="19" w:lineRule="exact"/>
        <w:rPr>
          <w:sz w:val="20"/>
          <w:szCs w:val="20"/>
          <w:color w:val="auto"/>
        </w:rPr>
      </w:pPr>
    </w:p>
    <w:p>
      <w:pPr>
        <w:jc w:val="both"/>
        <w:spacing w:after="0" w:line="286" w:lineRule="auto"/>
        <w:rPr>
          <w:sz w:val="20"/>
          <w:szCs w:val="20"/>
          <w:color w:val="auto"/>
        </w:rPr>
      </w:pPr>
      <w:r>
        <w:rPr>
          <w:rFonts w:ascii="Arial" w:cs="Arial" w:eastAsia="Arial" w:hAnsi="Arial"/>
          <w:sz w:val="15"/>
          <w:szCs w:val="15"/>
          <w:b w:val="1"/>
          <w:bCs w:val="1"/>
          <w:color w:val="auto"/>
        </w:rPr>
        <w:t xml:space="preserve">Climate change and greenhouse gas restrictions. </w:t>
      </w:r>
      <w:r>
        <w:rPr>
          <w:rFonts w:ascii="Arial" w:cs="Arial" w:eastAsia="Arial" w:hAnsi="Arial"/>
          <w:sz w:val="15"/>
          <w:szCs w:val="15"/>
          <w:color w:val="auto"/>
        </w:rPr>
        <w:t>Due to concern over the risk of climate change, a number of countries have adopted, or are considering the adop</w:t>
      </w:r>
      <w:r>
        <w:rPr>
          <w:rFonts w:ascii="Arial" w:cs="Arial" w:eastAsia="Arial" w:hAnsi="Arial"/>
          <w:sz w:val="15"/>
          <w:szCs w:val="15"/>
          <w:b w:val="1"/>
          <w:bCs w:val="1"/>
          <w:color w:val="auto"/>
        </w:rPr>
        <w:t xml:space="preserve"> </w:t>
      </w:r>
      <w:r>
        <w:rPr>
          <w:rFonts w:ascii="Arial" w:cs="Arial" w:eastAsia="Arial" w:hAnsi="Arial"/>
          <w:sz w:val="15"/>
          <w:szCs w:val="15"/>
          <w:color w:val="auto"/>
        </w:rPr>
        <w:t>regulatory frameworks to reduce greenhouse gas emissions. These include adoption of cap and trade regimes, carbon taxes, restrictive permitting, increased eff standards, and incentives or mandates for renewable energy. These requirements could make our products more expensive, lengthen project implementation times, and demand for hydrocarbons, as well as shift hydrocarbon demand toward relatively lower-carbon sources such as natural gas. Current and pending greenhouse gas reg may also increase our compliance costs, such as for monitoring or sequestering emissions.</w:t>
      </w:r>
    </w:p>
    <w:p>
      <w:pPr>
        <w:spacing w:after="0" w:line="2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color w:val="auto"/>
        </w:rPr>
        <w:t xml:space="preserve">Government sponsorship of alternative energy. </w:t>
      </w:r>
      <w:r>
        <w:rPr>
          <w:rFonts w:ascii="Arial" w:cs="Arial" w:eastAsia="Arial" w:hAnsi="Arial"/>
          <w:sz w:val="16"/>
          <w:szCs w:val="16"/>
          <w:color w:val="auto"/>
        </w:rPr>
        <w:t>Many governments are providing tax advantages and other subsidies to support alternative energy sources or are ma</w:t>
      </w:r>
      <w:r>
        <w:rPr>
          <w:rFonts w:ascii="Arial" w:cs="Arial" w:eastAsia="Arial" w:hAnsi="Arial"/>
          <w:sz w:val="16"/>
          <w:szCs w:val="16"/>
          <w:b w:val="1"/>
          <w:bCs w:val="1"/>
          <w:color w:val="auto"/>
        </w:rPr>
        <w:t xml:space="preserve"> </w:t>
      </w:r>
      <w:r>
        <w:rPr>
          <w:rFonts w:ascii="Arial" w:cs="Arial" w:eastAsia="Arial" w:hAnsi="Arial"/>
          <w:sz w:val="16"/>
          <w:szCs w:val="16"/>
          <w:color w:val="auto"/>
        </w:rPr>
        <w:t>the use of specific fuels or technologies. Governments are also promoting research into new technologies to reduce the cost and increase the scalability of alternative sources. We are conducting our own research efforts into alternative energy, such as through sponsorship of the Global Climate and Energy Project at Stanford Univer research into liquid products from algae and biomass that can be further converted to transportation fuels. Our future results may depend in part on the success of our r efforts and on our ability to adapt and apply the strengths of our current business model to providing the energy products of the future in a cost-competitive mann “Management Effectiveness” below.</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Effectiveness</w:t>
      </w:r>
    </w:p>
    <w:p>
      <w:pPr>
        <w:spacing w:after="0" w:line="90"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In addition to external economic and political factors, our future business results also depend on our ability to manage successfully those factors that are at least in par our control. The extent to which we manage these factors will impact our performance relative to competition. For projects in which we are not the operator, we depen management effectiveness of one or more co-venturers whom we do not control.</w:t>
      </w:r>
    </w:p>
    <w:p>
      <w:pPr>
        <w:spacing w:after="0" w:line="3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b w:val="1"/>
          <w:bCs w:val="1"/>
          <w:color w:val="auto"/>
        </w:rPr>
        <w:t xml:space="preserve">Exploration and development program. </w:t>
      </w:r>
      <w:r>
        <w:rPr>
          <w:rFonts w:ascii="Arial" w:cs="Arial" w:eastAsia="Arial" w:hAnsi="Arial"/>
          <w:sz w:val="16"/>
          <w:szCs w:val="16"/>
          <w:color w:val="auto"/>
        </w:rPr>
        <w:t>Our ability to maintain and grow our oil and gas production depends on the success of our exploration and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Among other factors, we must continuously improve our ability to identify the most promising resource prospects and apply our project management expertise t discovered resources on line on schedule and within budget.</w:t>
      </w:r>
    </w:p>
    <w:p>
      <w:pPr>
        <w:spacing w:after="0" w:line="34"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color w:val="auto"/>
        </w:rPr>
        <w:t xml:space="preserve">Project management. </w:t>
      </w:r>
      <w:r>
        <w:rPr>
          <w:rFonts w:ascii="Arial" w:cs="Arial" w:eastAsia="Arial" w:hAnsi="Arial"/>
          <w:sz w:val="15"/>
          <w:szCs w:val="15"/>
          <w:color w:val="auto"/>
        </w:rPr>
        <w:t>The success of ExxonMobil’s Upstream, Downstream, and Chemical businesses depends on complex, long-term, capital intensive projects</w:t>
      </w:r>
      <w:r>
        <w:rPr>
          <w:rFonts w:ascii="Arial" w:cs="Arial" w:eastAsia="Arial" w:hAnsi="Arial"/>
          <w:sz w:val="15"/>
          <w:szCs w:val="15"/>
          <w:b w:val="1"/>
          <w:bCs w:val="1"/>
          <w:color w:val="auto"/>
        </w:rPr>
        <w:t xml:space="preserve"> </w:t>
      </w:r>
      <w:r>
        <w:rPr>
          <w:rFonts w:ascii="Arial" w:cs="Arial" w:eastAsia="Arial" w:hAnsi="Arial"/>
          <w:sz w:val="15"/>
          <w:szCs w:val="15"/>
          <w:color w:val="auto"/>
        </w:rPr>
        <w:t>projects in turn require a high degree of project management expertise to maximize efficiency. Specific factors that can affect the performance of major projects incl ability to: negotiate successfully with joint venturers, partners, governments, suppliers, customers, or others; model and optimize reservoir performance; develop mar project outputs, whether through long-term contracts or the development of effective spot markets; manage changes in operating conditions and costs, including costs party equipment or services such as drilling rigs and shipping; prevent, to the extent possible, and respond effectively to unforeseen technical difficulties that coul project startup or cause unscheduled project downtime; and influence the performance of project operators where ExxonMobil does not perform that role.</w:t>
      </w:r>
    </w:p>
    <w:p>
      <w:pPr>
        <w:spacing w:after="0" w:line="2"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650" w:right="139" w:bottom="1440" w:gutter="0" w:footer="0" w:header="0"/>
        </w:sectPr>
      </w:pPr>
    </w:p>
    <w:bookmarkStart w:id="5" w:name="page6"/>
    <w:bookmarkEnd w:id="5"/>
    <w:p>
      <w:pPr>
        <w:jc w:val="both"/>
        <w:ind w:firstLine="200"/>
        <w:spacing w:after="0" w:line="286" w:lineRule="auto"/>
        <w:rPr>
          <w:sz w:val="20"/>
          <w:szCs w:val="20"/>
          <w:color w:val="auto"/>
        </w:rPr>
      </w:pPr>
      <w:r>
        <w:rPr>
          <w:rFonts w:ascii="Arial" w:cs="Arial" w:eastAsia="Arial" w:hAnsi="Arial"/>
          <w:sz w:val="16"/>
          <w:szCs w:val="16"/>
          <w:color w:val="auto"/>
        </w:rPr>
        <w:t>The term “project” as used in this report can refer to a variety of different activities and does not necessarily have the same meaning as in any government p transparency reports.</w:t>
      </w:r>
    </w:p>
    <w:p>
      <w:pPr>
        <w:spacing w:after="0" w:line="9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b w:val="1"/>
          <w:bCs w:val="1"/>
          <w:color w:val="auto"/>
        </w:rPr>
        <w:t xml:space="preserve">Operational efficiency. </w:t>
      </w:r>
      <w:r>
        <w:rPr>
          <w:rFonts w:ascii="Arial" w:cs="Arial" w:eastAsia="Arial" w:hAnsi="Arial"/>
          <w:sz w:val="16"/>
          <w:szCs w:val="16"/>
          <w:color w:val="auto"/>
        </w:rPr>
        <w:t>An important component of ExxonMobil’s competitive performance, especially given the commodity-based nature of many of our businesses</w:t>
      </w:r>
      <w:r>
        <w:rPr>
          <w:rFonts w:ascii="Arial" w:cs="Arial" w:eastAsia="Arial" w:hAnsi="Arial"/>
          <w:sz w:val="16"/>
          <w:szCs w:val="16"/>
          <w:b w:val="1"/>
          <w:bCs w:val="1"/>
          <w:color w:val="auto"/>
        </w:rPr>
        <w:t xml:space="preserve"> </w:t>
      </w:r>
      <w:r>
        <w:rPr>
          <w:rFonts w:ascii="Arial" w:cs="Arial" w:eastAsia="Arial" w:hAnsi="Arial"/>
          <w:sz w:val="16"/>
          <w:szCs w:val="16"/>
          <w:color w:val="auto"/>
        </w:rPr>
        <w:t>ability to operate efficiently, including our ability to manage expenses and improve production yields on an ongoing basis. This requires continuous managemen including technology improvements, cost control, productivity enhancements, regular reappraisal of our asset portfolio, and the recruitment, development and rete high caliber employees.</w:t>
      </w:r>
    </w:p>
    <w:p>
      <w:pPr>
        <w:spacing w:after="0" w:line="39" w:lineRule="exact"/>
        <w:rPr>
          <w:sz w:val="20"/>
          <w:szCs w:val="20"/>
          <w:color w:val="auto"/>
        </w:rPr>
      </w:pPr>
    </w:p>
    <w:p>
      <w:pPr>
        <w:jc w:val="both"/>
        <w:spacing w:after="0" w:line="323" w:lineRule="auto"/>
        <w:rPr>
          <w:sz w:val="20"/>
          <w:szCs w:val="20"/>
          <w:color w:val="auto"/>
        </w:rPr>
      </w:pPr>
      <w:r>
        <w:rPr>
          <w:rFonts w:ascii="Arial" w:cs="Arial" w:eastAsia="Arial" w:hAnsi="Arial"/>
          <w:sz w:val="15"/>
          <w:szCs w:val="15"/>
          <w:b w:val="1"/>
          <w:bCs w:val="1"/>
          <w:color w:val="auto"/>
        </w:rPr>
        <w:t xml:space="preserve">Research and development. </w:t>
      </w:r>
      <w:r>
        <w:rPr>
          <w:rFonts w:ascii="Arial" w:cs="Arial" w:eastAsia="Arial" w:hAnsi="Arial"/>
          <w:sz w:val="15"/>
          <w:szCs w:val="15"/>
          <w:color w:val="auto"/>
        </w:rPr>
        <w:t>To maintain our competitive position, especially in light of the technological nature of our businesses and the need for continuous eff</w:t>
      </w:r>
      <w:r>
        <w:rPr>
          <w:rFonts w:ascii="Arial" w:cs="Arial" w:eastAsia="Arial" w:hAnsi="Arial"/>
          <w:sz w:val="15"/>
          <w:szCs w:val="15"/>
          <w:b w:val="1"/>
          <w:bCs w:val="1"/>
          <w:color w:val="auto"/>
        </w:rPr>
        <w:t xml:space="preserve"> </w:t>
      </w:r>
      <w:r>
        <w:rPr>
          <w:rFonts w:ascii="Arial" w:cs="Arial" w:eastAsia="Arial" w:hAnsi="Arial"/>
          <w:sz w:val="15"/>
          <w:szCs w:val="15"/>
          <w:color w:val="auto"/>
        </w:rPr>
        <w:t>improvement, ExxonMobil’s research and development organizations must be successful and able to adapt to a changing market and policy environment.</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5"/>
          <w:szCs w:val="15"/>
          <w:b w:val="1"/>
          <w:bCs w:val="1"/>
          <w:color w:val="auto"/>
        </w:rPr>
        <w:t xml:space="preserve">Safety, business controls, and environmental risk management. </w:t>
      </w:r>
      <w:r>
        <w:rPr>
          <w:rFonts w:ascii="Arial" w:cs="Arial" w:eastAsia="Arial" w:hAnsi="Arial"/>
          <w:sz w:val="15"/>
          <w:szCs w:val="15"/>
          <w:color w:val="auto"/>
        </w:rPr>
        <w:t>Our results depend on management’s ability to minimize the inherent risks of oil, gas, and petroc</w:t>
      </w:r>
      <w:r>
        <w:rPr>
          <w:rFonts w:ascii="Arial" w:cs="Arial" w:eastAsia="Arial" w:hAnsi="Arial"/>
          <w:sz w:val="15"/>
          <w:szCs w:val="15"/>
          <w:b w:val="1"/>
          <w:bCs w:val="1"/>
          <w:color w:val="auto"/>
        </w:rPr>
        <w:t xml:space="preserve"> </w:t>
      </w:r>
      <w:r>
        <w:rPr>
          <w:rFonts w:ascii="Arial" w:cs="Arial" w:eastAsia="Arial" w:hAnsi="Arial"/>
          <w:sz w:val="15"/>
          <w:szCs w:val="15"/>
          <w:color w:val="auto"/>
        </w:rPr>
        <w:t>operations, to control effectively our business activities and to minimize the potential for human error. We apply rigorous management systems and continuous f workplace safety and to avoiding spills or other adverse environmental events. For example, we work to minimize spills through a combined program of effective op integrity management, ongoing upgrades, key equipment replacements, and comprehensive inspection and surveillance. Similarly, we are implementing cost-effecti technologies and adopting new operating practices to reduce air emissions, not only in response to government requirements but also to address community priorities. maintain a disciplined framework of internal controls and apply a controls management system for monitoring compliance with this framework. Substantial liabilit other adverse impacts could result if our management systems and controls do not function as intended. The ability to insure against such risks is limited by the capacit applicable insurance markets, which may not be sufficient.</w:t>
      </w:r>
    </w:p>
    <w:p>
      <w:pPr>
        <w:spacing w:after="0" w:line="36" w:lineRule="exact"/>
        <w:rPr>
          <w:sz w:val="20"/>
          <w:szCs w:val="20"/>
          <w:color w:val="auto"/>
        </w:rPr>
      </w:pPr>
    </w:p>
    <w:p>
      <w:pPr>
        <w:jc w:val="both"/>
        <w:ind w:right="20" w:firstLine="200"/>
        <w:spacing w:after="0" w:line="321" w:lineRule="auto"/>
        <w:rPr>
          <w:sz w:val="20"/>
          <w:szCs w:val="20"/>
          <w:color w:val="auto"/>
        </w:rPr>
      </w:pPr>
      <w:r>
        <w:rPr>
          <w:rFonts w:ascii="Arial" w:cs="Arial" w:eastAsia="Arial" w:hAnsi="Arial"/>
          <w:sz w:val="15"/>
          <w:szCs w:val="15"/>
          <w:color w:val="auto"/>
        </w:rPr>
        <w:t>Business risks also include the risk of cybersecurity breaches. If our systems for protecting against cybersecurity risks prove not to be sufficient, ExxonMobil c adversely affected such as by having its business systems compromised, its proprietary information altered, lost or stolen, or its business operations disrupted.</w:t>
      </w:r>
    </w:p>
    <w:p>
      <w:pPr>
        <w:jc w:val="both"/>
        <w:spacing w:after="0" w:line="273" w:lineRule="auto"/>
        <w:rPr>
          <w:sz w:val="20"/>
          <w:szCs w:val="20"/>
          <w:color w:val="auto"/>
        </w:rPr>
      </w:pPr>
      <w:r>
        <w:rPr>
          <w:rFonts w:ascii="Arial" w:cs="Arial" w:eastAsia="Arial" w:hAnsi="Arial"/>
          <w:sz w:val="16"/>
          <w:szCs w:val="16"/>
          <w:b w:val="1"/>
          <w:bCs w:val="1"/>
          <w:color w:val="auto"/>
        </w:rPr>
        <w:t xml:space="preserve">Preparedness. </w:t>
      </w:r>
      <w:r>
        <w:rPr>
          <w:rFonts w:ascii="Arial" w:cs="Arial" w:eastAsia="Arial" w:hAnsi="Arial"/>
          <w:sz w:val="16"/>
          <w:szCs w:val="16"/>
          <w:color w:val="auto"/>
        </w:rPr>
        <w:t>Our operations may be disrupted by severe weather events, natural disasters, human error, and similar events. For example, hurricanes may dam</w:t>
      </w:r>
      <w:r>
        <w:rPr>
          <w:rFonts w:ascii="Arial" w:cs="Arial" w:eastAsia="Arial" w:hAnsi="Arial"/>
          <w:sz w:val="16"/>
          <w:szCs w:val="16"/>
          <w:b w:val="1"/>
          <w:bCs w:val="1"/>
          <w:color w:val="auto"/>
        </w:rPr>
        <w:t xml:space="preserve"> </w:t>
      </w:r>
      <w:r>
        <w:rPr>
          <w:rFonts w:ascii="Arial" w:cs="Arial" w:eastAsia="Arial" w:hAnsi="Arial"/>
          <w:sz w:val="16"/>
          <w:szCs w:val="16"/>
          <w:color w:val="auto"/>
        </w:rPr>
        <w:t>offshore production facilities or coastal refining and petrochemical plants in vulnerable areas. Our ability to mitigate the adverse impacts of these events depends in pa the effectiveness of our rigorous disaster preparedness and response planning, as well as business continuity planning.</w:t>
      </w:r>
    </w:p>
    <w:p>
      <w:pPr>
        <w:spacing w:after="0" w:line="38" w:lineRule="exact"/>
        <w:rPr>
          <w:sz w:val="20"/>
          <w:szCs w:val="20"/>
          <w:color w:val="auto"/>
        </w:rPr>
      </w:pPr>
    </w:p>
    <w:p>
      <w:pPr>
        <w:jc w:val="both"/>
        <w:ind w:firstLine="200"/>
        <w:spacing w:after="0" w:line="271" w:lineRule="auto"/>
        <w:rPr>
          <w:sz w:val="20"/>
          <w:szCs w:val="20"/>
          <w:color w:val="auto"/>
        </w:rPr>
      </w:pPr>
      <w:r>
        <w:rPr>
          <w:rFonts w:ascii="Arial" w:cs="Arial" w:eastAsia="Arial" w:hAnsi="Arial"/>
          <w:sz w:val="16"/>
          <w:szCs w:val="16"/>
          <w:color w:val="auto"/>
        </w:rPr>
        <w:t>Projections, estimates and descriptions of ExxonMobil’s plans and objectives included or incorporated in Items 1, 1A, 2, 7 and 7A of this report are forward-statements. Actual future results, including project completion dates, production rates, capital expenditures, costs and business plans could differ materially due to, other things, the factors discussed above and elsewhere in this report.</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37"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654" w:right="139" w:bottom="1440" w:gutter="0" w:footer="0" w:header="0"/>
        </w:sectPr>
      </w:pPr>
    </w:p>
    <w:bookmarkStart w:id="6" w:name="page7"/>
    <w:bookmarkEnd w:id="6"/>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with regard to oil and gas producing activities follows:</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Disclosure of Reserves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Summary of Oil and Gas Reserves at Year-End 2014</w:t>
      </w:r>
    </w:p>
    <w:p>
      <w:pPr>
        <w:spacing w:after="0" w:line="9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table below summarizes the oil-equivalent proved reserves in each geographic area and by product type for consolidated subsidiaries and equity compani Corporation has reported proved reserves on the basis of the average of the first-day-of-the-month price for each month during the last 12-month period. Gas is conv an oil-equivalent basis at six million cubic feet per one thousand barrels. No major discovery or other favorable or adverse event has occurred since December 31, 20 would cause a significant change in the estimated proved reserves as of that date.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000" w:type="dxa"/>
            <w:vAlign w:val="bottom"/>
          </w:tcPr>
          <w:p>
            <w:pPr>
              <w:spacing w:after="0"/>
              <w:rPr>
                <w:sz w:val="14"/>
                <w:szCs w:val="14"/>
                <w:color w:val="auto"/>
              </w:rPr>
            </w:pPr>
          </w:p>
        </w:tc>
        <w:tc>
          <w:tcPr>
            <w:tcW w:w="1640" w:type="dxa"/>
            <w:vAlign w:val="bottom"/>
          </w:tcPr>
          <w:p>
            <w:pPr>
              <w:jc w:val="center"/>
              <w:ind w:right="80"/>
              <w:spacing w:after="0"/>
              <w:rPr>
                <w:sz w:val="20"/>
                <w:szCs w:val="20"/>
                <w:color w:val="auto"/>
              </w:rPr>
            </w:pPr>
            <w:r>
              <w:rPr>
                <w:rFonts w:ascii="Arial" w:cs="Arial" w:eastAsia="Arial" w:hAnsi="Arial"/>
                <w:sz w:val="13"/>
                <w:szCs w:val="13"/>
                <w:b w:val="1"/>
                <w:bCs w:val="1"/>
                <w:color w:val="auto"/>
                <w:w w:val="95"/>
              </w:rPr>
              <w:t>Crude</w:t>
            </w:r>
          </w:p>
        </w:tc>
        <w:tc>
          <w:tcPr>
            <w:tcW w:w="1400" w:type="dxa"/>
            <w:vAlign w:val="bottom"/>
          </w:tcPr>
          <w:p>
            <w:pPr>
              <w:jc w:val="center"/>
              <w:ind w:right="240"/>
              <w:spacing w:after="0"/>
              <w:rPr>
                <w:sz w:val="20"/>
                <w:szCs w:val="20"/>
                <w:color w:val="auto"/>
              </w:rPr>
            </w:pPr>
            <w:r>
              <w:rPr>
                <w:rFonts w:ascii="Arial" w:cs="Arial" w:eastAsia="Arial" w:hAnsi="Arial"/>
                <w:sz w:val="13"/>
                <w:szCs w:val="13"/>
                <w:b w:val="1"/>
                <w:bCs w:val="1"/>
                <w:color w:val="auto"/>
                <w:w w:val="93"/>
              </w:rPr>
              <w:t>Natural Gas</w:t>
            </w:r>
          </w:p>
        </w:tc>
        <w:tc>
          <w:tcPr>
            <w:tcW w:w="1460" w:type="dxa"/>
            <w:vAlign w:val="bottom"/>
          </w:tcPr>
          <w:p>
            <w:pPr>
              <w:spacing w:after="0"/>
              <w:rPr>
                <w:sz w:val="14"/>
                <w:szCs w:val="14"/>
                <w:color w:val="auto"/>
              </w:rPr>
            </w:pPr>
          </w:p>
        </w:tc>
        <w:tc>
          <w:tcPr>
            <w:tcW w:w="900" w:type="dxa"/>
            <w:vAlign w:val="bottom"/>
          </w:tcPr>
          <w:p>
            <w:pPr>
              <w:jc w:val="center"/>
              <w:ind w:left="115"/>
              <w:spacing w:after="0"/>
              <w:rPr>
                <w:sz w:val="20"/>
                <w:szCs w:val="20"/>
                <w:color w:val="auto"/>
              </w:rPr>
            </w:pPr>
            <w:r>
              <w:rPr>
                <w:rFonts w:ascii="Arial" w:cs="Arial" w:eastAsia="Arial" w:hAnsi="Arial"/>
                <w:sz w:val="13"/>
                <w:szCs w:val="13"/>
                <w:b w:val="1"/>
                <w:bCs w:val="1"/>
                <w:color w:val="auto"/>
                <w:w w:val="88"/>
              </w:rPr>
              <w:t>Synthetic</w:t>
            </w:r>
          </w:p>
        </w:tc>
        <w:tc>
          <w:tcPr>
            <w:tcW w:w="1780" w:type="dxa"/>
            <w:vAlign w:val="bottom"/>
            <w:gridSpan w:val="2"/>
          </w:tcPr>
          <w:p>
            <w:pPr>
              <w:jc w:val="center"/>
              <w:ind w:left="140"/>
              <w:spacing w:after="0"/>
              <w:rPr>
                <w:sz w:val="20"/>
                <w:szCs w:val="20"/>
                <w:color w:val="auto"/>
              </w:rPr>
            </w:pPr>
            <w:r>
              <w:rPr>
                <w:rFonts w:ascii="Arial" w:cs="Arial" w:eastAsia="Arial" w:hAnsi="Arial"/>
                <w:sz w:val="13"/>
                <w:szCs w:val="13"/>
                <w:b w:val="1"/>
                <w:bCs w:val="1"/>
                <w:color w:val="auto"/>
                <w:w w:val="98"/>
              </w:rPr>
              <w:t>Natural</w:t>
            </w:r>
          </w:p>
        </w:tc>
        <w:tc>
          <w:tcPr>
            <w:tcW w:w="760" w:type="dxa"/>
            <w:vAlign w:val="bottom"/>
          </w:tcPr>
          <w:p>
            <w:pPr>
              <w:jc w:val="center"/>
              <w:ind w:left="95"/>
              <w:spacing w:after="0"/>
              <w:rPr>
                <w:sz w:val="20"/>
                <w:szCs w:val="20"/>
                <w:color w:val="auto"/>
              </w:rPr>
            </w:pPr>
            <w:r>
              <w:rPr>
                <w:rFonts w:ascii="Arial" w:cs="Arial" w:eastAsia="Arial" w:hAnsi="Arial"/>
                <w:sz w:val="13"/>
                <w:szCs w:val="13"/>
                <w:b w:val="1"/>
                <w:bCs w:val="1"/>
                <w:color w:val="auto"/>
                <w:w w:val="93"/>
              </w:rPr>
              <w:t>Oil-Equiva</w:t>
            </w:r>
          </w:p>
        </w:tc>
      </w:tr>
      <w:tr>
        <w:trPr>
          <w:trHeight w:val="196"/>
        </w:trPr>
        <w:tc>
          <w:tcPr>
            <w:tcW w:w="3000" w:type="dxa"/>
            <w:vAlign w:val="bottom"/>
          </w:tcPr>
          <w:p>
            <w:pPr>
              <w:spacing w:after="0"/>
              <w:rPr>
                <w:sz w:val="17"/>
                <w:szCs w:val="17"/>
                <w:color w:val="auto"/>
              </w:rPr>
            </w:pPr>
          </w:p>
        </w:tc>
        <w:tc>
          <w:tcPr>
            <w:tcW w:w="1640" w:type="dxa"/>
            <w:vAlign w:val="bottom"/>
          </w:tcPr>
          <w:p>
            <w:pPr>
              <w:jc w:val="center"/>
              <w:ind w:right="60"/>
              <w:spacing w:after="0"/>
              <w:rPr>
                <w:sz w:val="20"/>
                <w:szCs w:val="20"/>
                <w:color w:val="auto"/>
              </w:rPr>
            </w:pPr>
            <w:r>
              <w:rPr>
                <w:rFonts w:ascii="Arial" w:cs="Arial" w:eastAsia="Arial" w:hAnsi="Arial"/>
                <w:sz w:val="13"/>
                <w:szCs w:val="13"/>
                <w:b w:val="1"/>
                <w:bCs w:val="1"/>
                <w:color w:val="auto"/>
              </w:rPr>
              <w:t>Oil</w:t>
            </w:r>
          </w:p>
        </w:tc>
        <w:tc>
          <w:tcPr>
            <w:tcW w:w="1400" w:type="dxa"/>
            <w:vAlign w:val="bottom"/>
          </w:tcPr>
          <w:p>
            <w:pPr>
              <w:jc w:val="center"/>
              <w:ind w:right="240"/>
              <w:spacing w:after="0"/>
              <w:rPr>
                <w:sz w:val="20"/>
                <w:szCs w:val="20"/>
                <w:color w:val="auto"/>
              </w:rPr>
            </w:pPr>
            <w:r>
              <w:rPr>
                <w:rFonts w:ascii="Arial" w:cs="Arial" w:eastAsia="Arial" w:hAnsi="Arial"/>
                <w:sz w:val="13"/>
                <w:szCs w:val="13"/>
                <w:b w:val="1"/>
                <w:bCs w:val="1"/>
                <w:color w:val="auto"/>
                <w:w w:val="95"/>
              </w:rPr>
              <w:t>Liquids</w:t>
            </w:r>
          </w:p>
        </w:tc>
        <w:tc>
          <w:tcPr>
            <w:tcW w:w="1460" w:type="dxa"/>
            <w:vAlign w:val="bottom"/>
          </w:tcPr>
          <w:p>
            <w:pPr>
              <w:jc w:val="right"/>
              <w:ind w:right="560"/>
              <w:spacing w:after="0"/>
              <w:rPr>
                <w:sz w:val="20"/>
                <w:szCs w:val="20"/>
                <w:color w:val="auto"/>
              </w:rPr>
            </w:pPr>
            <w:r>
              <w:rPr>
                <w:rFonts w:ascii="Arial" w:cs="Arial" w:eastAsia="Arial" w:hAnsi="Arial"/>
                <w:sz w:val="13"/>
                <w:szCs w:val="13"/>
                <w:b w:val="1"/>
                <w:bCs w:val="1"/>
                <w:color w:val="auto"/>
              </w:rPr>
              <w:t>Bitumen</w:t>
            </w:r>
          </w:p>
        </w:tc>
        <w:tc>
          <w:tcPr>
            <w:tcW w:w="900" w:type="dxa"/>
            <w:vAlign w:val="bottom"/>
          </w:tcPr>
          <w:p>
            <w:pPr>
              <w:jc w:val="center"/>
              <w:ind w:left="115"/>
              <w:spacing w:after="0"/>
              <w:rPr>
                <w:sz w:val="20"/>
                <w:szCs w:val="20"/>
                <w:color w:val="auto"/>
              </w:rPr>
            </w:pPr>
            <w:r>
              <w:rPr>
                <w:rFonts w:ascii="Arial" w:cs="Arial" w:eastAsia="Arial" w:hAnsi="Arial"/>
                <w:sz w:val="13"/>
                <w:szCs w:val="13"/>
                <w:b w:val="1"/>
                <w:bCs w:val="1"/>
                <w:color w:val="auto"/>
                <w:w w:val="91"/>
              </w:rPr>
              <w:t>Oil</w:t>
            </w:r>
          </w:p>
        </w:tc>
        <w:tc>
          <w:tcPr>
            <w:tcW w:w="1140" w:type="dxa"/>
            <w:vAlign w:val="bottom"/>
          </w:tcPr>
          <w:p>
            <w:pPr>
              <w:jc w:val="center"/>
              <w:ind w:left="760"/>
              <w:spacing w:after="0"/>
              <w:rPr>
                <w:sz w:val="20"/>
                <w:szCs w:val="20"/>
                <w:color w:val="auto"/>
              </w:rPr>
            </w:pPr>
            <w:r>
              <w:rPr>
                <w:rFonts w:ascii="Arial" w:cs="Arial" w:eastAsia="Arial" w:hAnsi="Arial"/>
                <w:sz w:val="13"/>
                <w:szCs w:val="13"/>
                <w:b w:val="1"/>
                <w:bCs w:val="1"/>
                <w:color w:val="auto"/>
                <w:w w:val="89"/>
              </w:rPr>
              <w:t>Gas</w:t>
            </w:r>
          </w:p>
        </w:tc>
        <w:tc>
          <w:tcPr>
            <w:tcW w:w="640" w:type="dxa"/>
            <w:vAlign w:val="bottom"/>
          </w:tcPr>
          <w:p>
            <w:pPr>
              <w:spacing w:after="0"/>
              <w:rPr>
                <w:sz w:val="17"/>
                <w:szCs w:val="17"/>
                <w:color w:val="auto"/>
              </w:rPr>
            </w:pPr>
          </w:p>
        </w:tc>
        <w:tc>
          <w:tcPr>
            <w:tcW w:w="760" w:type="dxa"/>
            <w:vAlign w:val="bottom"/>
          </w:tcPr>
          <w:p>
            <w:pPr>
              <w:ind w:left="440"/>
              <w:spacing w:after="0"/>
              <w:rPr>
                <w:sz w:val="20"/>
                <w:szCs w:val="20"/>
                <w:color w:val="auto"/>
              </w:rPr>
            </w:pPr>
            <w:r>
              <w:rPr>
                <w:rFonts w:ascii="Arial" w:cs="Arial" w:eastAsia="Arial" w:hAnsi="Arial"/>
                <w:sz w:val="13"/>
                <w:szCs w:val="13"/>
                <w:b w:val="1"/>
                <w:bCs w:val="1"/>
                <w:color w:val="auto"/>
                <w:w w:val="86"/>
              </w:rPr>
              <w:t>Basis</w:t>
            </w:r>
          </w:p>
        </w:tc>
      </w:tr>
      <w:tr>
        <w:trPr>
          <w:trHeight w:val="23"/>
        </w:trPr>
        <w:tc>
          <w:tcPr>
            <w:tcW w:w="3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65"/>
        </w:trPr>
        <w:tc>
          <w:tcPr>
            <w:tcW w:w="3000" w:type="dxa"/>
            <w:vAlign w:val="bottom"/>
          </w:tcPr>
          <w:p>
            <w:pPr>
              <w:spacing w:after="0"/>
              <w:rPr>
                <w:sz w:val="14"/>
                <w:szCs w:val="14"/>
                <w:color w:val="auto"/>
              </w:rPr>
            </w:pPr>
          </w:p>
        </w:tc>
        <w:tc>
          <w:tcPr>
            <w:tcW w:w="1640" w:type="dxa"/>
            <w:vAlign w:val="bottom"/>
          </w:tcPr>
          <w:p>
            <w:pPr>
              <w:jc w:val="center"/>
              <w:ind w:right="80"/>
              <w:spacing w:after="0"/>
              <w:rPr>
                <w:sz w:val="20"/>
                <w:szCs w:val="20"/>
                <w:color w:val="auto"/>
              </w:rPr>
            </w:pPr>
            <w:r>
              <w:rPr>
                <w:rFonts w:ascii="Arial" w:cs="Arial" w:eastAsia="Arial" w:hAnsi="Arial"/>
                <w:sz w:val="13"/>
                <w:szCs w:val="13"/>
                <w:i w:val="1"/>
                <w:iCs w:val="1"/>
                <w:color w:val="auto"/>
                <w:w w:val="98"/>
              </w:rPr>
              <w:t>(million bbls)</w:t>
            </w:r>
          </w:p>
        </w:tc>
        <w:tc>
          <w:tcPr>
            <w:tcW w:w="1400" w:type="dxa"/>
            <w:vAlign w:val="bottom"/>
          </w:tcPr>
          <w:p>
            <w:pPr>
              <w:jc w:val="center"/>
              <w:ind w:right="240"/>
              <w:spacing w:after="0"/>
              <w:rPr>
                <w:sz w:val="20"/>
                <w:szCs w:val="20"/>
                <w:color w:val="auto"/>
              </w:rPr>
            </w:pPr>
            <w:r>
              <w:rPr>
                <w:rFonts w:ascii="Arial" w:cs="Arial" w:eastAsia="Arial" w:hAnsi="Arial"/>
                <w:sz w:val="13"/>
                <w:szCs w:val="13"/>
                <w:i w:val="1"/>
                <w:iCs w:val="1"/>
                <w:color w:val="auto"/>
                <w:w w:val="98"/>
              </w:rPr>
              <w:t>(million bbls)</w:t>
            </w:r>
          </w:p>
        </w:tc>
        <w:tc>
          <w:tcPr>
            <w:tcW w:w="1460" w:type="dxa"/>
            <w:vAlign w:val="bottom"/>
          </w:tcPr>
          <w:p>
            <w:pPr>
              <w:jc w:val="right"/>
              <w:ind w:right="460"/>
              <w:spacing w:after="0"/>
              <w:rPr>
                <w:sz w:val="20"/>
                <w:szCs w:val="20"/>
                <w:color w:val="auto"/>
              </w:rPr>
            </w:pPr>
            <w:r>
              <w:rPr>
                <w:rFonts w:ascii="Arial" w:cs="Arial" w:eastAsia="Arial" w:hAnsi="Arial"/>
                <w:sz w:val="13"/>
                <w:szCs w:val="13"/>
                <w:i w:val="1"/>
                <w:iCs w:val="1"/>
                <w:color w:val="auto"/>
              </w:rPr>
              <w:t>(million bbls)</w:t>
            </w:r>
          </w:p>
        </w:tc>
        <w:tc>
          <w:tcPr>
            <w:tcW w:w="900" w:type="dxa"/>
            <w:vAlign w:val="bottom"/>
          </w:tcPr>
          <w:p>
            <w:pPr>
              <w:jc w:val="center"/>
              <w:ind w:left="115"/>
              <w:spacing w:after="0"/>
              <w:rPr>
                <w:sz w:val="20"/>
                <w:szCs w:val="20"/>
                <w:color w:val="auto"/>
              </w:rPr>
            </w:pPr>
            <w:r>
              <w:rPr>
                <w:rFonts w:ascii="Arial" w:cs="Arial" w:eastAsia="Arial" w:hAnsi="Arial"/>
                <w:sz w:val="13"/>
                <w:szCs w:val="13"/>
                <w:i w:val="1"/>
                <w:iCs w:val="1"/>
                <w:color w:val="auto"/>
                <w:w w:val="98"/>
              </w:rPr>
              <w:t>(million bbls)</w:t>
            </w:r>
          </w:p>
        </w:tc>
        <w:tc>
          <w:tcPr>
            <w:tcW w:w="1780" w:type="dxa"/>
            <w:vAlign w:val="bottom"/>
            <w:gridSpan w:val="2"/>
          </w:tcPr>
          <w:p>
            <w:pPr>
              <w:jc w:val="center"/>
              <w:ind w:left="140"/>
              <w:spacing w:after="0"/>
              <w:rPr>
                <w:sz w:val="20"/>
                <w:szCs w:val="20"/>
                <w:color w:val="auto"/>
              </w:rPr>
            </w:pPr>
            <w:r>
              <w:rPr>
                <w:rFonts w:ascii="Arial" w:cs="Arial" w:eastAsia="Arial" w:hAnsi="Arial"/>
                <w:sz w:val="13"/>
                <w:szCs w:val="13"/>
                <w:i w:val="1"/>
                <w:iCs w:val="1"/>
                <w:color w:val="auto"/>
                <w:w w:val="96"/>
              </w:rPr>
              <w:t>(billion cubic ft)</w:t>
            </w:r>
          </w:p>
        </w:tc>
        <w:tc>
          <w:tcPr>
            <w:tcW w:w="760" w:type="dxa"/>
            <w:vAlign w:val="bottom"/>
          </w:tcPr>
          <w:p>
            <w:pPr>
              <w:jc w:val="center"/>
              <w:ind w:left="135"/>
              <w:spacing w:after="0"/>
              <w:rPr>
                <w:sz w:val="20"/>
                <w:szCs w:val="20"/>
                <w:color w:val="auto"/>
              </w:rPr>
            </w:pPr>
            <w:r>
              <w:rPr>
                <w:rFonts w:ascii="Arial" w:cs="Arial" w:eastAsia="Arial" w:hAnsi="Arial"/>
                <w:sz w:val="13"/>
                <w:szCs w:val="13"/>
                <w:i w:val="1"/>
                <w:iCs w:val="1"/>
                <w:color w:val="auto"/>
                <w:w w:val="99"/>
              </w:rPr>
              <w:t>(million b</w:t>
            </w:r>
          </w:p>
        </w:tc>
      </w:tr>
      <w:tr>
        <w:trPr>
          <w:trHeight w:val="203"/>
        </w:trPr>
        <w:tc>
          <w:tcPr>
            <w:tcW w:w="3000" w:type="dxa"/>
            <w:vAlign w:val="bottom"/>
          </w:tcPr>
          <w:p>
            <w:pPr>
              <w:spacing w:after="0"/>
              <w:rPr>
                <w:sz w:val="20"/>
                <w:szCs w:val="20"/>
                <w:color w:val="auto"/>
              </w:rPr>
            </w:pPr>
            <w:r>
              <w:rPr>
                <w:rFonts w:ascii="Arial" w:cs="Arial" w:eastAsia="Arial" w:hAnsi="Arial"/>
                <w:sz w:val="16"/>
                <w:szCs w:val="16"/>
                <w:b w:val="1"/>
                <w:bCs w:val="1"/>
                <w:color w:val="auto"/>
              </w:rPr>
              <w:t>Proved Reserves</w:t>
            </w:r>
          </w:p>
        </w:tc>
        <w:tc>
          <w:tcPr>
            <w:tcW w:w="16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3000" w:type="dxa"/>
            <w:vAlign w:val="bottom"/>
          </w:tcPr>
          <w:p>
            <w:pPr>
              <w:ind w:left="240"/>
              <w:spacing w:after="0"/>
              <w:rPr>
                <w:sz w:val="20"/>
                <w:szCs w:val="20"/>
                <w:color w:val="auto"/>
              </w:rPr>
            </w:pPr>
            <w:r>
              <w:rPr>
                <w:rFonts w:ascii="Arial" w:cs="Arial" w:eastAsia="Arial" w:hAnsi="Arial"/>
                <w:sz w:val="16"/>
                <w:szCs w:val="16"/>
                <w:b w:val="1"/>
                <w:bCs w:val="1"/>
                <w:color w:val="auto"/>
              </w:rPr>
              <w:t>Developed</w:t>
            </w:r>
          </w:p>
        </w:tc>
        <w:tc>
          <w:tcPr>
            <w:tcW w:w="16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0"/>
        </w:trPr>
        <w:tc>
          <w:tcPr>
            <w:tcW w:w="3000" w:type="dxa"/>
            <w:vAlign w:val="bottom"/>
          </w:tcPr>
          <w:p>
            <w:pPr>
              <w:ind w:left="480"/>
              <w:spacing w:after="0"/>
              <w:rPr>
                <w:sz w:val="20"/>
                <w:szCs w:val="20"/>
                <w:color w:val="auto"/>
              </w:rPr>
            </w:pPr>
            <w:r>
              <w:rPr>
                <w:rFonts w:ascii="Arial" w:cs="Arial" w:eastAsia="Arial" w:hAnsi="Arial"/>
                <w:sz w:val="16"/>
                <w:szCs w:val="16"/>
                <w:b w:val="1"/>
                <w:bCs w:val="1"/>
                <w:color w:val="auto"/>
              </w:rPr>
              <w:t>Consolidated Subsidiaries</w:t>
            </w:r>
          </w:p>
        </w:tc>
        <w:tc>
          <w:tcPr>
            <w:tcW w:w="16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3000" w:type="dxa"/>
            <w:vAlign w:val="bottom"/>
          </w:tcPr>
          <w:p>
            <w:pPr>
              <w:ind w:left="700"/>
              <w:spacing w:after="0"/>
              <w:rPr>
                <w:sz w:val="20"/>
                <w:szCs w:val="20"/>
                <w:color w:val="auto"/>
              </w:rPr>
            </w:pPr>
            <w:r>
              <w:rPr>
                <w:rFonts w:ascii="Arial" w:cs="Arial" w:eastAsia="Arial" w:hAnsi="Arial"/>
                <w:sz w:val="16"/>
                <w:szCs w:val="16"/>
                <w:color w:val="auto"/>
              </w:rPr>
              <w:t>United States</w:t>
            </w:r>
          </w:p>
        </w:tc>
        <w:tc>
          <w:tcPr>
            <w:tcW w:w="1640" w:type="dxa"/>
            <w:vAlign w:val="bottom"/>
          </w:tcPr>
          <w:p>
            <w:pPr>
              <w:jc w:val="right"/>
              <w:ind w:right="120"/>
              <w:spacing w:after="0"/>
              <w:rPr>
                <w:sz w:val="20"/>
                <w:szCs w:val="20"/>
                <w:color w:val="auto"/>
              </w:rPr>
            </w:pPr>
            <w:r>
              <w:rPr>
                <w:rFonts w:ascii="Arial" w:cs="Arial" w:eastAsia="Arial" w:hAnsi="Arial"/>
                <w:sz w:val="16"/>
                <w:szCs w:val="16"/>
                <w:color w:val="auto"/>
              </w:rPr>
              <w:t>1,215</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287</w:t>
            </w: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7"/>
                <w:szCs w:val="17"/>
                <w:color w:val="auto"/>
              </w:rPr>
            </w:pPr>
          </w:p>
        </w:tc>
        <w:tc>
          <w:tcPr>
            <w:tcW w:w="1140" w:type="dxa"/>
            <w:vAlign w:val="bottom"/>
          </w:tcPr>
          <w:p>
            <w:pPr>
              <w:jc w:val="right"/>
              <w:ind w:right="80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78"/>
              <w:spacing w:after="0"/>
              <w:rPr>
                <w:sz w:val="20"/>
                <w:szCs w:val="20"/>
                <w:color w:val="auto"/>
              </w:rPr>
            </w:pPr>
            <w:r>
              <w:rPr>
                <w:rFonts w:ascii="Arial" w:cs="Arial" w:eastAsia="Arial" w:hAnsi="Arial"/>
                <w:sz w:val="16"/>
                <w:szCs w:val="16"/>
                <w:color w:val="auto"/>
                <w:w w:val="93"/>
              </w:rPr>
              <w:t>14,169</w:t>
            </w:r>
          </w:p>
        </w:tc>
        <w:tc>
          <w:tcPr>
            <w:tcW w:w="760" w:type="dxa"/>
            <w:vAlign w:val="bottom"/>
          </w:tcPr>
          <w:p>
            <w:pPr>
              <w:spacing w:after="0"/>
              <w:rPr>
                <w:sz w:val="17"/>
                <w:szCs w:val="17"/>
                <w:color w:val="auto"/>
              </w:rPr>
            </w:pPr>
          </w:p>
        </w:tc>
      </w:tr>
      <w:tr>
        <w:trPr>
          <w:trHeight w:val="196"/>
        </w:trPr>
        <w:tc>
          <w:tcPr>
            <w:tcW w:w="3000" w:type="dxa"/>
            <w:vAlign w:val="bottom"/>
          </w:tcPr>
          <w:p>
            <w:pPr>
              <w:ind w:left="700"/>
              <w:spacing w:after="0"/>
              <w:rPr>
                <w:sz w:val="20"/>
                <w:szCs w:val="20"/>
                <w:color w:val="auto"/>
              </w:rPr>
            </w:pPr>
            <w:r>
              <w:rPr>
                <w:rFonts w:ascii="Arial" w:cs="Arial" w:eastAsia="Arial" w:hAnsi="Arial"/>
                <w:sz w:val="16"/>
                <w:szCs w:val="16"/>
                <w:color w:val="auto"/>
              </w:rPr>
              <w:t xml:space="preserve">Canada/South America </w:t>
            </w:r>
            <w:r>
              <w:rPr>
                <w:rFonts w:ascii="Arial" w:cs="Arial" w:eastAsia="Arial" w:hAnsi="Arial"/>
                <w:sz w:val="13"/>
                <w:szCs w:val="13"/>
                <w:i w:val="1"/>
                <w:iCs w:val="1"/>
                <w:color w:val="auto"/>
              </w:rPr>
              <w:t>(1)</w:t>
            </w:r>
          </w:p>
        </w:tc>
        <w:tc>
          <w:tcPr>
            <w:tcW w:w="1640" w:type="dxa"/>
            <w:vAlign w:val="bottom"/>
          </w:tcPr>
          <w:p>
            <w:pPr>
              <w:jc w:val="right"/>
              <w:ind w:right="120"/>
              <w:spacing w:after="0"/>
              <w:rPr>
                <w:sz w:val="20"/>
                <w:szCs w:val="20"/>
                <w:color w:val="auto"/>
              </w:rPr>
            </w:pPr>
            <w:r>
              <w:rPr>
                <w:rFonts w:ascii="Arial" w:cs="Arial" w:eastAsia="Arial" w:hAnsi="Arial"/>
                <w:sz w:val="16"/>
                <w:szCs w:val="16"/>
                <w:color w:val="auto"/>
              </w:rPr>
              <w:t>98</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13</w:t>
            </w: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2,122</w:t>
            </w:r>
          </w:p>
        </w:tc>
        <w:tc>
          <w:tcPr>
            <w:tcW w:w="900" w:type="dxa"/>
            <w:vAlign w:val="bottom"/>
          </w:tcPr>
          <w:p>
            <w:pPr>
              <w:spacing w:after="0"/>
              <w:rPr>
                <w:sz w:val="17"/>
                <w:szCs w:val="17"/>
                <w:color w:val="auto"/>
              </w:rPr>
            </w:pPr>
          </w:p>
        </w:tc>
        <w:tc>
          <w:tcPr>
            <w:tcW w:w="1140" w:type="dxa"/>
            <w:vAlign w:val="bottom"/>
          </w:tcPr>
          <w:p>
            <w:pPr>
              <w:jc w:val="right"/>
              <w:ind w:right="800"/>
              <w:spacing w:after="0"/>
              <w:rPr>
                <w:sz w:val="20"/>
                <w:szCs w:val="20"/>
                <w:color w:val="auto"/>
              </w:rPr>
            </w:pPr>
            <w:r>
              <w:rPr>
                <w:rFonts w:ascii="Arial" w:cs="Arial" w:eastAsia="Arial" w:hAnsi="Arial"/>
                <w:sz w:val="16"/>
                <w:szCs w:val="16"/>
                <w:color w:val="auto"/>
                <w:w w:val="89"/>
              </w:rPr>
              <w:t>534</w:t>
            </w:r>
          </w:p>
        </w:tc>
        <w:tc>
          <w:tcPr>
            <w:tcW w:w="640" w:type="dxa"/>
            <w:vAlign w:val="bottom"/>
          </w:tcPr>
          <w:p>
            <w:pPr>
              <w:jc w:val="right"/>
              <w:ind w:right="78"/>
              <w:spacing w:after="0"/>
              <w:rPr>
                <w:sz w:val="20"/>
                <w:szCs w:val="20"/>
                <w:color w:val="auto"/>
              </w:rPr>
            </w:pPr>
            <w:r>
              <w:rPr>
                <w:rFonts w:ascii="Arial" w:cs="Arial" w:eastAsia="Arial" w:hAnsi="Arial"/>
                <w:sz w:val="16"/>
                <w:szCs w:val="16"/>
                <w:color w:val="auto"/>
              </w:rPr>
              <w:t>615</w:t>
            </w:r>
          </w:p>
        </w:tc>
        <w:tc>
          <w:tcPr>
            <w:tcW w:w="760" w:type="dxa"/>
            <w:vAlign w:val="bottom"/>
          </w:tcPr>
          <w:p>
            <w:pPr>
              <w:spacing w:after="0"/>
              <w:rPr>
                <w:sz w:val="17"/>
                <w:szCs w:val="17"/>
                <w:color w:val="auto"/>
              </w:rPr>
            </w:pPr>
          </w:p>
        </w:tc>
      </w:tr>
      <w:tr>
        <w:trPr>
          <w:trHeight w:val="196"/>
        </w:trPr>
        <w:tc>
          <w:tcPr>
            <w:tcW w:w="3000" w:type="dxa"/>
            <w:vAlign w:val="bottom"/>
          </w:tcPr>
          <w:p>
            <w:pPr>
              <w:ind w:left="700"/>
              <w:spacing w:after="0"/>
              <w:rPr>
                <w:sz w:val="20"/>
                <w:szCs w:val="20"/>
                <w:color w:val="auto"/>
              </w:rPr>
            </w:pPr>
            <w:r>
              <w:rPr>
                <w:rFonts w:ascii="Arial" w:cs="Arial" w:eastAsia="Arial" w:hAnsi="Arial"/>
                <w:sz w:val="16"/>
                <w:szCs w:val="16"/>
                <w:color w:val="auto"/>
              </w:rPr>
              <w:t>Europe</w:t>
            </w:r>
          </w:p>
        </w:tc>
        <w:tc>
          <w:tcPr>
            <w:tcW w:w="1640" w:type="dxa"/>
            <w:vAlign w:val="bottom"/>
          </w:tcPr>
          <w:p>
            <w:pPr>
              <w:jc w:val="right"/>
              <w:ind w:right="120"/>
              <w:spacing w:after="0"/>
              <w:rPr>
                <w:sz w:val="20"/>
                <w:szCs w:val="20"/>
                <w:color w:val="auto"/>
              </w:rPr>
            </w:pPr>
            <w:r>
              <w:rPr>
                <w:rFonts w:ascii="Arial" w:cs="Arial" w:eastAsia="Arial" w:hAnsi="Arial"/>
                <w:sz w:val="16"/>
                <w:szCs w:val="16"/>
                <w:color w:val="auto"/>
              </w:rPr>
              <w:t>170</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35</w:t>
            </w: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7"/>
                <w:szCs w:val="17"/>
                <w:color w:val="auto"/>
              </w:rPr>
            </w:pPr>
          </w:p>
        </w:tc>
        <w:tc>
          <w:tcPr>
            <w:tcW w:w="1140" w:type="dxa"/>
            <w:vAlign w:val="bottom"/>
          </w:tcPr>
          <w:p>
            <w:pPr>
              <w:jc w:val="right"/>
              <w:ind w:right="80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78"/>
              <w:spacing w:after="0"/>
              <w:rPr>
                <w:sz w:val="20"/>
                <w:szCs w:val="20"/>
                <w:color w:val="auto"/>
              </w:rPr>
            </w:pPr>
            <w:r>
              <w:rPr>
                <w:rFonts w:ascii="Arial" w:cs="Arial" w:eastAsia="Arial" w:hAnsi="Arial"/>
                <w:sz w:val="16"/>
                <w:szCs w:val="16"/>
                <w:color w:val="auto"/>
              </w:rPr>
              <w:t>1,870</w:t>
            </w:r>
          </w:p>
        </w:tc>
        <w:tc>
          <w:tcPr>
            <w:tcW w:w="760" w:type="dxa"/>
            <w:vAlign w:val="bottom"/>
          </w:tcPr>
          <w:p>
            <w:pPr>
              <w:spacing w:after="0"/>
              <w:rPr>
                <w:sz w:val="17"/>
                <w:szCs w:val="17"/>
                <w:color w:val="auto"/>
              </w:rPr>
            </w:pPr>
          </w:p>
        </w:tc>
      </w:tr>
      <w:tr>
        <w:trPr>
          <w:trHeight w:val="196"/>
        </w:trPr>
        <w:tc>
          <w:tcPr>
            <w:tcW w:w="3000" w:type="dxa"/>
            <w:vAlign w:val="bottom"/>
          </w:tcPr>
          <w:p>
            <w:pPr>
              <w:ind w:left="700"/>
              <w:spacing w:after="0"/>
              <w:rPr>
                <w:sz w:val="20"/>
                <w:szCs w:val="20"/>
                <w:color w:val="auto"/>
              </w:rPr>
            </w:pPr>
            <w:r>
              <w:rPr>
                <w:rFonts w:ascii="Arial" w:cs="Arial" w:eastAsia="Arial" w:hAnsi="Arial"/>
                <w:sz w:val="16"/>
                <w:szCs w:val="16"/>
                <w:color w:val="auto"/>
              </w:rPr>
              <w:t>Africa</w:t>
            </w:r>
          </w:p>
        </w:tc>
        <w:tc>
          <w:tcPr>
            <w:tcW w:w="1640" w:type="dxa"/>
            <w:vAlign w:val="bottom"/>
          </w:tcPr>
          <w:p>
            <w:pPr>
              <w:jc w:val="right"/>
              <w:ind w:right="120"/>
              <w:spacing w:after="0"/>
              <w:rPr>
                <w:sz w:val="20"/>
                <w:szCs w:val="20"/>
                <w:color w:val="auto"/>
              </w:rPr>
            </w:pPr>
            <w:r>
              <w:rPr>
                <w:rFonts w:ascii="Arial" w:cs="Arial" w:eastAsia="Arial" w:hAnsi="Arial"/>
                <w:sz w:val="16"/>
                <w:szCs w:val="16"/>
                <w:color w:val="auto"/>
              </w:rPr>
              <w:t>722</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172</w:t>
            </w: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7"/>
                <w:szCs w:val="17"/>
                <w:color w:val="auto"/>
              </w:rPr>
            </w:pPr>
          </w:p>
        </w:tc>
        <w:tc>
          <w:tcPr>
            <w:tcW w:w="1140" w:type="dxa"/>
            <w:vAlign w:val="bottom"/>
          </w:tcPr>
          <w:p>
            <w:pPr>
              <w:jc w:val="right"/>
              <w:ind w:right="80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78"/>
              <w:spacing w:after="0"/>
              <w:rPr>
                <w:sz w:val="20"/>
                <w:szCs w:val="20"/>
                <w:color w:val="auto"/>
              </w:rPr>
            </w:pPr>
            <w:r>
              <w:rPr>
                <w:rFonts w:ascii="Arial" w:cs="Arial" w:eastAsia="Arial" w:hAnsi="Arial"/>
                <w:sz w:val="16"/>
                <w:szCs w:val="16"/>
                <w:color w:val="auto"/>
              </w:rPr>
              <w:t>764</w:t>
            </w:r>
          </w:p>
        </w:tc>
        <w:tc>
          <w:tcPr>
            <w:tcW w:w="760" w:type="dxa"/>
            <w:vAlign w:val="bottom"/>
          </w:tcPr>
          <w:p>
            <w:pPr>
              <w:spacing w:after="0"/>
              <w:rPr>
                <w:sz w:val="17"/>
                <w:szCs w:val="17"/>
                <w:color w:val="auto"/>
              </w:rPr>
            </w:pPr>
          </w:p>
        </w:tc>
      </w:tr>
      <w:tr>
        <w:trPr>
          <w:trHeight w:val="196"/>
        </w:trPr>
        <w:tc>
          <w:tcPr>
            <w:tcW w:w="3000" w:type="dxa"/>
            <w:vAlign w:val="bottom"/>
          </w:tcPr>
          <w:p>
            <w:pPr>
              <w:ind w:left="700"/>
              <w:spacing w:after="0"/>
              <w:rPr>
                <w:sz w:val="20"/>
                <w:szCs w:val="20"/>
                <w:color w:val="auto"/>
              </w:rPr>
            </w:pPr>
            <w:r>
              <w:rPr>
                <w:rFonts w:ascii="Arial" w:cs="Arial" w:eastAsia="Arial" w:hAnsi="Arial"/>
                <w:sz w:val="16"/>
                <w:szCs w:val="16"/>
                <w:color w:val="auto"/>
              </w:rPr>
              <w:t>Asia</w:t>
            </w:r>
          </w:p>
        </w:tc>
        <w:tc>
          <w:tcPr>
            <w:tcW w:w="1640" w:type="dxa"/>
            <w:vAlign w:val="bottom"/>
          </w:tcPr>
          <w:p>
            <w:pPr>
              <w:jc w:val="right"/>
              <w:ind w:right="120"/>
              <w:spacing w:after="0"/>
              <w:rPr>
                <w:sz w:val="20"/>
                <w:szCs w:val="20"/>
                <w:color w:val="auto"/>
              </w:rPr>
            </w:pPr>
            <w:r>
              <w:rPr>
                <w:rFonts w:ascii="Arial" w:cs="Arial" w:eastAsia="Arial" w:hAnsi="Arial"/>
                <w:sz w:val="16"/>
                <w:szCs w:val="16"/>
                <w:color w:val="auto"/>
              </w:rPr>
              <w:t>1,481</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134</w:t>
            </w: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7"/>
                <w:szCs w:val="17"/>
                <w:color w:val="auto"/>
              </w:rPr>
            </w:pPr>
          </w:p>
        </w:tc>
        <w:tc>
          <w:tcPr>
            <w:tcW w:w="1140" w:type="dxa"/>
            <w:vAlign w:val="bottom"/>
          </w:tcPr>
          <w:p>
            <w:pPr>
              <w:jc w:val="right"/>
              <w:ind w:right="80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78"/>
              <w:spacing w:after="0"/>
              <w:rPr>
                <w:sz w:val="20"/>
                <w:szCs w:val="20"/>
                <w:color w:val="auto"/>
              </w:rPr>
            </w:pPr>
            <w:r>
              <w:rPr>
                <w:rFonts w:ascii="Arial" w:cs="Arial" w:eastAsia="Arial" w:hAnsi="Arial"/>
                <w:sz w:val="16"/>
                <w:szCs w:val="16"/>
                <w:color w:val="auto"/>
              </w:rPr>
              <w:t>5,031</w:t>
            </w:r>
          </w:p>
        </w:tc>
        <w:tc>
          <w:tcPr>
            <w:tcW w:w="760" w:type="dxa"/>
            <w:vAlign w:val="bottom"/>
          </w:tcPr>
          <w:p>
            <w:pPr>
              <w:spacing w:after="0"/>
              <w:rPr>
                <w:sz w:val="17"/>
                <w:szCs w:val="17"/>
                <w:color w:val="auto"/>
              </w:rPr>
            </w:pPr>
          </w:p>
        </w:tc>
      </w:tr>
      <w:tr>
        <w:trPr>
          <w:trHeight w:val="208"/>
        </w:trPr>
        <w:tc>
          <w:tcPr>
            <w:tcW w:w="3000" w:type="dxa"/>
            <w:vAlign w:val="bottom"/>
          </w:tcPr>
          <w:p>
            <w:pPr>
              <w:ind w:left="700"/>
              <w:spacing w:after="0"/>
              <w:rPr>
                <w:sz w:val="20"/>
                <w:szCs w:val="20"/>
                <w:color w:val="auto"/>
              </w:rPr>
            </w:pPr>
            <w:r>
              <w:rPr>
                <w:rFonts w:ascii="Arial" w:cs="Arial" w:eastAsia="Arial" w:hAnsi="Arial"/>
                <w:sz w:val="16"/>
                <w:szCs w:val="16"/>
                <w:color w:val="auto"/>
              </w:rPr>
              <w:t>Australia/Oceania</w:t>
            </w:r>
          </w:p>
        </w:tc>
        <w:tc>
          <w:tcPr>
            <w:tcW w:w="16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74</w:t>
            </w: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38</w:t>
            </w:r>
          </w:p>
        </w:tc>
        <w:tc>
          <w:tcPr>
            <w:tcW w:w="14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2,179</w:t>
            </w:r>
          </w:p>
        </w:tc>
        <w:tc>
          <w:tcPr>
            <w:tcW w:w="760" w:type="dxa"/>
            <w:vAlign w:val="bottom"/>
            <w:tcBorders>
              <w:bottom w:val="single" w:sz="8" w:color="auto"/>
            </w:tcBorders>
          </w:tcPr>
          <w:p>
            <w:pPr>
              <w:spacing w:after="0"/>
              <w:rPr>
                <w:sz w:val="18"/>
                <w:szCs w:val="18"/>
                <w:color w:val="auto"/>
              </w:rPr>
            </w:pPr>
          </w:p>
        </w:tc>
      </w:tr>
      <w:tr>
        <w:trPr>
          <w:trHeight w:val="201"/>
        </w:trPr>
        <w:tc>
          <w:tcPr>
            <w:tcW w:w="3000" w:type="dxa"/>
            <w:vAlign w:val="bottom"/>
          </w:tcPr>
          <w:p>
            <w:pPr>
              <w:ind w:left="940"/>
              <w:spacing w:after="0"/>
              <w:rPr>
                <w:sz w:val="20"/>
                <w:szCs w:val="20"/>
                <w:color w:val="auto"/>
              </w:rPr>
            </w:pPr>
            <w:r>
              <w:rPr>
                <w:rFonts w:ascii="Arial" w:cs="Arial" w:eastAsia="Arial" w:hAnsi="Arial"/>
                <w:sz w:val="16"/>
                <w:szCs w:val="16"/>
                <w:color w:val="auto"/>
              </w:rPr>
              <w:t>Total Consolidated</w:t>
            </w:r>
          </w:p>
        </w:tc>
        <w:tc>
          <w:tcPr>
            <w:tcW w:w="1640" w:type="dxa"/>
            <w:vAlign w:val="bottom"/>
          </w:tcPr>
          <w:p>
            <w:pPr>
              <w:jc w:val="right"/>
              <w:ind w:right="120"/>
              <w:spacing w:after="0"/>
              <w:rPr>
                <w:sz w:val="20"/>
                <w:szCs w:val="20"/>
                <w:color w:val="auto"/>
              </w:rPr>
            </w:pPr>
            <w:r>
              <w:rPr>
                <w:rFonts w:ascii="Arial" w:cs="Arial" w:eastAsia="Arial" w:hAnsi="Arial"/>
                <w:sz w:val="16"/>
                <w:szCs w:val="16"/>
                <w:color w:val="auto"/>
              </w:rPr>
              <w:t>3,760</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679</w:t>
            </w: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2,122</w:t>
            </w:r>
          </w:p>
        </w:tc>
        <w:tc>
          <w:tcPr>
            <w:tcW w:w="900" w:type="dxa"/>
            <w:vAlign w:val="bottom"/>
          </w:tcPr>
          <w:p>
            <w:pPr>
              <w:spacing w:after="0"/>
              <w:rPr>
                <w:sz w:val="17"/>
                <w:szCs w:val="17"/>
                <w:color w:val="auto"/>
              </w:rPr>
            </w:pPr>
          </w:p>
        </w:tc>
        <w:tc>
          <w:tcPr>
            <w:tcW w:w="1140" w:type="dxa"/>
            <w:vAlign w:val="bottom"/>
          </w:tcPr>
          <w:p>
            <w:pPr>
              <w:jc w:val="right"/>
              <w:ind w:right="800"/>
              <w:spacing w:after="0"/>
              <w:rPr>
                <w:sz w:val="20"/>
                <w:szCs w:val="20"/>
                <w:color w:val="auto"/>
              </w:rPr>
            </w:pPr>
            <w:r>
              <w:rPr>
                <w:rFonts w:ascii="Arial" w:cs="Arial" w:eastAsia="Arial" w:hAnsi="Arial"/>
                <w:sz w:val="16"/>
                <w:szCs w:val="16"/>
                <w:color w:val="auto"/>
                <w:w w:val="89"/>
              </w:rPr>
              <w:t>534</w:t>
            </w:r>
          </w:p>
        </w:tc>
        <w:tc>
          <w:tcPr>
            <w:tcW w:w="640" w:type="dxa"/>
            <w:vAlign w:val="bottom"/>
          </w:tcPr>
          <w:p>
            <w:pPr>
              <w:jc w:val="right"/>
              <w:ind w:right="78"/>
              <w:spacing w:after="0"/>
              <w:rPr>
                <w:sz w:val="20"/>
                <w:szCs w:val="20"/>
                <w:color w:val="auto"/>
              </w:rPr>
            </w:pPr>
            <w:r>
              <w:rPr>
                <w:rFonts w:ascii="Arial" w:cs="Arial" w:eastAsia="Arial" w:hAnsi="Arial"/>
                <w:sz w:val="16"/>
                <w:szCs w:val="16"/>
                <w:color w:val="auto"/>
                <w:w w:val="93"/>
              </w:rPr>
              <w:t>24,628</w:t>
            </w:r>
          </w:p>
        </w:tc>
        <w:tc>
          <w:tcPr>
            <w:tcW w:w="760" w:type="dxa"/>
            <w:vAlign w:val="bottom"/>
          </w:tcPr>
          <w:p>
            <w:pPr>
              <w:spacing w:after="0"/>
              <w:rPr>
                <w:sz w:val="17"/>
                <w:szCs w:val="17"/>
                <w:color w:val="auto"/>
              </w:rPr>
            </w:pPr>
          </w:p>
        </w:tc>
      </w:tr>
      <w:tr>
        <w:trPr>
          <w:trHeight w:val="368"/>
        </w:trPr>
        <w:tc>
          <w:tcPr>
            <w:tcW w:w="3000" w:type="dxa"/>
            <w:vAlign w:val="bottom"/>
          </w:tcPr>
          <w:p>
            <w:pPr>
              <w:ind w:left="480"/>
              <w:spacing w:after="0"/>
              <w:rPr>
                <w:sz w:val="20"/>
                <w:szCs w:val="20"/>
                <w:color w:val="auto"/>
              </w:rPr>
            </w:pPr>
            <w:r>
              <w:rPr>
                <w:rFonts w:ascii="Arial" w:cs="Arial" w:eastAsia="Arial" w:hAnsi="Arial"/>
                <w:sz w:val="16"/>
                <w:szCs w:val="16"/>
                <w:b w:val="1"/>
                <w:bCs w:val="1"/>
                <w:color w:val="auto"/>
              </w:rPr>
              <w:t>Equity Companies</w:t>
            </w:r>
          </w:p>
        </w:tc>
        <w:tc>
          <w:tcPr>
            <w:tcW w:w="1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3000" w:type="dxa"/>
            <w:vAlign w:val="bottom"/>
          </w:tcPr>
          <w:p>
            <w:pPr>
              <w:ind w:left="700"/>
              <w:spacing w:after="0"/>
              <w:rPr>
                <w:sz w:val="20"/>
                <w:szCs w:val="20"/>
                <w:color w:val="auto"/>
              </w:rPr>
            </w:pPr>
            <w:r>
              <w:rPr>
                <w:rFonts w:ascii="Arial" w:cs="Arial" w:eastAsia="Arial" w:hAnsi="Arial"/>
                <w:sz w:val="16"/>
                <w:szCs w:val="16"/>
                <w:color w:val="auto"/>
              </w:rPr>
              <w:t>United States</w:t>
            </w:r>
          </w:p>
        </w:tc>
        <w:tc>
          <w:tcPr>
            <w:tcW w:w="1640" w:type="dxa"/>
            <w:vAlign w:val="bottom"/>
          </w:tcPr>
          <w:p>
            <w:pPr>
              <w:jc w:val="right"/>
              <w:ind w:right="120"/>
              <w:spacing w:after="0"/>
              <w:rPr>
                <w:sz w:val="20"/>
                <w:szCs w:val="20"/>
                <w:color w:val="auto"/>
              </w:rPr>
            </w:pPr>
            <w:r>
              <w:rPr>
                <w:rFonts w:ascii="Arial" w:cs="Arial" w:eastAsia="Arial" w:hAnsi="Arial"/>
                <w:sz w:val="16"/>
                <w:szCs w:val="16"/>
                <w:color w:val="auto"/>
              </w:rPr>
              <w:t>259</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10</w:t>
            </w: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7"/>
                <w:szCs w:val="17"/>
                <w:color w:val="auto"/>
              </w:rPr>
            </w:pPr>
          </w:p>
        </w:tc>
        <w:tc>
          <w:tcPr>
            <w:tcW w:w="1140" w:type="dxa"/>
            <w:vAlign w:val="bottom"/>
          </w:tcPr>
          <w:p>
            <w:pPr>
              <w:jc w:val="right"/>
              <w:ind w:right="80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78"/>
              <w:spacing w:after="0"/>
              <w:rPr>
                <w:sz w:val="20"/>
                <w:szCs w:val="20"/>
                <w:color w:val="auto"/>
              </w:rPr>
            </w:pPr>
            <w:r>
              <w:rPr>
                <w:rFonts w:ascii="Arial" w:cs="Arial" w:eastAsia="Arial" w:hAnsi="Arial"/>
                <w:sz w:val="16"/>
                <w:szCs w:val="16"/>
                <w:color w:val="auto"/>
              </w:rPr>
              <w:t>194</w:t>
            </w:r>
          </w:p>
        </w:tc>
        <w:tc>
          <w:tcPr>
            <w:tcW w:w="760" w:type="dxa"/>
            <w:vAlign w:val="bottom"/>
          </w:tcPr>
          <w:p>
            <w:pPr>
              <w:spacing w:after="0"/>
              <w:rPr>
                <w:sz w:val="17"/>
                <w:szCs w:val="17"/>
                <w:color w:val="auto"/>
              </w:rPr>
            </w:pPr>
          </w:p>
        </w:tc>
      </w:tr>
      <w:tr>
        <w:trPr>
          <w:trHeight w:val="196"/>
        </w:trPr>
        <w:tc>
          <w:tcPr>
            <w:tcW w:w="3000" w:type="dxa"/>
            <w:vAlign w:val="bottom"/>
          </w:tcPr>
          <w:p>
            <w:pPr>
              <w:ind w:left="700"/>
              <w:spacing w:after="0"/>
              <w:rPr>
                <w:sz w:val="20"/>
                <w:szCs w:val="20"/>
                <w:color w:val="auto"/>
              </w:rPr>
            </w:pPr>
            <w:r>
              <w:rPr>
                <w:rFonts w:ascii="Arial" w:cs="Arial" w:eastAsia="Arial" w:hAnsi="Arial"/>
                <w:sz w:val="16"/>
                <w:szCs w:val="16"/>
                <w:color w:val="auto"/>
              </w:rPr>
              <w:t>Europe</w:t>
            </w:r>
          </w:p>
        </w:tc>
        <w:tc>
          <w:tcPr>
            <w:tcW w:w="1640" w:type="dxa"/>
            <w:vAlign w:val="bottom"/>
          </w:tcPr>
          <w:p>
            <w:pPr>
              <w:jc w:val="right"/>
              <w:ind w:right="120"/>
              <w:spacing w:after="0"/>
              <w:rPr>
                <w:sz w:val="20"/>
                <w:szCs w:val="20"/>
                <w:color w:val="auto"/>
              </w:rPr>
            </w:pPr>
            <w:r>
              <w:rPr>
                <w:rFonts w:ascii="Arial" w:cs="Arial" w:eastAsia="Arial" w:hAnsi="Arial"/>
                <w:sz w:val="16"/>
                <w:szCs w:val="16"/>
                <w:color w:val="auto"/>
              </w:rPr>
              <w:t>26</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7"/>
                <w:szCs w:val="17"/>
                <w:color w:val="auto"/>
              </w:rPr>
            </w:pPr>
          </w:p>
        </w:tc>
        <w:tc>
          <w:tcPr>
            <w:tcW w:w="1140" w:type="dxa"/>
            <w:vAlign w:val="bottom"/>
          </w:tcPr>
          <w:p>
            <w:pPr>
              <w:jc w:val="right"/>
              <w:ind w:right="80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78"/>
              <w:spacing w:after="0"/>
              <w:rPr>
                <w:sz w:val="20"/>
                <w:szCs w:val="20"/>
                <w:color w:val="auto"/>
              </w:rPr>
            </w:pPr>
            <w:r>
              <w:rPr>
                <w:rFonts w:ascii="Arial" w:cs="Arial" w:eastAsia="Arial" w:hAnsi="Arial"/>
                <w:sz w:val="16"/>
                <w:szCs w:val="16"/>
                <w:color w:val="auto"/>
              </w:rPr>
              <w:t>6,484</w:t>
            </w:r>
          </w:p>
        </w:tc>
        <w:tc>
          <w:tcPr>
            <w:tcW w:w="760" w:type="dxa"/>
            <w:vAlign w:val="bottom"/>
          </w:tcPr>
          <w:p>
            <w:pPr>
              <w:spacing w:after="0"/>
              <w:rPr>
                <w:sz w:val="17"/>
                <w:szCs w:val="17"/>
                <w:color w:val="auto"/>
              </w:rPr>
            </w:pPr>
          </w:p>
        </w:tc>
      </w:tr>
      <w:tr>
        <w:trPr>
          <w:trHeight w:val="208"/>
        </w:trPr>
        <w:tc>
          <w:tcPr>
            <w:tcW w:w="3000" w:type="dxa"/>
            <w:vAlign w:val="bottom"/>
          </w:tcPr>
          <w:p>
            <w:pPr>
              <w:ind w:left="700"/>
              <w:spacing w:after="0"/>
              <w:rPr>
                <w:sz w:val="20"/>
                <w:szCs w:val="20"/>
                <w:color w:val="auto"/>
              </w:rPr>
            </w:pPr>
            <w:r>
              <w:rPr>
                <w:rFonts w:ascii="Arial" w:cs="Arial" w:eastAsia="Arial" w:hAnsi="Arial"/>
                <w:sz w:val="16"/>
                <w:szCs w:val="16"/>
                <w:color w:val="auto"/>
              </w:rPr>
              <w:t>Asia</w:t>
            </w:r>
          </w:p>
        </w:tc>
        <w:tc>
          <w:tcPr>
            <w:tcW w:w="16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822</w:t>
            </w: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366</w:t>
            </w:r>
          </w:p>
        </w:tc>
        <w:tc>
          <w:tcPr>
            <w:tcW w:w="14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w w:val="93"/>
              </w:rPr>
              <w:t>16,305</w:t>
            </w:r>
          </w:p>
        </w:tc>
        <w:tc>
          <w:tcPr>
            <w:tcW w:w="760" w:type="dxa"/>
            <w:vAlign w:val="bottom"/>
            <w:tcBorders>
              <w:bottom w:val="single" w:sz="8" w:color="auto"/>
            </w:tcBorders>
          </w:tcPr>
          <w:p>
            <w:pPr>
              <w:spacing w:after="0"/>
              <w:rPr>
                <w:sz w:val="18"/>
                <w:szCs w:val="18"/>
                <w:color w:val="auto"/>
              </w:rPr>
            </w:pPr>
          </w:p>
        </w:tc>
      </w:tr>
      <w:tr>
        <w:trPr>
          <w:trHeight w:val="189"/>
        </w:trPr>
        <w:tc>
          <w:tcPr>
            <w:tcW w:w="3000" w:type="dxa"/>
            <w:vAlign w:val="bottom"/>
          </w:tcPr>
          <w:p>
            <w:pPr>
              <w:ind w:left="940"/>
              <w:spacing w:after="0"/>
              <w:rPr>
                <w:sz w:val="20"/>
                <w:szCs w:val="20"/>
                <w:color w:val="auto"/>
              </w:rPr>
            </w:pPr>
            <w:r>
              <w:rPr>
                <w:rFonts w:ascii="Arial" w:cs="Arial" w:eastAsia="Arial" w:hAnsi="Arial"/>
                <w:sz w:val="16"/>
                <w:szCs w:val="16"/>
                <w:color w:val="auto"/>
              </w:rPr>
              <w:t>Total Equity Company</w:t>
            </w:r>
          </w:p>
        </w:tc>
        <w:tc>
          <w:tcPr>
            <w:tcW w:w="16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1,107</w:t>
            </w: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376</w:t>
            </w:r>
          </w:p>
        </w:tc>
        <w:tc>
          <w:tcPr>
            <w:tcW w:w="14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w w:val="93"/>
              </w:rPr>
              <w:t>22,983</w:t>
            </w:r>
          </w:p>
        </w:tc>
        <w:tc>
          <w:tcPr>
            <w:tcW w:w="760" w:type="dxa"/>
            <w:vAlign w:val="bottom"/>
            <w:tcBorders>
              <w:bottom w:val="single" w:sz="8" w:color="auto"/>
            </w:tcBorders>
          </w:tcPr>
          <w:p>
            <w:pPr>
              <w:spacing w:after="0"/>
              <w:rPr>
                <w:sz w:val="16"/>
                <w:szCs w:val="16"/>
                <w:color w:val="auto"/>
              </w:rPr>
            </w:pPr>
          </w:p>
        </w:tc>
      </w:tr>
      <w:tr>
        <w:trPr>
          <w:trHeight w:val="200"/>
        </w:trPr>
        <w:tc>
          <w:tcPr>
            <w:tcW w:w="3000" w:type="dxa"/>
            <w:vAlign w:val="bottom"/>
          </w:tcPr>
          <w:p>
            <w:pPr>
              <w:ind w:left="940"/>
              <w:spacing w:after="0"/>
              <w:rPr>
                <w:sz w:val="20"/>
                <w:szCs w:val="20"/>
                <w:color w:val="auto"/>
              </w:rPr>
            </w:pPr>
            <w:r>
              <w:rPr>
                <w:rFonts w:ascii="Arial" w:cs="Arial" w:eastAsia="Arial" w:hAnsi="Arial"/>
                <w:sz w:val="16"/>
                <w:szCs w:val="16"/>
                <w:color w:val="auto"/>
              </w:rPr>
              <w:t>Total Developed</w:t>
            </w:r>
          </w:p>
        </w:tc>
        <w:tc>
          <w:tcPr>
            <w:tcW w:w="1640" w:type="dxa"/>
            <w:vAlign w:val="bottom"/>
          </w:tcPr>
          <w:p>
            <w:pPr>
              <w:jc w:val="right"/>
              <w:ind w:right="120"/>
              <w:spacing w:after="0"/>
              <w:rPr>
                <w:sz w:val="20"/>
                <w:szCs w:val="20"/>
                <w:color w:val="auto"/>
              </w:rPr>
            </w:pPr>
            <w:r>
              <w:rPr>
                <w:rFonts w:ascii="Arial" w:cs="Arial" w:eastAsia="Arial" w:hAnsi="Arial"/>
                <w:sz w:val="16"/>
                <w:szCs w:val="16"/>
                <w:color w:val="auto"/>
              </w:rPr>
              <w:t>4,867</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1,055</w:t>
            </w: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2,122</w:t>
            </w:r>
          </w:p>
        </w:tc>
        <w:tc>
          <w:tcPr>
            <w:tcW w:w="900" w:type="dxa"/>
            <w:vAlign w:val="bottom"/>
          </w:tcPr>
          <w:p>
            <w:pPr>
              <w:spacing w:after="0"/>
              <w:rPr>
                <w:sz w:val="17"/>
                <w:szCs w:val="17"/>
                <w:color w:val="auto"/>
              </w:rPr>
            </w:pPr>
          </w:p>
        </w:tc>
        <w:tc>
          <w:tcPr>
            <w:tcW w:w="1140" w:type="dxa"/>
            <w:vAlign w:val="bottom"/>
          </w:tcPr>
          <w:p>
            <w:pPr>
              <w:jc w:val="right"/>
              <w:ind w:right="800"/>
              <w:spacing w:after="0"/>
              <w:rPr>
                <w:sz w:val="20"/>
                <w:szCs w:val="20"/>
                <w:color w:val="auto"/>
              </w:rPr>
            </w:pPr>
            <w:r>
              <w:rPr>
                <w:rFonts w:ascii="Arial" w:cs="Arial" w:eastAsia="Arial" w:hAnsi="Arial"/>
                <w:sz w:val="16"/>
                <w:szCs w:val="16"/>
                <w:color w:val="auto"/>
                <w:w w:val="89"/>
              </w:rPr>
              <w:t>534</w:t>
            </w:r>
          </w:p>
        </w:tc>
        <w:tc>
          <w:tcPr>
            <w:tcW w:w="640" w:type="dxa"/>
            <w:vAlign w:val="bottom"/>
          </w:tcPr>
          <w:p>
            <w:pPr>
              <w:jc w:val="right"/>
              <w:ind w:right="78"/>
              <w:spacing w:after="0"/>
              <w:rPr>
                <w:sz w:val="20"/>
                <w:szCs w:val="20"/>
                <w:color w:val="auto"/>
              </w:rPr>
            </w:pPr>
            <w:r>
              <w:rPr>
                <w:rFonts w:ascii="Arial" w:cs="Arial" w:eastAsia="Arial" w:hAnsi="Arial"/>
                <w:sz w:val="16"/>
                <w:szCs w:val="16"/>
                <w:color w:val="auto"/>
                <w:w w:val="93"/>
              </w:rPr>
              <w:t>47,611</w:t>
            </w:r>
          </w:p>
        </w:tc>
        <w:tc>
          <w:tcPr>
            <w:tcW w:w="760" w:type="dxa"/>
            <w:vAlign w:val="bottom"/>
          </w:tcPr>
          <w:p>
            <w:pPr>
              <w:spacing w:after="0"/>
              <w:rPr>
                <w:sz w:val="17"/>
                <w:szCs w:val="17"/>
                <w:color w:val="auto"/>
              </w:rPr>
            </w:pPr>
          </w:p>
        </w:tc>
      </w:tr>
      <w:tr>
        <w:trPr>
          <w:trHeight w:val="364"/>
        </w:trPr>
        <w:tc>
          <w:tcPr>
            <w:tcW w:w="3000" w:type="dxa"/>
            <w:vAlign w:val="bottom"/>
          </w:tcPr>
          <w:p>
            <w:pPr>
              <w:ind w:left="240"/>
              <w:spacing w:after="0"/>
              <w:rPr>
                <w:sz w:val="20"/>
                <w:szCs w:val="20"/>
                <w:color w:val="auto"/>
              </w:rPr>
            </w:pPr>
            <w:r>
              <w:rPr>
                <w:rFonts w:ascii="Arial" w:cs="Arial" w:eastAsia="Arial" w:hAnsi="Arial"/>
                <w:sz w:val="16"/>
                <w:szCs w:val="16"/>
                <w:b w:val="1"/>
                <w:bCs w:val="1"/>
                <w:color w:val="auto"/>
              </w:rPr>
              <w:t>Undeveloped</w:t>
            </w:r>
          </w:p>
        </w:tc>
        <w:tc>
          <w:tcPr>
            <w:tcW w:w="1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0"/>
        </w:trPr>
        <w:tc>
          <w:tcPr>
            <w:tcW w:w="3000" w:type="dxa"/>
            <w:vAlign w:val="bottom"/>
          </w:tcPr>
          <w:p>
            <w:pPr>
              <w:ind w:left="480"/>
              <w:spacing w:after="0"/>
              <w:rPr>
                <w:sz w:val="20"/>
                <w:szCs w:val="20"/>
                <w:color w:val="auto"/>
              </w:rPr>
            </w:pPr>
            <w:r>
              <w:rPr>
                <w:rFonts w:ascii="Arial" w:cs="Arial" w:eastAsia="Arial" w:hAnsi="Arial"/>
                <w:sz w:val="16"/>
                <w:szCs w:val="16"/>
                <w:b w:val="1"/>
                <w:bCs w:val="1"/>
                <w:color w:val="auto"/>
              </w:rPr>
              <w:t>Consolidated Subsidiaries</w:t>
            </w:r>
          </w:p>
        </w:tc>
        <w:tc>
          <w:tcPr>
            <w:tcW w:w="16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3000" w:type="dxa"/>
            <w:vAlign w:val="bottom"/>
          </w:tcPr>
          <w:p>
            <w:pPr>
              <w:ind w:left="700"/>
              <w:spacing w:after="0"/>
              <w:rPr>
                <w:sz w:val="20"/>
                <w:szCs w:val="20"/>
                <w:color w:val="auto"/>
              </w:rPr>
            </w:pPr>
            <w:r>
              <w:rPr>
                <w:rFonts w:ascii="Arial" w:cs="Arial" w:eastAsia="Arial" w:hAnsi="Arial"/>
                <w:sz w:val="16"/>
                <w:szCs w:val="16"/>
                <w:color w:val="auto"/>
              </w:rPr>
              <w:t>United States</w:t>
            </w:r>
          </w:p>
        </w:tc>
        <w:tc>
          <w:tcPr>
            <w:tcW w:w="1640" w:type="dxa"/>
            <w:vAlign w:val="bottom"/>
          </w:tcPr>
          <w:p>
            <w:pPr>
              <w:jc w:val="right"/>
              <w:ind w:right="120"/>
              <w:spacing w:after="0"/>
              <w:rPr>
                <w:sz w:val="20"/>
                <w:szCs w:val="20"/>
                <w:color w:val="auto"/>
              </w:rPr>
            </w:pPr>
            <w:r>
              <w:rPr>
                <w:rFonts w:ascii="Arial" w:cs="Arial" w:eastAsia="Arial" w:hAnsi="Arial"/>
                <w:sz w:val="16"/>
                <w:szCs w:val="16"/>
                <w:color w:val="auto"/>
              </w:rPr>
              <w:t>893</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341</w:t>
            </w: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7"/>
                <w:szCs w:val="17"/>
                <w:color w:val="auto"/>
              </w:rPr>
            </w:pPr>
          </w:p>
        </w:tc>
        <w:tc>
          <w:tcPr>
            <w:tcW w:w="1140" w:type="dxa"/>
            <w:vAlign w:val="bottom"/>
          </w:tcPr>
          <w:p>
            <w:pPr>
              <w:jc w:val="right"/>
              <w:ind w:right="80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78"/>
              <w:spacing w:after="0"/>
              <w:rPr>
                <w:sz w:val="20"/>
                <w:szCs w:val="20"/>
                <w:color w:val="auto"/>
              </w:rPr>
            </w:pPr>
            <w:r>
              <w:rPr>
                <w:rFonts w:ascii="Arial" w:cs="Arial" w:eastAsia="Arial" w:hAnsi="Arial"/>
                <w:sz w:val="16"/>
                <w:szCs w:val="16"/>
                <w:color w:val="auto"/>
                <w:w w:val="93"/>
              </w:rPr>
              <w:t>11,818</w:t>
            </w:r>
          </w:p>
        </w:tc>
        <w:tc>
          <w:tcPr>
            <w:tcW w:w="760" w:type="dxa"/>
            <w:vAlign w:val="bottom"/>
          </w:tcPr>
          <w:p>
            <w:pPr>
              <w:spacing w:after="0"/>
              <w:rPr>
                <w:sz w:val="17"/>
                <w:szCs w:val="17"/>
                <w:color w:val="auto"/>
              </w:rPr>
            </w:pPr>
          </w:p>
        </w:tc>
      </w:tr>
      <w:tr>
        <w:trPr>
          <w:trHeight w:val="196"/>
        </w:trPr>
        <w:tc>
          <w:tcPr>
            <w:tcW w:w="3000" w:type="dxa"/>
            <w:vAlign w:val="bottom"/>
          </w:tcPr>
          <w:p>
            <w:pPr>
              <w:ind w:left="700"/>
              <w:spacing w:after="0"/>
              <w:rPr>
                <w:sz w:val="20"/>
                <w:szCs w:val="20"/>
                <w:color w:val="auto"/>
              </w:rPr>
            </w:pPr>
            <w:r>
              <w:rPr>
                <w:rFonts w:ascii="Arial" w:cs="Arial" w:eastAsia="Arial" w:hAnsi="Arial"/>
                <w:sz w:val="16"/>
                <w:szCs w:val="16"/>
                <w:color w:val="auto"/>
              </w:rPr>
              <w:t xml:space="preserve">Canada/South America </w:t>
            </w:r>
            <w:r>
              <w:rPr>
                <w:rFonts w:ascii="Arial" w:cs="Arial" w:eastAsia="Arial" w:hAnsi="Arial"/>
                <w:sz w:val="13"/>
                <w:szCs w:val="13"/>
                <w:i w:val="1"/>
                <w:iCs w:val="1"/>
                <w:color w:val="auto"/>
              </w:rPr>
              <w:t>(1)</w:t>
            </w:r>
          </w:p>
        </w:tc>
        <w:tc>
          <w:tcPr>
            <w:tcW w:w="1640" w:type="dxa"/>
            <w:vAlign w:val="bottom"/>
          </w:tcPr>
          <w:p>
            <w:pPr>
              <w:jc w:val="right"/>
              <w:ind w:right="120"/>
              <w:spacing w:after="0"/>
              <w:rPr>
                <w:sz w:val="20"/>
                <w:szCs w:val="20"/>
                <w:color w:val="auto"/>
              </w:rPr>
            </w:pPr>
            <w:r>
              <w:rPr>
                <w:rFonts w:ascii="Arial" w:cs="Arial" w:eastAsia="Arial" w:hAnsi="Arial"/>
                <w:sz w:val="16"/>
                <w:szCs w:val="16"/>
                <w:color w:val="auto"/>
              </w:rPr>
              <w:t>184</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6</w:t>
            </w: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2,111</w:t>
            </w:r>
          </w:p>
        </w:tc>
        <w:tc>
          <w:tcPr>
            <w:tcW w:w="900" w:type="dxa"/>
            <w:vAlign w:val="bottom"/>
          </w:tcPr>
          <w:p>
            <w:pPr>
              <w:spacing w:after="0"/>
              <w:rPr>
                <w:sz w:val="17"/>
                <w:szCs w:val="17"/>
                <w:color w:val="auto"/>
              </w:rPr>
            </w:pPr>
          </w:p>
        </w:tc>
        <w:tc>
          <w:tcPr>
            <w:tcW w:w="1140" w:type="dxa"/>
            <w:vAlign w:val="bottom"/>
          </w:tcPr>
          <w:p>
            <w:pPr>
              <w:jc w:val="right"/>
              <w:ind w:right="80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78"/>
              <w:spacing w:after="0"/>
              <w:rPr>
                <w:sz w:val="20"/>
                <w:szCs w:val="20"/>
                <w:color w:val="auto"/>
              </w:rPr>
            </w:pPr>
            <w:r>
              <w:rPr>
                <w:rFonts w:ascii="Arial" w:cs="Arial" w:eastAsia="Arial" w:hAnsi="Arial"/>
                <w:sz w:val="16"/>
                <w:szCs w:val="16"/>
                <w:color w:val="auto"/>
              </w:rPr>
              <w:t>611</w:t>
            </w:r>
          </w:p>
        </w:tc>
        <w:tc>
          <w:tcPr>
            <w:tcW w:w="760" w:type="dxa"/>
            <w:vAlign w:val="bottom"/>
          </w:tcPr>
          <w:p>
            <w:pPr>
              <w:spacing w:after="0"/>
              <w:rPr>
                <w:sz w:val="17"/>
                <w:szCs w:val="17"/>
                <w:color w:val="auto"/>
              </w:rPr>
            </w:pPr>
          </w:p>
        </w:tc>
      </w:tr>
      <w:tr>
        <w:trPr>
          <w:trHeight w:val="196"/>
        </w:trPr>
        <w:tc>
          <w:tcPr>
            <w:tcW w:w="3000" w:type="dxa"/>
            <w:vAlign w:val="bottom"/>
          </w:tcPr>
          <w:p>
            <w:pPr>
              <w:ind w:left="700"/>
              <w:spacing w:after="0"/>
              <w:rPr>
                <w:sz w:val="20"/>
                <w:szCs w:val="20"/>
                <w:color w:val="auto"/>
              </w:rPr>
            </w:pPr>
            <w:r>
              <w:rPr>
                <w:rFonts w:ascii="Arial" w:cs="Arial" w:eastAsia="Arial" w:hAnsi="Arial"/>
                <w:sz w:val="16"/>
                <w:szCs w:val="16"/>
                <w:color w:val="auto"/>
              </w:rPr>
              <w:t>Europe</w:t>
            </w:r>
          </w:p>
        </w:tc>
        <w:tc>
          <w:tcPr>
            <w:tcW w:w="1640" w:type="dxa"/>
            <w:vAlign w:val="bottom"/>
          </w:tcPr>
          <w:p>
            <w:pPr>
              <w:jc w:val="right"/>
              <w:ind w:right="120"/>
              <w:spacing w:after="0"/>
              <w:rPr>
                <w:sz w:val="20"/>
                <w:szCs w:val="20"/>
                <w:color w:val="auto"/>
              </w:rPr>
            </w:pPr>
            <w:r>
              <w:rPr>
                <w:rFonts w:ascii="Arial" w:cs="Arial" w:eastAsia="Arial" w:hAnsi="Arial"/>
                <w:sz w:val="16"/>
                <w:szCs w:val="16"/>
                <w:color w:val="auto"/>
              </w:rPr>
              <w:t>29</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13</w:t>
            </w: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7"/>
                <w:szCs w:val="17"/>
                <w:color w:val="auto"/>
              </w:rPr>
            </w:pPr>
          </w:p>
        </w:tc>
        <w:tc>
          <w:tcPr>
            <w:tcW w:w="1140" w:type="dxa"/>
            <w:vAlign w:val="bottom"/>
          </w:tcPr>
          <w:p>
            <w:pPr>
              <w:jc w:val="right"/>
              <w:ind w:right="80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78"/>
              <w:spacing w:after="0"/>
              <w:rPr>
                <w:sz w:val="20"/>
                <w:szCs w:val="20"/>
                <w:color w:val="auto"/>
              </w:rPr>
            </w:pPr>
            <w:r>
              <w:rPr>
                <w:rFonts w:ascii="Arial" w:cs="Arial" w:eastAsia="Arial" w:hAnsi="Arial"/>
                <w:sz w:val="16"/>
                <w:szCs w:val="16"/>
                <w:color w:val="auto"/>
              </w:rPr>
              <w:t>513</w:t>
            </w:r>
          </w:p>
        </w:tc>
        <w:tc>
          <w:tcPr>
            <w:tcW w:w="760" w:type="dxa"/>
            <w:vAlign w:val="bottom"/>
          </w:tcPr>
          <w:p>
            <w:pPr>
              <w:spacing w:after="0"/>
              <w:rPr>
                <w:sz w:val="17"/>
                <w:szCs w:val="17"/>
                <w:color w:val="auto"/>
              </w:rPr>
            </w:pPr>
          </w:p>
        </w:tc>
      </w:tr>
      <w:tr>
        <w:trPr>
          <w:trHeight w:val="196"/>
        </w:trPr>
        <w:tc>
          <w:tcPr>
            <w:tcW w:w="3000" w:type="dxa"/>
            <w:vAlign w:val="bottom"/>
          </w:tcPr>
          <w:p>
            <w:pPr>
              <w:ind w:left="700"/>
              <w:spacing w:after="0"/>
              <w:rPr>
                <w:sz w:val="20"/>
                <w:szCs w:val="20"/>
                <w:color w:val="auto"/>
              </w:rPr>
            </w:pPr>
            <w:r>
              <w:rPr>
                <w:rFonts w:ascii="Arial" w:cs="Arial" w:eastAsia="Arial" w:hAnsi="Arial"/>
                <w:sz w:val="16"/>
                <w:szCs w:val="16"/>
                <w:color w:val="auto"/>
              </w:rPr>
              <w:t>Africa</w:t>
            </w:r>
          </w:p>
        </w:tc>
        <w:tc>
          <w:tcPr>
            <w:tcW w:w="1640" w:type="dxa"/>
            <w:vAlign w:val="bottom"/>
          </w:tcPr>
          <w:p>
            <w:pPr>
              <w:jc w:val="right"/>
              <w:ind w:right="120"/>
              <w:spacing w:after="0"/>
              <w:rPr>
                <w:sz w:val="20"/>
                <w:szCs w:val="20"/>
                <w:color w:val="auto"/>
              </w:rPr>
            </w:pPr>
            <w:r>
              <w:rPr>
                <w:rFonts w:ascii="Arial" w:cs="Arial" w:eastAsia="Arial" w:hAnsi="Arial"/>
                <w:sz w:val="16"/>
                <w:szCs w:val="16"/>
                <w:color w:val="auto"/>
              </w:rPr>
              <w:t>380</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21</w:t>
            </w: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7"/>
                <w:szCs w:val="17"/>
                <w:color w:val="auto"/>
              </w:rPr>
            </w:pPr>
          </w:p>
        </w:tc>
        <w:tc>
          <w:tcPr>
            <w:tcW w:w="1140" w:type="dxa"/>
            <w:vAlign w:val="bottom"/>
          </w:tcPr>
          <w:p>
            <w:pPr>
              <w:jc w:val="right"/>
              <w:ind w:right="80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78"/>
              <w:spacing w:after="0"/>
              <w:rPr>
                <w:sz w:val="20"/>
                <w:szCs w:val="20"/>
                <w:color w:val="auto"/>
              </w:rPr>
            </w:pPr>
            <w:r>
              <w:rPr>
                <w:rFonts w:ascii="Arial" w:cs="Arial" w:eastAsia="Arial" w:hAnsi="Arial"/>
                <w:sz w:val="16"/>
                <w:szCs w:val="16"/>
                <w:color w:val="auto"/>
              </w:rPr>
              <w:t>47</w:t>
            </w:r>
          </w:p>
        </w:tc>
        <w:tc>
          <w:tcPr>
            <w:tcW w:w="760" w:type="dxa"/>
            <w:vAlign w:val="bottom"/>
          </w:tcPr>
          <w:p>
            <w:pPr>
              <w:spacing w:after="0"/>
              <w:rPr>
                <w:sz w:val="17"/>
                <w:szCs w:val="17"/>
                <w:color w:val="auto"/>
              </w:rPr>
            </w:pPr>
          </w:p>
        </w:tc>
      </w:tr>
      <w:tr>
        <w:trPr>
          <w:trHeight w:val="196"/>
        </w:trPr>
        <w:tc>
          <w:tcPr>
            <w:tcW w:w="3000" w:type="dxa"/>
            <w:vAlign w:val="bottom"/>
          </w:tcPr>
          <w:p>
            <w:pPr>
              <w:ind w:left="700"/>
              <w:spacing w:after="0"/>
              <w:rPr>
                <w:sz w:val="20"/>
                <w:szCs w:val="20"/>
                <w:color w:val="auto"/>
              </w:rPr>
            </w:pPr>
            <w:r>
              <w:rPr>
                <w:rFonts w:ascii="Arial" w:cs="Arial" w:eastAsia="Arial" w:hAnsi="Arial"/>
                <w:sz w:val="16"/>
                <w:szCs w:val="16"/>
                <w:color w:val="auto"/>
              </w:rPr>
              <w:t>Asia</w:t>
            </w:r>
          </w:p>
        </w:tc>
        <w:tc>
          <w:tcPr>
            <w:tcW w:w="1640" w:type="dxa"/>
            <w:vAlign w:val="bottom"/>
          </w:tcPr>
          <w:p>
            <w:pPr>
              <w:jc w:val="right"/>
              <w:ind w:right="120"/>
              <w:spacing w:after="0"/>
              <w:rPr>
                <w:sz w:val="20"/>
                <w:szCs w:val="20"/>
                <w:color w:val="auto"/>
              </w:rPr>
            </w:pPr>
            <w:r>
              <w:rPr>
                <w:rFonts w:ascii="Arial" w:cs="Arial" w:eastAsia="Arial" w:hAnsi="Arial"/>
                <w:sz w:val="16"/>
                <w:szCs w:val="16"/>
                <w:color w:val="auto"/>
              </w:rPr>
              <w:t>651</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7"/>
                <w:szCs w:val="17"/>
                <w:color w:val="auto"/>
              </w:rPr>
            </w:pPr>
          </w:p>
        </w:tc>
        <w:tc>
          <w:tcPr>
            <w:tcW w:w="1140" w:type="dxa"/>
            <w:vAlign w:val="bottom"/>
          </w:tcPr>
          <w:p>
            <w:pPr>
              <w:jc w:val="right"/>
              <w:ind w:right="80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78"/>
              <w:spacing w:after="0"/>
              <w:rPr>
                <w:sz w:val="20"/>
                <w:szCs w:val="20"/>
                <w:color w:val="auto"/>
              </w:rPr>
            </w:pPr>
            <w:r>
              <w:rPr>
                <w:rFonts w:ascii="Arial" w:cs="Arial" w:eastAsia="Arial" w:hAnsi="Arial"/>
                <w:sz w:val="16"/>
                <w:szCs w:val="16"/>
                <w:color w:val="auto"/>
              </w:rPr>
              <w:t>429</w:t>
            </w:r>
          </w:p>
        </w:tc>
        <w:tc>
          <w:tcPr>
            <w:tcW w:w="760" w:type="dxa"/>
            <w:vAlign w:val="bottom"/>
          </w:tcPr>
          <w:p>
            <w:pPr>
              <w:spacing w:after="0"/>
              <w:rPr>
                <w:sz w:val="17"/>
                <w:szCs w:val="17"/>
                <w:color w:val="auto"/>
              </w:rPr>
            </w:pPr>
          </w:p>
        </w:tc>
      </w:tr>
      <w:tr>
        <w:trPr>
          <w:trHeight w:val="208"/>
        </w:trPr>
        <w:tc>
          <w:tcPr>
            <w:tcW w:w="3000" w:type="dxa"/>
            <w:vAlign w:val="bottom"/>
          </w:tcPr>
          <w:p>
            <w:pPr>
              <w:ind w:left="700"/>
              <w:spacing w:after="0"/>
              <w:rPr>
                <w:sz w:val="20"/>
                <w:szCs w:val="20"/>
                <w:color w:val="auto"/>
              </w:rPr>
            </w:pPr>
            <w:r>
              <w:rPr>
                <w:rFonts w:ascii="Arial" w:cs="Arial" w:eastAsia="Arial" w:hAnsi="Arial"/>
                <w:sz w:val="16"/>
                <w:szCs w:val="16"/>
                <w:color w:val="auto"/>
              </w:rPr>
              <w:t>Australia/Oceania</w:t>
            </w:r>
          </w:p>
        </w:tc>
        <w:tc>
          <w:tcPr>
            <w:tcW w:w="16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67</w:t>
            </w: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32</w:t>
            </w:r>
          </w:p>
        </w:tc>
        <w:tc>
          <w:tcPr>
            <w:tcW w:w="14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5,097</w:t>
            </w:r>
          </w:p>
        </w:tc>
        <w:tc>
          <w:tcPr>
            <w:tcW w:w="760" w:type="dxa"/>
            <w:vAlign w:val="bottom"/>
            <w:tcBorders>
              <w:bottom w:val="single" w:sz="8" w:color="auto"/>
            </w:tcBorders>
          </w:tcPr>
          <w:p>
            <w:pPr>
              <w:spacing w:after="0"/>
              <w:rPr>
                <w:sz w:val="18"/>
                <w:szCs w:val="18"/>
                <w:color w:val="auto"/>
              </w:rPr>
            </w:pPr>
          </w:p>
        </w:tc>
      </w:tr>
      <w:tr>
        <w:trPr>
          <w:trHeight w:val="201"/>
        </w:trPr>
        <w:tc>
          <w:tcPr>
            <w:tcW w:w="3000" w:type="dxa"/>
            <w:vAlign w:val="bottom"/>
          </w:tcPr>
          <w:p>
            <w:pPr>
              <w:ind w:left="940"/>
              <w:spacing w:after="0"/>
              <w:rPr>
                <w:sz w:val="20"/>
                <w:szCs w:val="20"/>
                <w:color w:val="auto"/>
              </w:rPr>
            </w:pPr>
            <w:r>
              <w:rPr>
                <w:rFonts w:ascii="Arial" w:cs="Arial" w:eastAsia="Arial" w:hAnsi="Arial"/>
                <w:sz w:val="16"/>
                <w:szCs w:val="16"/>
                <w:color w:val="auto"/>
              </w:rPr>
              <w:t>Total Consolidated</w:t>
            </w:r>
          </w:p>
        </w:tc>
        <w:tc>
          <w:tcPr>
            <w:tcW w:w="1640" w:type="dxa"/>
            <w:vAlign w:val="bottom"/>
          </w:tcPr>
          <w:p>
            <w:pPr>
              <w:jc w:val="right"/>
              <w:ind w:right="120"/>
              <w:spacing w:after="0"/>
              <w:rPr>
                <w:sz w:val="20"/>
                <w:szCs w:val="20"/>
                <w:color w:val="auto"/>
              </w:rPr>
            </w:pPr>
            <w:r>
              <w:rPr>
                <w:rFonts w:ascii="Arial" w:cs="Arial" w:eastAsia="Arial" w:hAnsi="Arial"/>
                <w:sz w:val="16"/>
                <w:szCs w:val="16"/>
                <w:color w:val="auto"/>
              </w:rPr>
              <w:t>2,204</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413</w:t>
            </w: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2,111</w:t>
            </w:r>
          </w:p>
        </w:tc>
        <w:tc>
          <w:tcPr>
            <w:tcW w:w="900" w:type="dxa"/>
            <w:vAlign w:val="bottom"/>
          </w:tcPr>
          <w:p>
            <w:pPr>
              <w:spacing w:after="0"/>
              <w:rPr>
                <w:sz w:val="17"/>
                <w:szCs w:val="17"/>
                <w:color w:val="auto"/>
              </w:rPr>
            </w:pPr>
          </w:p>
        </w:tc>
        <w:tc>
          <w:tcPr>
            <w:tcW w:w="1140" w:type="dxa"/>
            <w:vAlign w:val="bottom"/>
          </w:tcPr>
          <w:p>
            <w:pPr>
              <w:jc w:val="right"/>
              <w:ind w:right="80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78"/>
              <w:spacing w:after="0"/>
              <w:rPr>
                <w:sz w:val="20"/>
                <w:szCs w:val="20"/>
                <w:color w:val="auto"/>
              </w:rPr>
            </w:pPr>
            <w:r>
              <w:rPr>
                <w:rFonts w:ascii="Arial" w:cs="Arial" w:eastAsia="Arial" w:hAnsi="Arial"/>
                <w:sz w:val="16"/>
                <w:szCs w:val="16"/>
                <w:color w:val="auto"/>
                <w:w w:val="93"/>
              </w:rPr>
              <w:t>18,515</w:t>
            </w:r>
          </w:p>
        </w:tc>
        <w:tc>
          <w:tcPr>
            <w:tcW w:w="760" w:type="dxa"/>
            <w:vAlign w:val="bottom"/>
          </w:tcPr>
          <w:p>
            <w:pPr>
              <w:spacing w:after="0"/>
              <w:rPr>
                <w:sz w:val="17"/>
                <w:szCs w:val="17"/>
                <w:color w:val="auto"/>
              </w:rPr>
            </w:pPr>
          </w:p>
        </w:tc>
      </w:tr>
      <w:tr>
        <w:trPr>
          <w:trHeight w:val="368"/>
        </w:trPr>
        <w:tc>
          <w:tcPr>
            <w:tcW w:w="3000" w:type="dxa"/>
            <w:vAlign w:val="bottom"/>
          </w:tcPr>
          <w:p>
            <w:pPr>
              <w:ind w:left="480"/>
              <w:spacing w:after="0"/>
              <w:rPr>
                <w:sz w:val="20"/>
                <w:szCs w:val="20"/>
                <w:color w:val="auto"/>
              </w:rPr>
            </w:pPr>
            <w:r>
              <w:rPr>
                <w:rFonts w:ascii="Arial" w:cs="Arial" w:eastAsia="Arial" w:hAnsi="Arial"/>
                <w:sz w:val="16"/>
                <w:szCs w:val="16"/>
                <w:b w:val="1"/>
                <w:bCs w:val="1"/>
                <w:color w:val="auto"/>
              </w:rPr>
              <w:t>Equity Companies</w:t>
            </w:r>
          </w:p>
        </w:tc>
        <w:tc>
          <w:tcPr>
            <w:tcW w:w="1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3000" w:type="dxa"/>
            <w:vAlign w:val="bottom"/>
          </w:tcPr>
          <w:p>
            <w:pPr>
              <w:ind w:left="700"/>
              <w:spacing w:after="0"/>
              <w:rPr>
                <w:sz w:val="20"/>
                <w:szCs w:val="20"/>
                <w:color w:val="auto"/>
              </w:rPr>
            </w:pPr>
            <w:r>
              <w:rPr>
                <w:rFonts w:ascii="Arial" w:cs="Arial" w:eastAsia="Arial" w:hAnsi="Arial"/>
                <w:sz w:val="16"/>
                <w:szCs w:val="16"/>
                <w:color w:val="auto"/>
              </w:rPr>
              <w:t>United States</w:t>
            </w:r>
          </w:p>
        </w:tc>
        <w:tc>
          <w:tcPr>
            <w:tcW w:w="1640" w:type="dxa"/>
            <w:vAlign w:val="bottom"/>
          </w:tcPr>
          <w:p>
            <w:pPr>
              <w:jc w:val="right"/>
              <w:ind w:right="120"/>
              <w:spacing w:after="0"/>
              <w:rPr>
                <w:sz w:val="20"/>
                <w:szCs w:val="20"/>
                <w:color w:val="auto"/>
              </w:rPr>
            </w:pPr>
            <w:r>
              <w:rPr>
                <w:rFonts w:ascii="Arial" w:cs="Arial" w:eastAsia="Arial" w:hAnsi="Arial"/>
                <w:sz w:val="16"/>
                <w:szCs w:val="16"/>
                <w:color w:val="auto"/>
              </w:rPr>
              <w:t>69</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6</w:t>
            </w: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7"/>
                <w:szCs w:val="17"/>
                <w:color w:val="auto"/>
              </w:rPr>
            </w:pPr>
          </w:p>
        </w:tc>
        <w:tc>
          <w:tcPr>
            <w:tcW w:w="1140" w:type="dxa"/>
            <w:vAlign w:val="bottom"/>
          </w:tcPr>
          <w:p>
            <w:pPr>
              <w:jc w:val="right"/>
              <w:ind w:right="80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78"/>
              <w:spacing w:after="0"/>
              <w:rPr>
                <w:sz w:val="20"/>
                <w:szCs w:val="20"/>
                <w:color w:val="auto"/>
              </w:rPr>
            </w:pPr>
            <w:r>
              <w:rPr>
                <w:rFonts w:ascii="Arial" w:cs="Arial" w:eastAsia="Arial" w:hAnsi="Arial"/>
                <w:sz w:val="16"/>
                <w:szCs w:val="16"/>
                <w:color w:val="auto"/>
              </w:rPr>
              <w:t>78</w:t>
            </w:r>
          </w:p>
        </w:tc>
        <w:tc>
          <w:tcPr>
            <w:tcW w:w="760" w:type="dxa"/>
            <w:vAlign w:val="bottom"/>
          </w:tcPr>
          <w:p>
            <w:pPr>
              <w:spacing w:after="0"/>
              <w:rPr>
                <w:sz w:val="17"/>
                <w:szCs w:val="17"/>
                <w:color w:val="auto"/>
              </w:rPr>
            </w:pPr>
          </w:p>
        </w:tc>
      </w:tr>
      <w:tr>
        <w:trPr>
          <w:trHeight w:val="196"/>
        </w:trPr>
        <w:tc>
          <w:tcPr>
            <w:tcW w:w="3000" w:type="dxa"/>
            <w:vAlign w:val="bottom"/>
          </w:tcPr>
          <w:p>
            <w:pPr>
              <w:ind w:left="700"/>
              <w:spacing w:after="0"/>
              <w:rPr>
                <w:sz w:val="20"/>
                <w:szCs w:val="20"/>
                <w:color w:val="auto"/>
              </w:rPr>
            </w:pPr>
            <w:r>
              <w:rPr>
                <w:rFonts w:ascii="Arial" w:cs="Arial" w:eastAsia="Arial" w:hAnsi="Arial"/>
                <w:sz w:val="16"/>
                <w:szCs w:val="16"/>
                <w:color w:val="auto"/>
              </w:rPr>
              <w:t>Europe</w:t>
            </w:r>
          </w:p>
        </w:tc>
        <w:tc>
          <w:tcPr>
            <w:tcW w:w="1640" w:type="dxa"/>
            <w:vAlign w:val="bottom"/>
          </w:tcPr>
          <w:p>
            <w:pPr>
              <w:jc w:val="right"/>
              <w:ind w:right="120"/>
              <w:spacing w:after="0"/>
              <w:rPr>
                <w:sz w:val="20"/>
                <w:szCs w:val="20"/>
                <w:color w:val="auto"/>
              </w:rPr>
            </w:pPr>
            <w:r>
              <w:rPr>
                <w:rFonts w:ascii="Arial" w:cs="Arial" w:eastAsia="Arial" w:hAnsi="Arial"/>
                <w:sz w:val="16"/>
                <w:szCs w:val="16"/>
                <w:color w:val="auto"/>
              </w:rPr>
              <w:t>1</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7"/>
                <w:szCs w:val="17"/>
                <w:color w:val="auto"/>
              </w:rPr>
            </w:pPr>
          </w:p>
        </w:tc>
        <w:tc>
          <w:tcPr>
            <w:tcW w:w="1140" w:type="dxa"/>
            <w:vAlign w:val="bottom"/>
          </w:tcPr>
          <w:p>
            <w:pPr>
              <w:jc w:val="right"/>
              <w:ind w:right="80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78"/>
              <w:spacing w:after="0"/>
              <w:rPr>
                <w:sz w:val="20"/>
                <w:szCs w:val="20"/>
                <w:color w:val="auto"/>
              </w:rPr>
            </w:pPr>
            <w:r>
              <w:rPr>
                <w:rFonts w:ascii="Arial" w:cs="Arial" w:eastAsia="Arial" w:hAnsi="Arial"/>
                <w:sz w:val="16"/>
                <w:szCs w:val="16"/>
                <w:color w:val="auto"/>
              </w:rPr>
              <w:t>1,934</w:t>
            </w:r>
          </w:p>
        </w:tc>
        <w:tc>
          <w:tcPr>
            <w:tcW w:w="760" w:type="dxa"/>
            <w:vAlign w:val="bottom"/>
          </w:tcPr>
          <w:p>
            <w:pPr>
              <w:spacing w:after="0"/>
              <w:rPr>
                <w:sz w:val="17"/>
                <w:szCs w:val="17"/>
                <w:color w:val="auto"/>
              </w:rPr>
            </w:pPr>
          </w:p>
        </w:tc>
      </w:tr>
      <w:tr>
        <w:trPr>
          <w:trHeight w:val="208"/>
        </w:trPr>
        <w:tc>
          <w:tcPr>
            <w:tcW w:w="3000" w:type="dxa"/>
            <w:vAlign w:val="bottom"/>
          </w:tcPr>
          <w:p>
            <w:pPr>
              <w:ind w:left="700"/>
              <w:spacing w:after="0"/>
              <w:rPr>
                <w:sz w:val="20"/>
                <w:szCs w:val="20"/>
                <w:color w:val="auto"/>
              </w:rPr>
            </w:pPr>
            <w:r>
              <w:rPr>
                <w:rFonts w:ascii="Arial" w:cs="Arial" w:eastAsia="Arial" w:hAnsi="Arial"/>
                <w:sz w:val="16"/>
                <w:szCs w:val="16"/>
                <w:color w:val="auto"/>
              </w:rPr>
              <w:t>Asia</w:t>
            </w:r>
          </w:p>
        </w:tc>
        <w:tc>
          <w:tcPr>
            <w:tcW w:w="16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278</w:t>
            </w: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53</w:t>
            </w:r>
          </w:p>
        </w:tc>
        <w:tc>
          <w:tcPr>
            <w:tcW w:w="14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1,200</w:t>
            </w:r>
          </w:p>
        </w:tc>
        <w:tc>
          <w:tcPr>
            <w:tcW w:w="760" w:type="dxa"/>
            <w:vAlign w:val="bottom"/>
            <w:tcBorders>
              <w:bottom w:val="single" w:sz="8" w:color="auto"/>
            </w:tcBorders>
          </w:tcPr>
          <w:p>
            <w:pPr>
              <w:spacing w:after="0"/>
              <w:rPr>
                <w:sz w:val="18"/>
                <w:szCs w:val="18"/>
                <w:color w:val="auto"/>
              </w:rPr>
            </w:pPr>
          </w:p>
        </w:tc>
      </w:tr>
      <w:tr>
        <w:trPr>
          <w:trHeight w:val="189"/>
        </w:trPr>
        <w:tc>
          <w:tcPr>
            <w:tcW w:w="3000" w:type="dxa"/>
            <w:vAlign w:val="bottom"/>
          </w:tcPr>
          <w:p>
            <w:pPr>
              <w:ind w:left="940"/>
              <w:spacing w:after="0"/>
              <w:rPr>
                <w:sz w:val="20"/>
                <w:szCs w:val="20"/>
                <w:color w:val="auto"/>
              </w:rPr>
            </w:pPr>
            <w:r>
              <w:rPr>
                <w:rFonts w:ascii="Arial" w:cs="Arial" w:eastAsia="Arial" w:hAnsi="Arial"/>
                <w:sz w:val="16"/>
                <w:szCs w:val="16"/>
                <w:color w:val="auto"/>
              </w:rPr>
              <w:t>Total Equity Company</w:t>
            </w:r>
          </w:p>
        </w:tc>
        <w:tc>
          <w:tcPr>
            <w:tcW w:w="16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348</w:t>
            </w: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59</w:t>
            </w:r>
          </w:p>
        </w:tc>
        <w:tc>
          <w:tcPr>
            <w:tcW w:w="14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3,212</w:t>
            </w:r>
          </w:p>
        </w:tc>
        <w:tc>
          <w:tcPr>
            <w:tcW w:w="760" w:type="dxa"/>
            <w:vAlign w:val="bottom"/>
            <w:tcBorders>
              <w:bottom w:val="single" w:sz="8" w:color="auto"/>
            </w:tcBorders>
          </w:tcPr>
          <w:p>
            <w:pPr>
              <w:spacing w:after="0"/>
              <w:rPr>
                <w:sz w:val="16"/>
                <w:szCs w:val="16"/>
                <w:color w:val="auto"/>
              </w:rPr>
            </w:pPr>
          </w:p>
        </w:tc>
      </w:tr>
      <w:tr>
        <w:trPr>
          <w:trHeight w:val="188"/>
        </w:trPr>
        <w:tc>
          <w:tcPr>
            <w:tcW w:w="3000" w:type="dxa"/>
            <w:vAlign w:val="bottom"/>
          </w:tcPr>
          <w:p>
            <w:pPr>
              <w:ind w:left="940"/>
              <w:spacing w:after="0"/>
              <w:rPr>
                <w:sz w:val="20"/>
                <w:szCs w:val="20"/>
                <w:color w:val="auto"/>
              </w:rPr>
            </w:pPr>
            <w:r>
              <w:rPr>
                <w:rFonts w:ascii="Arial" w:cs="Arial" w:eastAsia="Arial" w:hAnsi="Arial"/>
                <w:sz w:val="16"/>
                <w:szCs w:val="16"/>
                <w:color w:val="auto"/>
              </w:rPr>
              <w:t>Total Undeveloped</w:t>
            </w:r>
          </w:p>
        </w:tc>
        <w:tc>
          <w:tcPr>
            <w:tcW w:w="16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2,552</w:t>
            </w: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472</w:t>
            </w:r>
          </w:p>
        </w:tc>
        <w:tc>
          <w:tcPr>
            <w:tcW w:w="14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2,111</w:t>
            </w:r>
          </w:p>
        </w:tc>
        <w:tc>
          <w:tcPr>
            <w:tcW w:w="9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w w:val="93"/>
              </w:rPr>
              <w:t>21,727</w:t>
            </w:r>
          </w:p>
        </w:tc>
        <w:tc>
          <w:tcPr>
            <w:tcW w:w="760" w:type="dxa"/>
            <w:vAlign w:val="bottom"/>
            <w:tcBorders>
              <w:bottom w:val="single" w:sz="8" w:color="auto"/>
            </w:tcBorders>
          </w:tcPr>
          <w:p>
            <w:pPr>
              <w:spacing w:after="0"/>
              <w:rPr>
                <w:sz w:val="16"/>
                <w:szCs w:val="16"/>
                <w:color w:val="auto"/>
              </w:rPr>
            </w:pPr>
          </w:p>
        </w:tc>
      </w:tr>
      <w:tr>
        <w:trPr>
          <w:trHeight w:val="188"/>
        </w:trPr>
        <w:tc>
          <w:tcPr>
            <w:tcW w:w="3000" w:type="dxa"/>
            <w:vAlign w:val="bottom"/>
          </w:tcPr>
          <w:p>
            <w:pPr>
              <w:spacing w:after="0"/>
              <w:rPr>
                <w:sz w:val="20"/>
                <w:szCs w:val="20"/>
                <w:color w:val="auto"/>
              </w:rPr>
            </w:pPr>
            <w:r>
              <w:rPr>
                <w:rFonts w:ascii="Arial" w:cs="Arial" w:eastAsia="Arial" w:hAnsi="Arial"/>
                <w:sz w:val="16"/>
                <w:szCs w:val="16"/>
                <w:b w:val="1"/>
                <w:bCs w:val="1"/>
                <w:color w:val="auto"/>
              </w:rPr>
              <w:t>Total Proved Reserves</w:t>
            </w:r>
          </w:p>
        </w:tc>
        <w:tc>
          <w:tcPr>
            <w:tcW w:w="16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7,419</w:t>
            </w: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1,527</w:t>
            </w:r>
          </w:p>
        </w:tc>
        <w:tc>
          <w:tcPr>
            <w:tcW w:w="14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4,233</w:t>
            </w:r>
          </w:p>
        </w:tc>
        <w:tc>
          <w:tcPr>
            <w:tcW w:w="9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w w:val="89"/>
              </w:rPr>
              <w:t>534</w:t>
            </w:r>
          </w:p>
        </w:tc>
        <w:tc>
          <w:tcPr>
            <w:tcW w:w="6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w w:val="93"/>
              </w:rPr>
              <w:t>69,338</w:t>
            </w:r>
          </w:p>
        </w:tc>
        <w:tc>
          <w:tcPr>
            <w:tcW w:w="760" w:type="dxa"/>
            <w:vAlign w:val="bottom"/>
            <w:tcBorders>
              <w:bottom w:val="single" w:sz="8" w:color="auto"/>
            </w:tcBorders>
          </w:tcPr>
          <w:p>
            <w:pPr>
              <w:spacing w:after="0"/>
              <w:rPr>
                <w:sz w:val="16"/>
                <w:szCs w:val="16"/>
                <w:color w:val="auto"/>
              </w:rPr>
            </w:pPr>
          </w:p>
        </w:tc>
      </w:tr>
    </w:tbl>
    <w:p>
      <w:pPr>
        <w:spacing w:after="0" w:line="233" w:lineRule="exact"/>
        <w:rPr>
          <w:sz w:val="20"/>
          <w:szCs w:val="20"/>
          <w:color w:val="auto"/>
        </w:rPr>
      </w:pPr>
    </w:p>
    <w:p>
      <w:pPr>
        <w:ind w:left="300" w:right="20" w:hanging="294"/>
        <w:spacing w:after="0" w:line="271" w:lineRule="auto"/>
        <w:tabs>
          <w:tab w:leader="none" w:pos="386"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South America includes proved developed reserves of 0.2 million barrels of crude oil and natural gas liquids and 39 billion cubic feet of natural gas and undeveloped reserves of 7 billion cubic feet of natural gas.</w:t>
      </w:r>
    </w:p>
    <w:p>
      <w:pPr>
        <w:spacing w:after="0" w:line="1"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646" w:right="139" w:bottom="1440" w:gutter="0" w:footer="0" w:header="0"/>
        </w:sectPr>
      </w:pPr>
    </w:p>
    <w:bookmarkStart w:id="7" w:name="page8"/>
    <w:bookmarkEnd w:id="7"/>
    <w:p>
      <w:pPr>
        <w:ind w:right="100"/>
        <w:spacing w:after="0" w:line="286" w:lineRule="auto"/>
        <w:rPr>
          <w:sz w:val="20"/>
          <w:szCs w:val="20"/>
          <w:color w:val="auto"/>
        </w:rPr>
      </w:pPr>
      <w:r>
        <w:rPr>
          <w:rFonts w:ascii="Arial" w:cs="Arial" w:eastAsia="Arial" w:hAnsi="Arial"/>
          <w:sz w:val="16"/>
          <w:szCs w:val="16"/>
          <w:color w:val="auto"/>
        </w:rPr>
        <w:t>In the preceding reserves information, consolidated subsidiary and equity company reserves are reported separately. However, the Corporation operates its business same view of equity company reserves as it has for reserves from consolidated subsidiaries.</w:t>
      </w:r>
    </w:p>
    <w:p>
      <w:pPr>
        <w:spacing w:after="0" w:line="101" w:lineRule="exact"/>
        <w:rPr>
          <w:sz w:val="20"/>
          <w:szCs w:val="20"/>
          <w:color w:val="auto"/>
        </w:rPr>
      </w:pPr>
    </w:p>
    <w:p>
      <w:pPr>
        <w:jc w:val="both"/>
        <w:ind w:firstLine="200"/>
        <w:spacing w:after="0" w:line="326" w:lineRule="auto"/>
        <w:rPr>
          <w:sz w:val="20"/>
          <w:szCs w:val="20"/>
          <w:color w:val="auto"/>
        </w:rPr>
      </w:pPr>
      <w:r>
        <w:rPr>
          <w:rFonts w:ascii="Arial" w:cs="Arial" w:eastAsia="Arial" w:hAnsi="Arial"/>
          <w:sz w:val="14"/>
          <w:szCs w:val="14"/>
          <w:color w:val="auto"/>
        </w:rPr>
        <w:t>The Corporation’s overall volume capacity outlook, based on projects coming on stream as anticipated, is for production capacity to grow over the coming years. H actual volumes will vary from year to year due to the timing of individual project start-ups, operational outages, reservoir performance, regulatory changes, the im fiscal and commercial terms, asset sales, weather events, price effects on production sharing contracts and other factors as described in Item 1A—Risk Factors of this r</w:t>
      </w:r>
    </w:p>
    <w:p>
      <w:pPr>
        <w:spacing w:after="0" w:line="79" w:lineRule="exact"/>
        <w:rPr>
          <w:sz w:val="20"/>
          <w:szCs w:val="20"/>
          <w:color w:val="auto"/>
        </w:rPr>
      </w:pPr>
    </w:p>
    <w:p>
      <w:pPr>
        <w:jc w:val="both"/>
        <w:ind w:firstLine="200"/>
        <w:spacing w:after="0" w:line="284" w:lineRule="auto"/>
        <w:rPr>
          <w:sz w:val="20"/>
          <w:szCs w:val="20"/>
          <w:color w:val="auto"/>
        </w:rPr>
      </w:pPr>
      <w:r>
        <w:rPr>
          <w:rFonts w:ascii="Arial" w:cs="Arial" w:eastAsia="Arial" w:hAnsi="Arial"/>
          <w:sz w:val="15"/>
          <w:szCs w:val="15"/>
          <w:color w:val="auto"/>
        </w:rPr>
        <w:t>The estimation of proved reserves, which is based on the requirement of reasonable certainty, is an ongoing process based on rigorous technical evaluations, com and market assessments and detailed analysis of well and reservoir information such as flow rates and reservoir pressure declines. Furthermore, the Corporation only proved reserves for projects which have received significant funding commitments by management made toward the development of the reserves. Although the Corpor reasonably certain that proved reserves will be produced, the timing and amount recovered can be affected by a number of factors including completion of devel projects, reservoir performance, regulatory approvals and significant changes in projections of long-term oil and gas price levels.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Technologies Used in Establishing Proved Reserves Additions in 2014</w:t>
      </w:r>
    </w:p>
    <w:p>
      <w:pPr>
        <w:spacing w:after="0" w:line="9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Additions to ExxonMobil’s proved reserves in 2014 were based on estimates generated through the integration of available and appropriate geological, engineer production data, utilizing well-established technologies that have been demonstrated in the field to yield repeatable and consistent results.</w:t>
      </w:r>
    </w:p>
    <w:p>
      <w:pPr>
        <w:spacing w:after="0" w:line="101" w:lineRule="exact"/>
        <w:rPr>
          <w:sz w:val="20"/>
          <w:szCs w:val="20"/>
          <w:color w:val="auto"/>
        </w:rPr>
      </w:pPr>
    </w:p>
    <w:p>
      <w:pPr>
        <w:jc w:val="both"/>
        <w:ind w:firstLine="200"/>
        <w:spacing w:after="0" w:line="315" w:lineRule="auto"/>
        <w:rPr>
          <w:sz w:val="20"/>
          <w:szCs w:val="20"/>
          <w:color w:val="auto"/>
        </w:rPr>
      </w:pPr>
      <w:r>
        <w:rPr>
          <w:rFonts w:ascii="Arial" w:cs="Arial" w:eastAsia="Arial" w:hAnsi="Arial"/>
          <w:sz w:val="14"/>
          <w:szCs w:val="14"/>
          <w:color w:val="auto"/>
        </w:rPr>
        <w:t>Data used in these integrated assessments included information obtained directly from the subsurface via wellbores, such as well logs, reservoir core sample samples, static and dynamic pressure information, production test data, and surveillance and performance information. The data utilized also included subsurface info obtained through indirect measurements including high-quality 3-D and 4-D seismic data, calibrated with available well control information. The tools used to inter data included proprietary seismic processing software, proprietary reservoir modeling and simulation software, and commercially available data analysis packages.</w:t>
      </w:r>
    </w:p>
    <w:p>
      <w:pPr>
        <w:spacing w:after="0" w:line="86" w:lineRule="exact"/>
        <w:rPr>
          <w:sz w:val="20"/>
          <w:szCs w:val="20"/>
          <w:color w:val="auto"/>
        </w:rPr>
      </w:pPr>
    </w:p>
    <w:p>
      <w:pPr>
        <w:jc w:val="both"/>
        <w:ind w:firstLine="200"/>
        <w:spacing w:after="0" w:line="286" w:lineRule="auto"/>
        <w:rPr>
          <w:sz w:val="20"/>
          <w:szCs w:val="20"/>
          <w:color w:val="auto"/>
        </w:rPr>
      </w:pPr>
      <w:r>
        <w:rPr>
          <w:rFonts w:ascii="Arial" w:cs="Arial" w:eastAsia="Arial" w:hAnsi="Arial"/>
          <w:sz w:val="16"/>
          <w:szCs w:val="16"/>
          <w:color w:val="auto"/>
        </w:rPr>
        <w:t>In some circumstances, where appropriate analog reservoirs were available, reservoir parameters from these analogs were used to increase the quality of and confid the reserves estimates.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 Qualifications of Reserves Technical Oversight Group and Internal Controls over Proved Reserves</w:t>
      </w:r>
    </w:p>
    <w:p>
      <w:pPr>
        <w:spacing w:after="0" w:line="90" w:lineRule="exact"/>
        <w:rPr>
          <w:sz w:val="20"/>
          <w:szCs w:val="20"/>
          <w:color w:val="auto"/>
        </w:rPr>
      </w:pPr>
    </w:p>
    <w:p>
      <w:pPr>
        <w:jc w:val="both"/>
        <w:spacing w:after="0" w:line="300" w:lineRule="auto"/>
        <w:rPr>
          <w:sz w:val="20"/>
          <w:szCs w:val="20"/>
          <w:color w:val="auto"/>
        </w:rPr>
      </w:pPr>
      <w:r>
        <w:rPr>
          <w:rFonts w:ascii="Arial" w:cs="Arial" w:eastAsia="Arial" w:hAnsi="Arial"/>
          <w:sz w:val="14"/>
          <w:szCs w:val="14"/>
          <w:color w:val="auto"/>
        </w:rPr>
        <w:t>ExxonMobil has a dedicated Global Reserves group that provides technical oversight and is separate from the operating organization. Primary responsibilities of thi include oversight of the reserves estimation process for compliance with Securities and Exchange Commission (SEC) rules and regulations, review of annual cha reserves estimates, and the reporting of ExxonMobil’s proved reserves. This group also maintains the official company reserves estimates for ExxonMobil’s proved r of crude and natural gas liquids, bitumen, synthetic oil and natural gas. In addition, the group provides training to personnel involved in the reserves estimation and re process within ExxonMobil and its affiliates. The Manager of the Global Reserves group has more than 30 years of experience in reservoir engineering and r assessment and has a degree in Engineering. He is an active member of the Society of Petroleum Engineers (SPE) and previously served on the SPE Oil and Gas R Committee. The group is managed by and staffed with individuals that have an average of more than 20 years of technical experience in the petroleum industry, in expertise in the classification and categorization of reserves under the SEC guidelines. This group includes individuals who hold advanced degrees in either Engine Geology. Several members of the group hold professional registrations in their field of expertise, and members have served on the SPE Oil and Gas Reserves Committe</w:t>
      </w:r>
    </w:p>
    <w:p>
      <w:pPr>
        <w:spacing w:after="0" w:line="100" w:lineRule="exact"/>
        <w:rPr>
          <w:sz w:val="20"/>
          <w:szCs w:val="20"/>
          <w:color w:val="auto"/>
        </w:rPr>
      </w:pPr>
    </w:p>
    <w:p>
      <w:pPr>
        <w:jc w:val="both"/>
        <w:ind w:firstLine="200"/>
        <w:spacing w:after="0" w:line="260" w:lineRule="auto"/>
        <w:rPr>
          <w:sz w:val="20"/>
          <w:szCs w:val="20"/>
          <w:color w:val="auto"/>
        </w:rPr>
      </w:pPr>
      <w:r>
        <w:rPr>
          <w:rFonts w:ascii="Arial" w:cs="Arial" w:eastAsia="Arial" w:hAnsi="Arial"/>
          <w:sz w:val="16"/>
          <w:szCs w:val="16"/>
          <w:color w:val="auto"/>
        </w:rPr>
        <w:t>The Global Reserves group maintains a central database containing the official company reserves estimates. Appropriate controls, including limitations on database and update capabilities, are in place to ensure data integrity within this central database. An annual review of the system’s controls is performed by internal aud components of the reserves estimation process include technical evaluations and analysis of well and field performance and a rigorous peer review. No changes may b to the reserves estimates in the central database, including additions of any new initial reserves estimates or subsequent revisions, unless these changes have been tho reviewed and evaluated by duly authorized personnel within the operating organization. In addition, changes to reserves estimates that exceed certain thresholds further review and approval of the appropriate level of management within the operating organization before the changes may be made in the central database. Endo by the Global Reserves group for all proved reserves changes is a mandatory component of this review process. After all changes are made, reviews are held with management for final endorsement.</w:t>
      </w:r>
    </w:p>
    <w:p>
      <w:pPr>
        <w:spacing w:after="0" w:line="219"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654" w:right="139" w:bottom="1440" w:gutter="0" w:footer="0" w:header="0"/>
        </w:sectPr>
      </w:pPr>
    </w:p>
    <w:bookmarkStart w:id="8" w:name="page9"/>
    <w:bookmarkEnd w:id="8"/>
    <w:p>
      <w:pPr>
        <w:ind w:left="60"/>
        <w:spacing w:after="0"/>
        <w:rPr>
          <w:sz w:val="20"/>
          <w:szCs w:val="20"/>
          <w:color w:val="auto"/>
        </w:rPr>
      </w:pPr>
      <w:r>
        <w:rPr>
          <w:rFonts w:ascii="Arial" w:cs="Arial" w:eastAsia="Arial" w:hAnsi="Arial"/>
          <w:sz w:val="16"/>
          <w:szCs w:val="16"/>
          <w:b w:val="1"/>
          <w:bCs w:val="1"/>
          <w:color w:val="auto"/>
        </w:rPr>
        <w:t>2. Proved Undeveloped Reserves</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At year-end 2014, approximately 8.8 billion oil-equivalent barrels (GOEB) of ExxonMobil’s proved reserves were classified as proved undeveloped. This repres percent of the 25.3 GOEB reported in proved reserves. This compares to the 8.5 GOEB of proved undeveloped reserves reported at the end of 2013. During th ExxonMobil conducted development activities in over 100 fields that resulted in the transfer of approximately 0.8 GOEB from proved undeveloped to proved de reserves by year-end. The largest transfers were related to Papua New Guinea (PNG) LNG start-up and drilling activity in the United States.</w:t>
      </w:r>
    </w:p>
    <w:p>
      <w:pPr>
        <w:spacing w:after="0" w:line="100" w:lineRule="exact"/>
        <w:rPr>
          <w:sz w:val="20"/>
          <w:szCs w:val="20"/>
          <w:color w:val="auto"/>
        </w:rPr>
      </w:pPr>
    </w:p>
    <w:p>
      <w:pPr>
        <w:jc w:val="both"/>
        <w:ind w:firstLine="200"/>
        <w:spacing w:after="0" w:line="279" w:lineRule="auto"/>
        <w:rPr>
          <w:sz w:val="20"/>
          <w:szCs w:val="20"/>
          <w:color w:val="auto"/>
        </w:rPr>
      </w:pPr>
      <w:r>
        <w:rPr>
          <w:rFonts w:ascii="Arial" w:cs="Arial" w:eastAsia="Arial" w:hAnsi="Arial"/>
          <w:sz w:val="15"/>
          <w:szCs w:val="15"/>
          <w:color w:val="auto"/>
        </w:rPr>
        <w:t>One of ExxonMobil’s requirements for reporting proved reserves is that management has made significant funding commitments toward the development of the r ExxonMobil has a disciplined investment strategy and many major fields require long lead-time in order to be developed. Development projects typically take two years from the time of recording proved undeveloped reserves to the start of production. However, the development time for large and complex projects can exce years. During 2014, discoveries and extensions related to new projects added approximately 0.6 GOEB of proved undeveloped reserves. The largest of these additio related to planned drilling in the United States and project funding in Angola, Russia and Kazakhstan. Overall, investments of $24.2 billion were made by the Corp during 2014 to progress the development of reported proved undeveloped reserves, including $22.4 billion for oil and gas producing activities and an additional $1.8 for other non-oil and gas producing activities such as the construction of support infrastructure and other related facilities. These investments represented 74 percen $32.7 billion in total reported Upstream capital and exploration expenditures.</w:t>
      </w:r>
    </w:p>
    <w:p>
      <w:pPr>
        <w:spacing w:after="0" w:line="111" w:lineRule="exact"/>
        <w:rPr>
          <w:sz w:val="20"/>
          <w:szCs w:val="20"/>
          <w:color w:val="auto"/>
        </w:rPr>
      </w:pPr>
    </w:p>
    <w:p>
      <w:pPr>
        <w:jc w:val="both"/>
        <w:ind w:firstLine="200"/>
        <w:spacing w:after="0" w:line="295" w:lineRule="auto"/>
        <w:rPr>
          <w:sz w:val="20"/>
          <w:szCs w:val="20"/>
          <w:color w:val="auto"/>
        </w:rPr>
      </w:pPr>
      <w:r>
        <w:rPr>
          <w:rFonts w:ascii="Arial" w:cs="Arial" w:eastAsia="Arial" w:hAnsi="Arial"/>
          <w:sz w:val="14"/>
          <w:szCs w:val="14"/>
          <w:color w:val="auto"/>
        </w:rPr>
        <w:t>Proved undeveloped reserves in Australia, the United States, Kazakhstan, Nigeria, and the Netherlands have remained undeveloped for five years or more primarily constraints on the capacity of infrastructure, the pace of co-venturer/government funding, as well as the time required to complete development for very large proje Corporation is reasonably certain that these proved reserves will be produced; however, the timing and amount recovered can be affected by a number of factors in completion of development projects, reservoir performance, regulatory approvals, and significant changes in long-term oil and gas price levels. Of the proved unde reserves that have been reported for five or more years, 84 percent are contained in the aforementioned countries. The largest of these is related to LNG/Gas pro Australia, where construction of the Gorgon LNG project is under way. In Kazakhstan, the proved undeveloped reserves are related to the remainder of the initial devel of the offshore Kashagan field which is included in the North Caspian Production Sharing Agreement and the Tengizchevroil joint venture which includes a production in the Tengiz – Korolev field complex. The Tengizchevroil joint venture is producing, and proved undeveloped reserves will continue to move to proved devel approved development phases progress. In the Netherlands, the Groningen gas field has proved undeveloped reserves reported that are related to installation of future s compression. These reserves will move to proved developed when the additional stages of compression are installed to maintain field delivery pressure.</w:t>
      </w:r>
    </w:p>
    <w:p>
      <w:pPr>
        <w:spacing w:after="0" w:line="6"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650" w:right="139" w:bottom="1440" w:gutter="0" w:footer="0" w:header="0"/>
        </w:sectPr>
      </w:pPr>
    </w:p>
    <w:bookmarkStart w:id="9" w:name="page10"/>
    <w:bookmarkEnd w:id="9"/>
    <w:p>
      <w:pPr>
        <w:ind w:right="6240" w:firstLine="6"/>
        <w:spacing w:after="0" w:line="354" w:lineRule="auto"/>
        <w:tabs>
          <w:tab w:leader="none" w:pos="163"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Oil and Gas Production, Production Prices and Production Costs A. Oil and Gas Production</w:t>
      </w:r>
    </w:p>
    <w:p>
      <w:pPr>
        <w:spacing w:after="0"/>
        <w:rPr>
          <w:rFonts w:ascii="Arial" w:cs="Arial" w:eastAsia="Arial" w:hAnsi="Arial"/>
          <w:sz w:val="16"/>
          <w:szCs w:val="16"/>
          <w:b w:val="1"/>
          <w:bCs w:val="1"/>
          <w:color w:val="auto"/>
        </w:rPr>
      </w:pPr>
      <w:r>
        <w:rPr>
          <w:rFonts w:ascii="Arial" w:cs="Arial" w:eastAsia="Arial" w:hAnsi="Arial"/>
          <w:sz w:val="16"/>
          <w:szCs w:val="16"/>
          <w:color w:val="auto"/>
        </w:rPr>
        <w:t>The table below summarizes production by final product sold and by geographic area for the last three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80" w:type="dxa"/>
            <w:vAlign w:val="bottom"/>
          </w:tcPr>
          <w:p>
            <w:pPr>
              <w:spacing w:after="0"/>
              <w:rPr>
                <w:sz w:val="14"/>
                <w:szCs w:val="14"/>
                <w:color w:val="auto"/>
              </w:rPr>
            </w:pPr>
          </w:p>
        </w:tc>
        <w:tc>
          <w:tcPr>
            <w:tcW w:w="1220" w:type="dxa"/>
            <w:vAlign w:val="bottom"/>
          </w:tcPr>
          <w:p>
            <w:pPr>
              <w:jc w:val="right"/>
              <w:ind w:right="39"/>
              <w:spacing w:after="0"/>
              <w:rPr>
                <w:sz w:val="20"/>
                <w:szCs w:val="20"/>
                <w:color w:val="auto"/>
              </w:rPr>
            </w:pPr>
            <w:r>
              <w:rPr>
                <w:rFonts w:ascii="Arial" w:cs="Arial" w:eastAsia="Arial" w:hAnsi="Arial"/>
                <w:sz w:val="13"/>
                <w:szCs w:val="13"/>
                <w:b w:val="1"/>
                <w:bCs w:val="1"/>
                <w:color w:val="auto"/>
              </w:rPr>
              <w:t>2014</w:t>
            </w:r>
          </w:p>
        </w:tc>
        <w:tc>
          <w:tcPr>
            <w:tcW w:w="700" w:type="dxa"/>
            <w:vAlign w:val="bottom"/>
          </w:tcPr>
          <w:p>
            <w:pPr>
              <w:spacing w:after="0"/>
              <w:rPr>
                <w:sz w:val="14"/>
                <w:szCs w:val="14"/>
                <w:color w:val="auto"/>
              </w:rPr>
            </w:pPr>
          </w:p>
        </w:tc>
        <w:tc>
          <w:tcPr>
            <w:tcW w:w="1540" w:type="dxa"/>
            <w:vAlign w:val="bottom"/>
            <w:gridSpan w:val="3"/>
          </w:tcPr>
          <w:p>
            <w:pPr>
              <w:jc w:val="right"/>
              <w:ind w:right="115"/>
              <w:spacing w:after="0"/>
              <w:rPr>
                <w:sz w:val="20"/>
                <w:szCs w:val="20"/>
                <w:color w:val="auto"/>
              </w:rPr>
            </w:pPr>
            <w:r>
              <w:rPr>
                <w:rFonts w:ascii="Arial" w:cs="Arial" w:eastAsia="Arial" w:hAnsi="Arial"/>
                <w:sz w:val="13"/>
                <w:szCs w:val="13"/>
                <w:b w:val="1"/>
                <w:bCs w:val="1"/>
                <w:color w:val="auto"/>
              </w:rPr>
              <w:t>2013</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2012</w:t>
            </w:r>
          </w:p>
        </w:tc>
        <w:tc>
          <w:tcPr>
            <w:tcW w:w="220" w:type="dxa"/>
            <w:vAlign w:val="bottom"/>
          </w:tcPr>
          <w:p>
            <w:pPr>
              <w:spacing w:after="0"/>
              <w:rPr>
                <w:sz w:val="14"/>
                <w:szCs w:val="14"/>
                <w:color w:val="auto"/>
              </w:rPr>
            </w:pPr>
          </w:p>
        </w:tc>
      </w:tr>
      <w:tr>
        <w:trPr>
          <w:trHeight w:val="23"/>
        </w:trPr>
        <w:tc>
          <w:tcPr>
            <w:tcW w:w="5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65"/>
        </w:trPr>
        <w:tc>
          <w:tcPr>
            <w:tcW w:w="5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3"/>
          </w:tcPr>
          <w:p>
            <w:pPr>
              <w:ind w:left="220"/>
              <w:spacing w:after="0"/>
              <w:rPr>
                <w:sz w:val="20"/>
                <w:szCs w:val="20"/>
                <w:color w:val="auto"/>
              </w:rPr>
            </w:pPr>
            <w:r>
              <w:rPr>
                <w:rFonts w:ascii="Arial" w:cs="Arial" w:eastAsia="Arial" w:hAnsi="Arial"/>
                <w:sz w:val="13"/>
                <w:szCs w:val="13"/>
                <w:i w:val="1"/>
                <w:iCs w:val="1"/>
                <w:color w:val="auto"/>
              </w:rPr>
              <w:t>(thousands of barrels daily)</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32"/>
        </w:trPr>
        <w:tc>
          <w:tcPr>
            <w:tcW w:w="5180" w:type="dxa"/>
            <w:vAlign w:val="bottom"/>
          </w:tcPr>
          <w:p>
            <w:pPr>
              <w:spacing w:after="0"/>
              <w:rPr>
                <w:sz w:val="20"/>
                <w:szCs w:val="20"/>
                <w:color w:val="auto"/>
              </w:rPr>
            </w:pPr>
            <w:r>
              <w:rPr>
                <w:rFonts w:ascii="Arial" w:cs="Arial" w:eastAsia="Arial" w:hAnsi="Arial"/>
                <w:sz w:val="16"/>
                <w:szCs w:val="16"/>
                <w:b w:val="1"/>
                <w:bCs w:val="1"/>
                <w:color w:val="auto"/>
              </w:rPr>
              <w:t>Crude oil and natural gas liquids production</w:t>
            </w:r>
          </w:p>
        </w:tc>
        <w:tc>
          <w:tcPr>
            <w:tcW w:w="1220" w:type="dxa"/>
            <w:vAlign w:val="bottom"/>
          </w:tcPr>
          <w:p>
            <w:pPr>
              <w:jc w:val="right"/>
              <w:ind w:right="359"/>
              <w:spacing w:after="0"/>
              <w:rPr>
                <w:sz w:val="20"/>
                <w:szCs w:val="20"/>
                <w:color w:val="auto"/>
              </w:rPr>
            </w:pPr>
            <w:r>
              <w:rPr>
                <w:rFonts w:ascii="Arial" w:cs="Arial" w:eastAsia="Arial" w:hAnsi="Arial"/>
                <w:sz w:val="13"/>
                <w:szCs w:val="13"/>
                <w:color w:val="auto"/>
              </w:rPr>
              <w:t>Crude Oil</w:t>
            </w:r>
          </w:p>
        </w:tc>
        <w:tc>
          <w:tcPr>
            <w:tcW w:w="700" w:type="dxa"/>
            <w:vAlign w:val="bottom"/>
          </w:tcPr>
          <w:p>
            <w:pPr>
              <w:jc w:val="right"/>
              <w:ind w:right="221"/>
              <w:spacing w:after="0"/>
              <w:rPr>
                <w:sz w:val="20"/>
                <w:szCs w:val="20"/>
                <w:color w:val="auto"/>
              </w:rPr>
            </w:pPr>
            <w:r>
              <w:rPr>
                <w:rFonts w:ascii="Arial" w:cs="Arial" w:eastAsia="Arial" w:hAnsi="Arial"/>
                <w:sz w:val="13"/>
                <w:szCs w:val="13"/>
                <w:color w:val="auto"/>
              </w:rPr>
              <w:t>NGL</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center"/>
              <w:ind w:right="175"/>
              <w:spacing w:after="0"/>
              <w:rPr>
                <w:sz w:val="20"/>
                <w:szCs w:val="20"/>
                <w:color w:val="auto"/>
              </w:rPr>
            </w:pPr>
            <w:r>
              <w:rPr>
                <w:rFonts w:ascii="Arial" w:cs="Arial" w:eastAsia="Arial" w:hAnsi="Arial"/>
                <w:sz w:val="13"/>
                <w:szCs w:val="13"/>
                <w:color w:val="auto"/>
                <w:w w:val="94"/>
              </w:rPr>
              <w:t>Crude Oil</w:t>
            </w:r>
          </w:p>
        </w:tc>
        <w:tc>
          <w:tcPr>
            <w:tcW w:w="880" w:type="dxa"/>
            <w:vAlign w:val="bottom"/>
            <w:gridSpan w:val="2"/>
          </w:tcPr>
          <w:p>
            <w:pPr>
              <w:ind w:left="60"/>
              <w:spacing w:after="0"/>
              <w:rPr>
                <w:sz w:val="20"/>
                <w:szCs w:val="20"/>
                <w:color w:val="auto"/>
              </w:rPr>
            </w:pPr>
            <w:r>
              <w:rPr>
                <w:rFonts w:ascii="Arial" w:cs="Arial" w:eastAsia="Arial" w:hAnsi="Arial"/>
                <w:sz w:val="13"/>
                <w:szCs w:val="13"/>
                <w:color w:val="auto"/>
              </w:rPr>
              <w:t>NGL</w:t>
            </w:r>
          </w:p>
        </w:tc>
        <w:tc>
          <w:tcPr>
            <w:tcW w:w="1200" w:type="dxa"/>
            <w:vAlign w:val="bottom"/>
            <w:gridSpan w:val="2"/>
          </w:tcPr>
          <w:p>
            <w:pPr>
              <w:jc w:val="right"/>
              <w:ind w:right="440"/>
              <w:spacing w:after="0"/>
              <w:rPr>
                <w:sz w:val="20"/>
                <w:szCs w:val="20"/>
                <w:color w:val="auto"/>
              </w:rPr>
            </w:pPr>
            <w:r>
              <w:rPr>
                <w:rFonts w:ascii="Arial" w:cs="Arial" w:eastAsia="Arial" w:hAnsi="Arial"/>
                <w:sz w:val="13"/>
                <w:szCs w:val="13"/>
                <w:color w:val="auto"/>
              </w:rPr>
              <w:t>Crude Oil</w:t>
            </w:r>
          </w:p>
        </w:tc>
        <w:tc>
          <w:tcPr>
            <w:tcW w:w="220" w:type="dxa"/>
            <w:vAlign w:val="bottom"/>
          </w:tcPr>
          <w:p>
            <w:pPr>
              <w:ind w:left="140"/>
              <w:spacing w:after="0"/>
              <w:rPr>
                <w:sz w:val="20"/>
                <w:szCs w:val="20"/>
                <w:color w:val="auto"/>
              </w:rPr>
            </w:pPr>
            <w:r>
              <w:rPr>
                <w:rFonts w:ascii="Arial" w:cs="Arial" w:eastAsia="Arial" w:hAnsi="Arial"/>
                <w:sz w:val="11"/>
                <w:szCs w:val="11"/>
                <w:color w:val="auto"/>
                <w:w w:val="74"/>
              </w:rPr>
              <w:t>N</w:t>
            </w:r>
          </w:p>
        </w:tc>
      </w:tr>
      <w:tr>
        <w:trPr>
          <w:trHeight w:val="176"/>
        </w:trPr>
        <w:tc>
          <w:tcPr>
            <w:tcW w:w="5180" w:type="dxa"/>
            <w:vAlign w:val="bottom"/>
          </w:tcPr>
          <w:p>
            <w:pPr>
              <w:ind w:left="240"/>
              <w:spacing w:after="0" w:line="176" w:lineRule="exact"/>
              <w:rPr>
                <w:sz w:val="20"/>
                <w:szCs w:val="20"/>
                <w:color w:val="auto"/>
              </w:rPr>
            </w:pPr>
            <w:r>
              <w:rPr>
                <w:rFonts w:ascii="Arial" w:cs="Arial" w:eastAsia="Arial" w:hAnsi="Arial"/>
                <w:sz w:val="16"/>
                <w:szCs w:val="16"/>
                <w:b w:val="1"/>
                <w:bCs w:val="1"/>
                <w:color w:val="auto"/>
              </w:rPr>
              <w:t>Consolidated Subsidiaries</w:t>
            </w:r>
          </w:p>
        </w:tc>
        <w:tc>
          <w:tcPr>
            <w:tcW w:w="1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r>
      <w:tr>
        <w:trPr>
          <w:trHeight w:val="196"/>
        </w:trPr>
        <w:tc>
          <w:tcPr>
            <w:tcW w:w="5180" w:type="dxa"/>
            <w:vAlign w:val="bottom"/>
          </w:tcPr>
          <w:p>
            <w:pPr>
              <w:ind w:left="480"/>
              <w:spacing w:after="0"/>
              <w:rPr>
                <w:sz w:val="20"/>
                <w:szCs w:val="20"/>
                <w:color w:val="auto"/>
              </w:rPr>
            </w:pPr>
            <w:r>
              <w:rPr>
                <w:rFonts w:ascii="Arial" w:cs="Arial" w:eastAsia="Arial" w:hAnsi="Arial"/>
                <w:sz w:val="16"/>
                <w:szCs w:val="16"/>
                <w:color w:val="auto"/>
              </w:rPr>
              <w:t>United States</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304</w:t>
            </w:r>
          </w:p>
        </w:tc>
        <w:tc>
          <w:tcPr>
            <w:tcW w:w="700" w:type="dxa"/>
            <w:vAlign w:val="bottom"/>
          </w:tcPr>
          <w:p>
            <w:pPr>
              <w:jc w:val="right"/>
              <w:spacing w:after="0"/>
              <w:rPr>
                <w:sz w:val="20"/>
                <w:szCs w:val="20"/>
                <w:color w:val="auto"/>
              </w:rPr>
            </w:pPr>
            <w:r>
              <w:rPr>
                <w:rFonts w:ascii="Arial" w:cs="Arial" w:eastAsia="Arial" w:hAnsi="Arial"/>
                <w:sz w:val="16"/>
                <w:szCs w:val="16"/>
                <w:color w:val="auto"/>
              </w:rPr>
              <w:t>85</w:t>
            </w:r>
          </w:p>
        </w:tc>
        <w:tc>
          <w:tcPr>
            <w:tcW w:w="1540" w:type="dxa"/>
            <w:vAlign w:val="bottom"/>
            <w:gridSpan w:val="3"/>
          </w:tcPr>
          <w:p>
            <w:pPr>
              <w:jc w:val="right"/>
              <w:ind w:right="235"/>
              <w:spacing w:after="0"/>
              <w:rPr>
                <w:sz w:val="20"/>
                <w:szCs w:val="20"/>
                <w:color w:val="auto"/>
              </w:rPr>
            </w:pPr>
            <w:r>
              <w:rPr>
                <w:rFonts w:ascii="Arial" w:cs="Arial" w:eastAsia="Arial" w:hAnsi="Arial"/>
                <w:sz w:val="16"/>
                <w:szCs w:val="16"/>
                <w:color w:val="auto"/>
              </w:rPr>
              <w:t>283</w:t>
            </w:r>
          </w:p>
        </w:tc>
        <w:tc>
          <w:tcPr>
            <w:tcW w:w="660" w:type="dxa"/>
            <w:vAlign w:val="bottom"/>
          </w:tcPr>
          <w:p>
            <w:pPr>
              <w:jc w:val="right"/>
              <w:spacing w:after="0"/>
              <w:rPr>
                <w:sz w:val="20"/>
                <w:szCs w:val="20"/>
                <w:color w:val="auto"/>
              </w:rPr>
            </w:pPr>
            <w:r>
              <w:rPr>
                <w:rFonts w:ascii="Arial" w:cs="Arial" w:eastAsia="Arial" w:hAnsi="Arial"/>
                <w:sz w:val="16"/>
                <w:szCs w:val="16"/>
                <w:color w:val="auto"/>
              </w:rPr>
              <w:t>85</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5180" w:type="dxa"/>
            <w:vAlign w:val="bottom"/>
          </w:tcPr>
          <w:p>
            <w:pPr>
              <w:ind w:left="480"/>
              <w:spacing w:after="0"/>
              <w:rPr>
                <w:sz w:val="20"/>
                <w:szCs w:val="20"/>
                <w:color w:val="auto"/>
              </w:rPr>
            </w:pPr>
            <w:r>
              <w:rPr>
                <w:rFonts w:ascii="Arial" w:cs="Arial" w:eastAsia="Arial" w:hAnsi="Arial"/>
                <w:sz w:val="16"/>
                <w:szCs w:val="16"/>
                <w:color w:val="auto"/>
              </w:rPr>
              <w:t xml:space="preserve">Canada/South America </w:t>
            </w:r>
            <w:r>
              <w:rPr>
                <w:rFonts w:ascii="Arial" w:cs="Arial" w:eastAsia="Arial" w:hAnsi="Arial"/>
                <w:sz w:val="13"/>
                <w:szCs w:val="13"/>
                <w:i w:val="1"/>
                <w:iCs w:val="1"/>
                <w:color w:val="auto"/>
              </w:rPr>
              <w:t>(1)</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52</w:t>
            </w:r>
          </w:p>
        </w:tc>
        <w:tc>
          <w:tcPr>
            <w:tcW w:w="700" w:type="dxa"/>
            <w:vAlign w:val="bottom"/>
          </w:tcPr>
          <w:p>
            <w:pPr>
              <w:jc w:val="right"/>
              <w:spacing w:after="0"/>
              <w:rPr>
                <w:sz w:val="20"/>
                <w:szCs w:val="20"/>
                <w:color w:val="auto"/>
              </w:rPr>
            </w:pPr>
            <w:r>
              <w:rPr>
                <w:rFonts w:ascii="Arial" w:cs="Arial" w:eastAsia="Arial" w:hAnsi="Arial"/>
                <w:sz w:val="16"/>
                <w:szCs w:val="16"/>
                <w:color w:val="auto"/>
              </w:rPr>
              <w:t>9</w:t>
            </w:r>
          </w:p>
        </w:tc>
        <w:tc>
          <w:tcPr>
            <w:tcW w:w="1540" w:type="dxa"/>
            <w:vAlign w:val="bottom"/>
            <w:gridSpan w:val="3"/>
          </w:tcPr>
          <w:p>
            <w:pPr>
              <w:jc w:val="right"/>
              <w:ind w:right="235"/>
              <w:spacing w:after="0"/>
              <w:rPr>
                <w:sz w:val="20"/>
                <w:szCs w:val="20"/>
                <w:color w:val="auto"/>
              </w:rPr>
            </w:pPr>
            <w:r>
              <w:rPr>
                <w:rFonts w:ascii="Arial" w:cs="Arial" w:eastAsia="Arial" w:hAnsi="Arial"/>
                <w:sz w:val="16"/>
                <w:szCs w:val="16"/>
                <w:color w:val="auto"/>
              </w:rPr>
              <w:t>57</w:t>
            </w: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5180" w:type="dxa"/>
            <w:vAlign w:val="bottom"/>
          </w:tcPr>
          <w:p>
            <w:pPr>
              <w:ind w:left="480"/>
              <w:spacing w:after="0"/>
              <w:rPr>
                <w:sz w:val="20"/>
                <w:szCs w:val="20"/>
                <w:color w:val="auto"/>
              </w:rPr>
            </w:pPr>
            <w:r>
              <w:rPr>
                <w:rFonts w:ascii="Arial" w:cs="Arial" w:eastAsia="Arial" w:hAnsi="Arial"/>
                <w:sz w:val="16"/>
                <w:szCs w:val="16"/>
                <w:color w:val="auto"/>
              </w:rPr>
              <w:t>Europe</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151</w:t>
            </w:r>
          </w:p>
        </w:tc>
        <w:tc>
          <w:tcPr>
            <w:tcW w:w="700" w:type="dxa"/>
            <w:vAlign w:val="bottom"/>
          </w:tcPr>
          <w:p>
            <w:pPr>
              <w:jc w:val="right"/>
              <w:spacing w:after="0"/>
              <w:rPr>
                <w:sz w:val="20"/>
                <w:szCs w:val="20"/>
                <w:color w:val="auto"/>
              </w:rPr>
            </w:pPr>
            <w:r>
              <w:rPr>
                <w:rFonts w:ascii="Arial" w:cs="Arial" w:eastAsia="Arial" w:hAnsi="Arial"/>
                <w:sz w:val="16"/>
                <w:szCs w:val="16"/>
                <w:color w:val="auto"/>
              </w:rPr>
              <w:t>28</w:t>
            </w:r>
          </w:p>
        </w:tc>
        <w:tc>
          <w:tcPr>
            <w:tcW w:w="1540" w:type="dxa"/>
            <w:vAlign w:val="bottom"/>
            <w:gridSpan w:val="3"/>
          </w:tcPr>
          <w:p>
            <w:pPr>
              <w:jc w:val="right"/>
              <w:ind w:right="235"/>
              <w:spacing w:after="0"/>
              <w:rPr>
                <w:sz w:val="20"/>
                <w:szCs w:val="20"/>
                <w:color w:val="auto"/>
              </w:rPr>
            </w:pPr>
            <w:r>
              <w:rPr>
                <w:rFonts w:ascii="Arial" w:cs="Arial" w:eastAsia="Arial" w:hAnsi="Arial"/>
                <w:sz w:val="16"/>
                <w:szCs w:val="16"/>
                <w:color w:val="auto"/>
              </w:rPr>
              <w:t>157</w:t>
            </w:r>
          </w:p>
        </w:tc>
        <w:tc>
          <w:tcPr>
            <w:tcW w:w="660" w:type="dxa"/>
            <w:vAlign w:val="bottom"/>
          </w:tcPr>
          <w:p>
            <w:pPr>
              <w:jc w:val="right"/>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5180" w:type="dxa"/>
            <w:vAlign w:val="bottom"/>
          </w:tcPr>
          <w:p>
            <w:pPr>
              <w:ind w:left="480"/>
              <w:spacing w:after="0"/>
              <w:rPr>
                <w:sz w:val="20"/>
                <w:szCs w:val="20"/>
                <w:color w:val="auto"/>
              </w:rPr>
            </w:pPr>
            <w:r>
              <w:rPr>
                <w:rFonts w:ascii="Arial" w:cs="Arial" w:eastAsia="Arial" w:hAnsi="Arial"/>
                <w:sz w:val="16"/>
                <w:szCs w:val="16"/>
                <w:color w:val="auto"/>
              </w:rPr>
              <w:t>Africa</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469</w:t>
            </w:r>
          </w:p>
        </w:tc>
        <w:tc>
          <w:tcPr>
            <w:tcW w:w="700" w:type="dxa"/>
            <w:vAlign w:val="bottom"/>
          </w:tcPr>
          <w:p>
            <w:pPr>
              <w:jc w:val="right"/>
              <w:spacing w:after="0"/>
              <w:rPr>
                <w:sz w:val="20"/>
                <w:szCs w:val="20"/>
                <w:color w:val="auto"/>
              </w:rPr>
            </w:pPr>
            <w:r>
              <w:rPr>
                <w:rFonts w:ascii="Arial" w:cs="Arial" w:eastAsia="Arial" w:hAnsi="Arial"/>
                <w:sz w:val="16"/>
                <w:szCs w:val="16"/>
                <w:color w:val="auto"/>
              </w:rPr>
              <w:t>20</w:t>
            </w:r>
          </w:p>
        </w:tc>
        <w:tc>
          <w:tcPr>
            <w:tcW w:w="1540" w:type="dxa"/>
            <w:vAlign w:val="bottom"/>
            <w:gridSpan w:val="3"/>
          </w:tcPr>
          <w:p>
            <w:pPr>
              <w:jc w:val="right"/>
              <w:ind w:right="235"/>
              <w:spacing w:after="0"/>
              <w:rPr>
                <w:sz w:val="20"/>
                <w:szCs w:val="20"/>
                <w:color w:val="auto"/>
              </w:rPr>
            </w:pPr>
            <w:r>
              <w:rPr>
                <w:rFonts w:ascii="Arial" w:cs="Arial" w:eastAsia="Arial" w:hAnsi="Arial"/>
                <w:sz w:val="16"/>
                <w:szCs w:val="16"/>
                <w:color w:val="auto"/>
              </w:rPr>
              <w:t>451</w:t>
            </w:r>
          </w:p>
        </w:tc>
        <w:tc>
          <w:tcPr>
            <w:tcW w:w="66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5180" w:type="dxa"/>
            <w:vAlign w:val="bottom"/>
          </w:tcPr>
          <w:p>
            <w:pPr>
              <w:ind w:left="480"/>
              <w:spacing w:after="0"/>
              <w:rPr>
                <w:sz w:val="20"/>
                <w:szCs w:val="20"/>
                <w:color w:val="auto"/>
              </w:rPr>
            </w:pPr>
            <w:r>
              <w:rPr>
                <w:rFonts w:ascii="Arial" w:cs="Arial" w:eastAsia="Arial" w:hAnsi="Arial"/>
                <w:sz w:val="16"/>
                <w:szCs w:val="16"/>
                <w:color w:val="auto"/>
              </w:rPr>
              <w:t>Asia</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293</w:t>
            </w:r>
          </w:p>
        </w:tc>
        <w:tc>
          <w:tcPr>
            <w:tcW w:w="700" w:type="dxa"/>
            <w:vAlign w:val="bottom"/>
          </w:tcPr>
          <w:p>
            <w:pPr>
              <w:jc w:val="right"/>
              <w:spacing w:after="0"/>
              <w:rPr>
                <w:sz w:val="20"/>
                <w:szCs w:val="20"/>
                <w:color w:val="auto"/>
              </w:rPr>
            </w:pPr>
            <w:r>
              <w:rPr>
                <w:rFonts w:ascii="Arial" w:cs="Arial" w:eastAsia="Arial" w:hAnsi="Arial"/>
                <w:sz w:val="16"/>
                <w:szCs w:val="16"/>
                <w:color w:val="auto"/>
              </w:rPr>
              <w:t>26</w:t>
            </w:r>
          </w:p>
        </w:tc>
        <w:tc>
          <w:tcPr>
            <w:tcW w:w="1540" w:type="dxa"/>
            <w:vAlign w:val="bottom"/>
            <w:gridSpan w:val="3"/>
          </w:tcPr>
          <w:p>
            <w:pPr>
              <w:jc w:val="right"/>
              <w:ind w:right="235"/>
              <w:spacing w:after="0"/>
              <w:rPr>
                <w:sz w:val="20"/>
                <w:szCs w:val="20"/>
                <w:color w:val="auto"/>
              </w:rPr>
            </w:pPr>
            <w:r>
              <w:rPr>
                <w:rFonts w:ascii="Arial" w:cs="Arial" w:eastAsia="Arial" w:hAnsi="Arial"/>
                <w:sz w:val="16"/>
                <w:szCs w:val="16"/>
                <w:color w:val="auto"/>
              </w:rPr>
              <w:t>313</w:t>
            </w:r>
          </w:p>
        </w:tc>
        <w:tc>
          <w:tcPr>
            <w:tcW w:w="660" w:type="dxa"/>
            <w:vAlign w:val="bottom"/>
          </w:tcPr>
          <w:p>
            <w:pPr>
              <w:jc w:val="right"/>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8"/>
        </w:trPr>
        <w:tc>
          <w:tcPr>
            <w:tcW w:w="5180" w:type="dxa"/>
            <w:vAlign w:val="bottom"/>
          </w:tcPr>
          <w:p>
            <w:pPr>
              <w:ind w:left="480"/>
              <w:spacing w:after="0"/>
              <w:rPr>
                <w:sz w:val="20"/>
                <w:szCs w:val="20"/>
                <w:color w:val="auto"/>
              </w:rPr>
            </w:pPr>
            <w:r>
              <w:rPr>
                <w:rFonts w:ascii="Arial" w:cs="Arial" w:eastAsia="Arial" w:hAnsi="Arial"/>
                <w:sz w:val="16"/>
                <w:szCs w:val="16"/>
                <w:color w:val="auto"/>
              </w:rPr>
              <w:t>Australia/Oceania</w:t>
            </w: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54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6"/>
                <w:szCs w:val="16"/>
                <w:color w:val="auto"/>
              </w:rPr>
              <w:t>29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r>
      <w:tr>
        <w:trPr>
          <w:trHeight w:val="201"/>
        </w:trPr>
        <w:tc>
          <w:tcPr>
            <w:tcW w:w="5180" w:type="dxa"/>
            <w:vAlign w:val="bottom"/>
          </w:tcPr>
          <w:p>
            <w:pPr>
              <w:ind w:left="700"/>
              <w:spacing w:after="0"/>
              <w:rPr>
                <w:sz w:val="20"/>
                <w:szCs w:val="20"/>
                <w:color w:val="auto"/>
              </w:rPr>
            </w:pPr>
            <w:r>
              <w:rPr>
                <w:rFonts w:ascii="Arial" w:cs="Arial" w:eastAsia="Arial" w:hAnsi="Arial"/>
                <w:sz w:val="16"/>
                <w:szCs w:val="16"/>
                <w:color w:val="auto"/>
              </w:rPr>
              <w:t>Total Consolidated Subsidiaries</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1,308</w:t>
            </w:r>
          </w:p>
        </w:tc>
        <w:tc>
          <w:tcPr>
            <w:tcW w:w="700" w:type="dxa"/>
            <w:vAlign w:val="bottom"/>
          </w:tcPr>
          <w:p>
            <w:pPr>
              <w:jc w:val="right"/>
              <w:spacing w:after="0"/>
              <w:rPr>
                <w:sz w:val="20"/>
                <w:szCs w:val="20"/>
                <w:color w:val="auto"/>
              </w:rPr>
            </w:pPr>
            <w:r>
              <w:rPr>
                <w:rFonts w:ascii="Arial" w:cs="Arial" w:eastAsia="Arial" w:hAnsi="Arial"/>
                <w:sz w:val="16"/>
                <w:szCs w:val="16"/>
                <w:color w:val="auto"/>
              </w:rPr>
              <w:t>188</w:t>
            </w:r>
          </w:p>
        </w:tc>
        <w:tc>
          <w:tcPr>
            <w:tcW w:w="1540" w:type="dxa"/>
            <w:vAlign w:val="bottom"/>
            <w:gridSpan w:val="3"/>
          </w:tcPr>
          <w:p>
            <w:pPr>
              <w:jc w:val="right"/>
              <w:ind w:right="235"/>
              <w:spacing w:after="0"/>
              <w:rPr>
                <w:sz w:val="20"/>
                <w:szCs w:val="20"/>
                <w:color w:val="auto"/>
              </w:rPr>
            </w:pPr>
            <w:r>
              <w:rPr>
                <w:rFonts w:ascii="Arial" w:cs="Arial" w:eastAsia="Arial" w:hAnsi="Arial"/>
                <w:sz w:val="16"/>
                <w:szCs w:val="16"/>
                <w:color w:val="auto"/>
              </w:rPr>
              <w:t>1,290</w:t>
            </w:r>
          </w:p>
        </w:tc>
        <w:tc>
          <w:tcPr>
            <w:tcW w:w="660" w:type="dxa"/>
            <w:vAlign w:val="bottom"/>
          </w:tcPr>
          <w:p>
            <w:pPr>
              <w:jc w:val="right"/>
              <w:spacing w:after="0"/>
              <w:rPr>
                <w:sz w:val="20"/>
                <w:szCs w:val="20"/>
                <w:color w:val="auto"/>
              </w:rPr>
            </w:pPr>
            <w:r>
              <w:rPr>
                <w:rFonts w:ascii="Arial" w:cs="Arial" w:eastAsia="Arial" w:hAnsi="Arial"/>
                <w:sz w:val="16"/>
                <w:szCs w:val="16"/>
                <w:color w:val="auto"/>
              </w:rPr>
              <w:t>189</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80"/>
        </w:trPr>
        <w:tc>
          <w:tcPr>
            <w:tcW w:w="5180" w:type="dxa"/>
            <w:vAlign w:val="bottom"/>
          </w:tcPr>
          <w:p>
            <w:pPr>
              <w:ind w:left="240"/>
              <w:spacing w:after="0"/>
              <w:rPr>
                <w:sz w:val="20"/>
                <w:szCs w:val="20"/>
                <w:color w:val="auto"/>
              </w:rPr>
            </w:pPr>
            <w:r>
              <w:rPr>
                <w:rFonts w:ascii="Arial" w:cs="Arial" w:eastAsia="Arial" w:hAnsi="Arial"/>
                <w:sz w:val="16"/>
                <w:szCs w:val="16"/>
                <w:b w:val="1"/>
                <w:bCs w:val="1"/>
                <w:color w:val="auto"/>
              </w:rPr>
              <w:t>Equity Companies</w:t>
            </w: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6"/>
        </w:trPr>
        <w:tc>
          <w:tcPr>
            <w:tcW w:w="5180" w:type="dxa"/>
            <w:vAlign w:val="bottom"/>
          </w:tcPr>
          <w:p>
            <w:pPr>
              <w:ind w:left="480"/>
              <w:spacing w:after="0"/>
              <w:rPr>
                <w:sz w:val="20"/>
                <w:szCs w:val="20"/>
                <w:color w:val="auto"/>
              </w:rPr>
            </w:pPr>
            <w:r>
              <w:rPr>
                <w:rFonts w:ascii="Arial" w:cs="Arial" w:eastAsia="Arial" w:hAnsi="Arial"/>
                <w:sz w:val="16"/>
                <w:szCs w:val="16"/>
                <w:color w:val="auto"/>
              </w:rPr>
              <w:t>United States</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63</w:t>
            </w: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1540" w:type="dxa"/>
            <w:vAlign w:val="bottom"/>
            <w:gridSpan w:val="3"/>
          </w:tcPr>
          <w:p>
            <w:pPr>
              <w:jc w:val="right"/>
              <w:ind w:right="235"/>
              <w:spacing w:after="0"/>
              <w:rPr>
                <w:sz w:val="20"/>
                <w:szCs w:val="20"/>
                <w:color w:val="auto"/>
              </w:rPr>
            </w:pPr>
            <w:r>
              <w:rPr>
                <w:rFonts w:ascii="Arial" w:cs="Arial" w:eastAsia="Arial" w:hAnsi="Arial"/>
                <w:sz w:val="16"/>
                <w:szCs w:val="16"/>
                <w:color w:val="auto"/>
              </w:rPr>
              <w:t>61</w:t>
            </w: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5180" w:type="dxa"/>
            <w:vAlign w:val="bottom"/>
          </w:tcPr>
          <w:p>
            <w:pPr>
              <w:ind w:left="480"/>
              <w:spacing w:after="0"/>
              <w:rPr>
                <w:sz w:val="20"/>
                <w:szCs w:val="20"/>
                <w:color w:val="auto"/>
              </w:rPr>
            </w:pPr>
            <w:r>
              <w:rPr>
                <w:rFonts w:ascii="Arial" w:cs="Arial" w:eastAsia="Arial" w:hAnsi="Arial"/>
                <w:sz w:val="16"/>
                <w:szCs w:val="16"/>
                <w:color w:val="auto"/>
              </w:rPr>
              <w:t>Europe</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5</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3"/>
          </w:tcPr>
          <w:p>
            <w:pPr>
              <w:jc w:val="right"/>
              <w:ind w:right="235"/>
              <w:spacing w:after="0"/>
              <w:rPr>
                <w:sz w:val="20"/>
                <w:szCs w:val="20"/>
                <w:color w:val="auto"/>
              </w:rPr>
            </w:pPr>
            <w:r>
              <w:rPr>
                <w:rFonts w:ascii="Arial" w:cs="Arial" w:eastAsia="Arial" w:hAnsi="Arial"/>
                <w:sz w:val="16"/>
                <w:szCs w:val="16"/>
                <w:color w:val="auto"/>
              </w:rPr>
              <w:t>6</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8"/>
        </w:trPr>
        <w:tc>
          <w:tcPr>
            <w:tcW w:w="5180" w:type="dxa"/>
            <w:vAlign w:val="bottom"/>
          </w:tcPr>
          <w:p>
            <w:pPr>
              <w:ind w:left="480"/>
              <w:spacing w:after="0"/>
              <w:rPr>
                <w:sz w:val="20"/>
                <w:szCs w:val="20"/>
                <w:color w:val="auto"/>
              </w:rPr>
            </w:pPr>
            <w:r>
              <w:rPr>
                <w:rFonts w:ascii="Arial" w:cs="Arial" w:eastAsia="Arial" w:hAnsi="Arial"/>
                <w:sz w:val="16"/>
                <w:szCs w:val="16"/>
                <w:color w:val="auto"/>
              </w:rPr>
              <w:t>Asia</w:t>
            </w: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236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54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6"/>
                <w:szCs w:val="16"/>
                <w:color w:val="auto"/>
              </w:rPr>
              <w:t>373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r>
      <w:tr>
        <w:trPr>
          <w:trHeight w:val="189"/>
        </w:trPr>
        <w:tc>
          <w:tcPr>
            <w:tcW w:w="5180" w:type="dxa"/>
            <w:vAlign w:val="bottom"/>
          </w:tcPr>
          <w:p>
            <w:pPr>
              <w:ind w:left="700"/>
              <w:spacing w:after="0"/>
              <w:rPr>
                <w:sz w:val="20"/>
                <w:szCs w:val="20"/>
                <w:color w:val="auto"/>
              </w:rPr>
            </w:pPr>
            <w:r>
              <w:rPr>
                <w:rFonts w:ascii="Arial" w:cs="Arial" w:eastAsia="Arial" w:hAnsi="Arial"/>
                <w:sz w:val="16"/>
                <w:szCs w:val="16"/>
                <w:color w:val="auto"/>
              </w:rPr>
              <w:t>Total Equity Companies</w:t>
            </w: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304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54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6"/>
                <w:szCs w:val="16"/>
                <w:color w:val="auto"/>
              </w:rPr>
              <w:t>440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383"/>
        </w:trPr>
        <w:tc>
          <w:tcPr>
            <w:tcW w:w="5180" w:type="dxa"/>
            <w:vAlign w:val="bottom"/>
          </w:tcPr>
          <w:p>
            <w:pPr>
              <w:spacing w:after="0"/>
              <w:rPr>
                <w:sz w:val="20"/>
                <w:szCs w:val="20"/>
                <w:color w:val="auto"/>
              </w:rPr>
            </w:pPr>
            <w:r>
              <w:rPr>
                <w:rFonts w:ascii="Arial" w:cs="Arial" w:eastAsia="Arial" w:hAnsi="Arial"/>
                <w:sz w:val="16"/>
                <w:szCs w:val="16"/>
                <w:b w:val="1"/>
                <w:bCs w:val="1"/>
                <w:color w:val="auto"/>
              </w:rPr>
              <w:t>Total crude oil and natural gas liquids production</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1,612</w:t>
            </w:r>
          </w:p>
        </w:tc>
        <w:tc>
          <w:tcPr>
            <w:tcW w:w="700" w:type="dxa"/>
            <w:vAlign w:val="bottom"/>
          </w:tcPr>
          <w:p>
            <w:pPr>
              <w:jc w:val="right"/>
              <w:spacing w:after="0"/>
              <w:rPr>
                <w:sz w:val="20"/>
                <w:szCs w:val="20"/>
                <w:color w:val="auto"/>
              </w:rPr>
            </w:pPr>
            <w:r>
              <w:rPr>
                <w:rFonts w:ascii="Arial" w:cs="Arial" w:eastAsia="Arial" w:hAnsi="Arial"/>
                <w:sz w:val="16"/>
                <w:szCs w:val="16"/>
                <w:color w:val="auto"/>
              </w:rPr>
              <w:t>259</w:t>
            </w:r>
          </w:p>
        </w:tc>
        <w:tc>
          <w:tcPr>
            <w:tcW w:w="1540" w:type="dxa"/>
            <w:vAlign w:val="bottom"/>
            <w:gridSpan w:val="3"/>
          </w:tcPr>
          <w:p>
            <w:pPr>
              <w:jc w:val="right"/>
              <w:ind w:right="235"/>
              <w:spacing w:after="0"/>
              <w:rPr>
                <w:sz w:val="20"/>
                <w:szCs w:val="20"/>
                <w:color w:val="auto"/>
              </w:rPr>
            </w:pPr>
            <w:r>
              <w:rPr>
                <w:rFonts w:ascii="Arial" w:cs="Arial" w:eastAsia="Arial" w:hAnsi="Arial"/>
                <w:sz w:val="16"/>
                <w:szCs w:val="16"/>
                <w:color w:val="auto"/>
              </w:rPr>
              <w:t>1,730</w:t>
            </w:r>
          </w:p>
        </w:tc>
        <w:tc>
          <w:tcPr>
            <w:tcW w:w="660" w:type="dxa"/>
            <w:vAlign w:val="bottom"/>
          </w:tcPr>
          <w:p>
            <w:pPr>
              <w:jc w:val="right"/>
              <w:spacing w:after="0"/>
              <w:rPr>
                <w:sz w:val="20"/>
                <w:szCs w:val="20"/>
                <w:color w:val="auto"/>
              </w:rPr>
            </w:pPr>
            <w:r>
              <w:rPr>
                <w:rFonts w:ascii="Arial" w:cs="Arial" w:eastAsia="Arial" w:hAnsi="Arial"/>
                <w:sz w:val="16"/>
                <w:szCs w:val="16"/>
                <w:color w:val="auto"/>
              </w:rPr>
              <w:t>259</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1,726</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77"/>
        </w:trPr>
        <w:tc>
          <w:tcPr>
            <w:tcW w:w="5180" w:type="dxa"/>
            <w:vAlign w:val="bottom"/>
          </w:tcPr>
          <w:p>
            <w:pPr>
              <w:spacing w:after="0"/>
              <w:rPr>
                <w:sz w:val="20"/>
                <w:szCs w:val="20"/>
                <w:color w:val="auto"/>
              </w:rPr>
            </w:pPr>
            <w:r>
              <w:rPr>
                <w:rFonts w:ascii="Arial" w:cs="Arial" w:eastAsia="Arial" w:hAnsi="Arial"/>
                <w:sz w:val="16"/>
                <w:szCs w:val="16"/>
                <w:b w:val="1"/>
                <w:bCs w:val="1"/>
                <w:color w:val="auto"/>
              </w:rPr>
              <w:t>Bitumen production</w:t>
            </w: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0"/>
        </w:trPr>
        <w:tc>
          <w:tcPr>
            <w:tcW w:w="5180" w:type="dxa"/>
            <w:vAlign w:val="bottom"/>
          </w:tcPr>
          <w:p>
            <w:pPr>
              <w:ind w:left="240"/>
              <w:spacing w:after="0"/>
              <w:rPr>
                <w:sz w:val="20"/>
                <w:szCs w:val="20"/>
                <w:color w:val="auto"/>
              </w:rPr>
            </w:pPr>
            <w:r>
              <w:rPr>
                <w:rFonts w:ascii="Arial" w:cs="Arial" w:eastAsia="Arial" w:hAnsi="Arial"/>
                <w:sz w:val="16"/>
                <w:szCs w:val="16"/>
                <w:b w:val="1"/>
                <w:bCs w:val="1"/>
                <w:color w:val="auto"/>
              </w:rPr>
              <w:t>Consolidated Subsidiaries</w:t>
            </w: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8"/>
        </w:trPr>
        <w:tc>
          <w:tcPr>
            <w:tcW w:w="5180" w:type="dxa"/>
            <w:vAlign w:val="bottom"/>
          </w:tcPr>
          <w:p>
            <w:pPr>
              <w:ind w:left="480"/>
              <w:spacing w:after="0"/>
              <w:rPr>
                <w:sz w:val="20"/>
                <w:szCs w:val="20"/>
                <w:color w:val="auto"/>
              </w:rPr>
            </w:pPr>
            <w:r>
              <w:rPr>
                <w:rFonts w:ascii="Arial" w:cs="Arial" w:eastAsia="Arial" w:hAnsi="Arial"/>
                <w:sz w:val="16"/>
                <w:szCs w:val="16"/>
                <w:color w:val="auto"/>
              </w:rPr>
              <w:t>Canada/South America</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180</w:t>
            </w:r>
          </w:p>
        </w:tc>
        <w:tc>
          <w:tcPr>
            <w:tcW w:w="700" w:type="dxa"/>
            <w:vAlign w:val="bottom"/>
          </w:tcPr>
          <w:p>
            <w:pPr>
              <w:spacing w:after="0"/>
              <w:rPr>
                <w:sz w:val="18"/>
                <w:szCs w:val="18"/>
                <w:color w:val="auto"/>
              </w:rPr>
            </w:pPr>
          </w:p>
        </w:tc>
        <w:tc>
          <w:tcPr>
            <w:tcW w:w="1540" w:type="dxa"/>
            <w:vAlign w:val="bottom"/>
            <w:gridSpan w:val="3"/>
          </w:tcPr>
          <w:p>
            <w:pPr>
              <w:jc w:val="right"/>
              <w:ind w:right="235"/>
              <w:spacing w:after="0"/>
              <w:rPr>
                <w:sz w:val="20"/>
                <w:szCs w:val="20"/>
                <w:color w:val="auto"/>
              </w:rPr>
            </w:pPr>
            <w:r>
              <w:rPr>
                <w:rFonts w:ascii="Arial" w:cs="Arial" w:eastAsia="Arial" w:hAnsi="Arial"/>
                <w:sz w:val="16"/>
                <w:szCs w:val="16"/>
                <w:color w:val="auto"/>
              </w:rPr>
              <w:t>148</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377"/>
        </w:trPr>
        <w:tc>
          <w:tcPr>
            <w:tcW w:w="5180" w:type="dxa"/>
            <w:vAlign w:val="bottom"/>
          </w:tcPr>
          <w:p>
            <w:pPr>
              <w:spacing w:after="0"/>
              <w:rPr>
                <w:sz w:val="20"/>
                <w:szCs w:val="20"/>
                <w:color w:val="auto"/>
              </w:rPr>
            </w:pPr>
            <w:r>
              <w:rPr>
                <w:rFonts w:ascii="Arial" w:cs="Arial" w:eastAsia="Arial" w:hAnsi="Arial"/>
                <w:sz w:val="16"/>
                <w:szCs w:val="16"/>
                <w:b w:val="1"/>
                <w:bCs w:val="1"/>
                <w:color w:val="auto"/>
              </w:rPr>
              <w:t>Synthetic oil production</w:t>
            </w: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0"/>
        </w:trPr>
        <w:tc>
          <w:tcPr>
            <w:tcW w:w="5180" w:type="dxa"/>
            <w:vAlign w:val="bottom"/>
          </w:tcPr>
          <w:p>
            <w:pPr>
              <w:ind w:left="240"/>
              <w:spacing w:after="0"/>
              <w:rPr>
                <w:sz w:val="20"/>
                <w:szCs w:val="20"/>
                <w:color w:val="auto"/>
              </w:rPr>
            </w:pPr>
            <w:r>
              <w:rPr>
                <w:rFonts w:ascii="Arial" w:cs="Arial" w:eastAsia="Arial" w:hAnsi="Arial"/>
                <w:sz w:val="16"/>
                <w:szCs w:val="16"/>
                <w:b w:val="1"/>
                <w:bCs w:val="1"/>
                <w:color w:val="auto"/>
              </w:rPr>
              <w:t>Consolidated Subsidiaries</w:t>
            </w: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8"/>
        </w:trPr>
        <w:tc>
          <w:tcPr>
            <w:tcW w:w="5180" w:type="dxa"/>
            <w:vAlign w:val="bottom"/>
          </w:tcPr>
          <w:p>
            <w:pPr>
              <w:ind w:left="480"/>
              <w:spacing w:after="0"/>
              <w:rPr>
                <w:sz w:val="20"/>
                <w:szCs w:val="20"/>
                <w:color w:val="auto"/>
              </w:rPr>
            </w:pPr>
            <w:r>
              <w:rPr>
                <w:rFonts w:ascii="Arial" w:cs="Arial" w:eastAsia="Arial" w:hAnsi="Arial"/>
                <w:sz w:val="16"/>
                <w:szCs w:val="16"/>
                <w:color w:val="auto"/>
              </w:rPr>
              <w:t>Canada/South America</w:t>
            </w: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60</w:t>
            </w:r>
          </w:p>
        </w:tc>
        <w:tc>
          <w:tcPr>
            <w:tcW w:w="7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6"/>
                <w:szCs w:val="16"/>
                <w:color w:val="auto"/>
              </w:rPr>
              <w:t>65</w:t>
            </w: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385"/>
        </w:trPr>
        <w:tc>
          <w:tcPr>
            <w:tcW w:w="5180" w:type="dxa"/>
            <w:vAlign w:val="bottom"/>
          </w:tcPr>
          <w:p>
            <w:pPr>
              <w:spacing w:after="0"/>
              <w:rPr>
                <w:sz w:val="20"/>
                <w:szCs w:val="20"/>
                <w:color w:val="auto"/>
              </w:rPr>
            </w:pPr>
            <w:r>
              <w:rPr>
                <w:rFonts w:ascii="Arial" w:cs="Arial" w:eastAsia="Arial" w:hAnsi="Arial"/>
                <w:sz w:val="16"/>
                <w:szCs w:val="16"/>
                <w:b w:val="1"/>
                <w:bCs w:val="1"/>
                <w:color w:val="auto"/>
              </w:rPr>
              <w:t>Total liquids production</w:t>
            </w: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2,111</w:t>
            </w:r>
          </w:p>
        </w:tc>
        <w:tc>
          <w:tcPr>
            <w:tcW w:w="7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6"/>
                <w:szCs w:val="16"/>
                <w:color w:val="auto"/>
              </w:rPr>
              <w:t>2,202</w:t>
            </w: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2,185</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62"/>
        </w:trPr>
        <w:tc>
          <w:tcPr>
            <w:tcW w:w="5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gridSpan w:val="3"/>
          </w:tcPr>
          <w:p>
            <w:pPr>
              <w:jc w:val="center"/>
              <w:spacing w:after="0"/>
              <w:rPr>
                <w:sz w:val="20"/>
                <w:szCs w:val="20"/>
                <w:color w:val="auto"/>
              </w:rPr>
            </w:pPr>
            <w:r>
              <w:rPr>
                <w:rFonts w:ascii="Arial" w:cs="Arial" w:eastAsia="Arial" w:hAnsi="Arial"/>
                <w:sz w:val="13"/>
                <w:szCs w:val="13"/>
                <w:i w:val="1"/>
                <w:iCs w:val="1"/>
                <w:color w:val="auto"/>
                <w:w w:val="94"/>
              </w:rPr>
              <w:t>(millions of cubic feet daily)</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3"/>
        </w:trPr>
        <w:tc>
          <w:tcPr>
            <w:tcW w:w="5180" w:type="dxa"/>
            <w:vAlign w:val="bottom"/>
          </w:tcPr>
          <w:p>
            <w:pPr>
              <w:spacing w:after="0"/>
              <w:rPr>
                <w:sz w:val="20"/>
                <w:szCs w:val="20"/>
                <w:color w:val="auto"/>
              </w:rPr>
            </w:pPr>
            <w:r>
              <w:rPr>
                <w:rFonts w:ascii="Arial" w:cs="Arial" w:eastAsia="Arial" w:hAnsi="Arial"/>
                <w:sz w:val="16"/>
                <w:szCs w:val="16"/>
                <w:b w:val="1"/>
                <w:bCs w:val="1"/>
                <w:color w:val="auto"/>
              </w:rPr>
              <w:t>Natural gas production available for sale</w:t>
            </w: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0"/>
        </w:trPr>
        <w:tc>
          <w:tcPr>
            <w:tcW w:w="5180" w:type="dxa"/>
            <w:vAlign w:val="bottom"/>
          </w:tcPr>
          <w:p>
            <w:pPr>
              <w:ind w:left="240"/>
              <w:spacing w:after="0"/>
              <w:rPr>
                <w:sz w:val="20"/>
                <w:szCs w:val="20"/>
                <w:color w:val="auto"/>
              </w:rPr>
            </w:pPr>
            <w:r>
              <w:rPr>
                <w:rFonts w:ascii="Arial" w:cs="Arial" w:eastAsia="Arial" w:hAnsi="Arial"/>
                <w:sz w:val="16"/>
                <w:szCs w:val="16"/>
                <w:b w:val="1"/>
                <w:bCs w:val="1"/>
                <w:color w:val="auto"/>
              </w:rPr>
              <w:t>Consolidated Subsidiaries</w:t>
            </w: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5180" w:type="dxa"/>
            <w:vAlign w:val="bottom"/>
          </w:tcPr>
          <w:p>
            <w:pPr>
              <w:ind w:left="480"/>
              <w:spacing w:after="0"/>
              <w:rPr>
                <w:sz w:val="20"/>
                <w:szCs w:val="20"/>
                <w:color w:val="auto"/>
              </w:rPr>
            </w:pPr>
            <w:r>
              <w:rPr>
                <w:rFonts w:ascii="Arial" w:cs="Arial" w:eastAsia="Arial" w:hAnsi="Arial"/>
                <w:sz w:val="16"/>
                <w:szCs w:val="16"/>
                <w:color w:val="auto"/>
              </w:rPr>
              <w:t>United States</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3,374</w:t>
            </w:r>
          </w:p>
        </w:tc>
        <w:tc>
          <w:tcPr>
            <w:tcW w:w="700" w:type="dxa"/>
            <w:vAlign w:val="bottom"/>
          </w:tcPr>
          <w:p>
            <w:pPr>
              <w:spacing w:after="0"/>
              <w:rPr>
                <w:sz w:val="17"/>
                <w:szCs w:val="17"/>
                <w:color w:val="auto"/>
              </w:rPr>
            </w:pPr>
          </w:p>
        </w:tc>
        <w:tc>
          <w:tcPr>
            <w:tcW w:w="1540" w:type="dxa"/>
            <w:vAlign w:val="bottom"/>
            <w:gridSpan w:val="3"/>
          </w:tcPr>
          <w:p>
            <w:pPr>
              <w:jc w:val="right"/>
              <w:ind w:right="235"/>
              <w:spacing w:after="0"/>
              <w:rPr>
                <w:sz w:val="20"/>
                <w:szCs w:val="20"/>
                <w:color w:val="auto"/>
              </w:rPr>
            </w:pPr>
            <w:r>
              <w:rPr>
                <w:rFonts w:ascii="Arial" w:cs="Arial" w:eastAsia="Arial" w:hAnsi="Arial"/>
                <w:sz w:val="16"/>
                <w:szCs w:val="16"/>
                <w:color w:val="auto"/>
              </w:rPr>
              <w:t>3,530</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3,819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5180" w:type="dxa"/>
            <w:vAlign w:val="bottom"/>
          </w:tcPr>
          <w:p>
            <w:pPr>
              <w:ind w:left="480"/>
              <w:spacing w:after="0"/>
              <w:rPr>
                <w:sz w:val="20"/>
                <w:szCs w:val="20"/>
                <w:color w:val="auto"/>
              </w:rPr>
            </w:pPr>
            <w:r>
              <w:rPr>
                <w:rFonts w:ascii="Arial" w:cs="Arial" w:eastAsia="Arial" w:hAnsi="Arial"/>
                <w:sz w:val="16"/>
                <w:szCs w:val="16"/>
                <w:color w:val="auto"/>
              </w:rPr>
              <w:t xml:space="preserve">Canada/South America </w:t>
            </w:r>
            <w:r>
              <w:rPr>
                <w:rFonts w:ascii="Arial" w:cs="Arial" w:eastAsia="Arial" w:hAnsi="Arial"/>
                <w:sz w:val="13"/>
                <w:szCs w:val="13"/>
                <w:i w:val="1"/>
                <w:iCs w:val="1"/>
                <w:color w:val="auto"/>
              </w:rPr>
              <w:t>(1)</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310</w:t>
            </w:r>
          </w:p>
        </w:tc>
        <w:tc>
          <w:tcPr>
            <w:tcW w:w="700" w:type="dxa"/>
            <w:vAlign w:val="bottom"/>
          </w:tcPr>
          <w:p>
            <w:pPr>
              <w:spacing w:after="0"/>
              <w:rPr>
                <w:sz w:val="17"/>
                <w:szCs w:val="17"/>
                <w:color w:val="auto"/>
              </w:rPr>
            </w:pPr>
          </w:p>
        </w:tc>
        <w:tc>
          <w:tcPr>
            <w:tcW w:w="1540" w:type="dxa"/>
            <w:vAlign w:val="bottom"/>
            <w:gridSpan w:val="3"/>
          </w:tcPr>
          <w:p>
            <w:pPr>
              <w:jc w:val="right"/>
              <w:ind w:right="235"/>
              <w:spacing w:after="0"/>
              <w:rPr>
                <w:sz w:val="20"/>
                <w:szCs w:val="20"/>
                <w:color w:val="auto"/>
              </w:rPr>
            </w:pPr>
            <w:r>
              <w:rPr>
                <w:rFonts w:ascii="Arial" w:cs="Arial" w:eastAsia="Arial" w:hAnsi="Arial"/>
                <w:sz w:val="16"/>
                <w:szCs w:val="16"/>
                <w:color w:val="auto"/>
              </w:rPr>
              <w:t>354</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5180" w:type="dxa"/>
            <w:vAlign w:val="bottom"/>
          </w:tcPr>
          <w:p>
            <w:pPr>
              <w:ind w:left="480"/>
              <w:spacing w:after="0"/>
              <w:rPr>
                <w:sz w:val="20"/>
                <w:szCs w:val="20"/>
                <w:color w:val="auto"/>
              </w:rPr>
            </w:pPr>
            <w:r>
              <w:rPr>
                <w:rFonts w:ascii="Arial" w:cs="Arial" w:eastAsia="Arial" w:hAnsi="Arial"/>
                <w:sz w:val="16"/>
                <w:szCs w:val="16"/>
                <w:color w:val="auto"/>
              </w:rPr>
              <w:t>Europe</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1,226</w:t>
            </w:r>
          </w:p>
        </w:tc>
        <w:tc>
          <w:tcPr>
            <w:tcW w:w="700" w:type="dxa"/>
            <w:vAlign w:val="bottom"/>
          </w:tcPr>
          <w:p>
            <w:pPr>
              <w:spacing w:after="0"/>
              <w:rPr>
                <w:sz w:val="17"/>
                <w:szCs w:val="17"/>
                <w:color w:val="auto"/>
              </w:rPr>
            </w:pPr>
          </w:p>
        </w:tc>
        <w:tc>
          <w:tcPr>
            <w:tcW w:w="1540" w:type="dxa"/>
            <w:vAlign w:val="bottom"/>
            <w:gridSpan w:val="3"/>
          </w:tcPr>
          <w:p>
            <w:pPr>
              <w:jc w:val="right"/>
              <w:ind w:right="235"/>
              <w:spacing w:after="0"/>
              <w:rPr>
                <w:sz w:val="20"/>
                <w:szCs w:val="20"/>
                <w:color w:val="auto"/>
              </w:rPr>
            </w:pPr>
            <w:r>
              <w:rPr>
                <w:rFonts w:ascii="Arial" w:cs="Arial" w:eastAsia="Arial" w:hAnsi="Arial"/>
                <w:sz w:val="16"/>
                <w:szCs w:val="16"/>
                <w:color w:val="auto"/>
              </w:rPr>
              <w:t>1,294</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1,446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5180" w:type="dxa"/>
            <w:vAlign w:val="bottom"/>
          </w:tcPr>
          <w:p>
            <w:pPr>
              <w:ind w:left="480"/>
              <w:spacing w:after="0"/>
              <w:rPr>
                <w:sz w:val="20"/>
                <w:szCs w:val="20"/>
                <w:color w:val="auto"/>
              </w:rPr>
            </w:pPr>
            <w:r>
              <w:rPr>
                <w:rFonts w:ascii="Arial" w:cs="Arial" w:eastAsia="Arial" w:hAnsi="Arial"/>
                <w:sz w:val="16"/>
                <w:szCs w:val="16"/>
                <w:color w:val="auto"/>
              </w:rPr>
              <w:t>Africa</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4</w:t>
            </w:r>
          </w:p>
        </w:tc>
        <w:tc>
          <w:tcPr>
            <w:tcW w:w="700" w:type="dxa"/>
            <w:vAlign w:val="bottom"/>
          </w:tcPr>
          <w:p>
            <w:pPr>
              <w:spacing w:after="0"/>
              <w:rPr>
                <w:sz w:val="17"/>
                <w:szCs w:val="17"/>
                <w:color w:val="auto"/>
              </w:rPr>
            </w:pPr>
          </w:p>
        </w:tc>
        <w:tc>
          <w:tcPr>
            <w:tcW w:w="1540" w:type="dxa"/>
            <w:vAlign w:val="bottom"/>
            <w:gridSpan w:val="3"/>
          </w:tcPr>
          <w:p>
            <w:pPr>
              <w:jc w:val="right"/>
              <w:ind w:right="235"/>
              <w:spacing w:after="0"/>
              <w:rPr>
                <w:sz w:val="20"/>
                <w:szCs w:val="20"/>
                <w:color w:val="auto"/>
              </w:rPr>
            </w:pPr>
            <w:r>
              <w:rPr>
                <w:rFonts w:ascii="Arial" w:cs="Arial" w:eastAsia="Arial" w:hAnsi="Arial"/>
                <w:sz w:val="16"/>
                <w:szCs w:val="16"/>
                <w:color w:val="auto"/>
              </w:rPr>
              <w:t>6</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5180" w:type="dxa"/>
            <w:vAlign w:val="bottom"/>
          </w:tcPr>
          <w:p>
            <w:pPr>
              <w:ind w:left="480"/>
              <w:spacing w:after="0"/>
              <w:rPr>
                <w:sz w:val="20"/>
                <w:szCs w:val="20"/>
                <w:color w:val="auto"/>
              </w:rPr>
            </w:pPr>
            <w:r>
              <w:rPr>
                <w:rFonts w:ascii="Arial" w:cs="Arial" w:eastAsia="Arial" w:hAnsi="Arial"/>
                <w:sz w:val="16"/>
                <w:szCs w:val="16"/>
                <w:color w:val="auto"/>
              </w:rPr>
              <w:t>Asia</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1,067</w:t>
            </w:r>
          </w:p>
        </w:tc>
        <w:tc>
          <w:tcPr>
            <w:tcW w:w="700" w:type="dxa"/>
            <w:vAlign w:val="bottom"/>
          </w:tcPr>
          <w:p>
            <w:pPr>
              <w:spacing w:after="0"/>
              <w:rPr>
                <w:sz w:val="17"/>
                <w:szCs w:val="17"/>
                <w:color w:val="auto"/>
              </w:rPr>
            </w:pPr>
          </w:p>
        </w:tc>
        <w:tc>
          <w:tcPr>
            <w:tcW w:w="1540" w:type="dxa"/>
            <w:vAlign w:val="bottom"/>
            <w:gridSpan w:val="3"/>
          </w:tcPr>
          <w:p>
            <w:pPr>
              <w:jc w:val="right"/>
              <w:ind w:right="235"/>
              <w:spacing w:after="0"/>
              <w:rPr>
                <w:sz w:val="20"/>
                <w:szCs w:val="20"/>
                <w:color w:val="auto"/>
              </w:rPr>
            </w:pPr>
            <w:r>
              <w:rPr>
                <w:rFonts w:ascii="Arial" w:cs="Arial" w:eastAsia="Arial" w:hAnsi="Arial"/>
                <w:sz w:val="16"/>
                <w:szCs w:val="16"/>
                <w:color w:val="auto"/>
              </w:rPr>
              <w:t>1,180</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1,445</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8"/>
        </w:trPr>
        <w:tc>
          <w:tcPr>
            <w:tcW w:w="5180" w:type="dxa"/>
            <w:vAlign w:val="bottom"/>
          </w:tcPr>
          <w:p>
            <w:pPr>
              <w:ind w:left="480"/>
              <w:spacing w:after="0"/>
              <w:rPr>
                <w:sz w:val="20"/>
                <w:szCs w:val="20"/>
                <w:color w:val="auto"/>
              </w:rPr>
            </w:pPr>
            <w:r>
              <w:rPr>
                <w:rFonts w:ascii="Arial" w:cs="Arial" w:eastAsia="Arial" w:hAnsi="Arial"/>
                <w:sz w:val="16"/>
                <w:szCs w:val="16"/>
                <w:color w:val="auto"/>
              </w:rPr>
              <w:t>Australia/Oceania</w:t>
            </w: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512</w:t>
            </w:r>
          </w:p>
        </w:tc>
        <w:tc>
          <w:tcPr>
            <w:tcW w:w="7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6"/>
                <w:szCs w:val="16"/>
                <w:color w:val="auto"/>
              </w:rPr>
              <w:t>351</w:t>
            </w: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1"/>
        </w:trPr>
        <w:tc>
          <w:tcPr>
            <w:tcW w:w="5180" w:type="dxa"/>
            <w:vAlign w:val="bottom"/>
          </w:tcPr>
          <w:p>
            <w:pPr>
              <w:ind w:left="700"/>
              <w:spacing w:after="0"/>
              <w:rPr>
                <w:sz w:val="20"/>
                <w:szCs w:val="20"/>
                <w:color w:val="auto"/>
              </w:rPr>
            </w:pPr>
            <w:r>
              <w:rPr>
                <w:rFonts w:ascii="Arial" w:cs="Arial" w:eastAsia="Arial" w:hAnsi="Arial"/>
                <w:sz w:val="16"/>
                <w:szCs w:val="16"/>
                <w:color w:val="auto"/>
              </w:rPr>
              <w:t>Total Consolidated Subsidiaries</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6,493</w:t>
            </w:r>
          </w:p>
        </w:tc>
        <w:tc>
          <w:tcPr>
            <w:tcW w:w="700" w:type="dxa"/>
            <w:vAlign w:val="bottom"/>
          </w:tcPr>
          <w:p>
            <w:pPr>
              <w:spacing w:after="0"/>
              <w:rPr>
                <w:sz w:val="17"/>
                <w:szCs w:val="17"/>
                <w:color w:val="auto"/>
              </w:rPr>
            </w:pPr>
          </w:p>
        </w:tc>
        <w:tc>
          <w:tcPr>
            <w:tcW w:w="1540" w:type="dxa"/>
            <w:vAlign w:val="bottom"/>
            <w:gridSpan w:val="3"/>
          </w:tcPr>
          <w:p>
            <w:pPr>
              <w:jc w:val="right"/>
              <w:ind w:right="235"/>
              <w:spacing w:after="0"/>
              <w:rPr>
                <w:sz w:val="20"/>
                <w:szCs w:val="20"/>
                <w:color w:val="auto"/>
              </w:rPr>
            </w:pPr>
            <w:r>
              <w:rPr>
                <w:rFonts w:ascii="Arial" w:cs="Arial" w:eastAsia="Arial" w:hAnsi="Arial"/>
                <w:sz w:val="16"/>
                <w:szCs w:val="16"/>
                <w:color w:val="auto"/>
              </w:rPr>
              <w:t>6,715</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7,452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68"/>
        </w:trPr>
        <w:tc>
          <w:tcPr>
            <w:tcW w:w="5180" w:type="dxa"/>
            <w:vAlign w:val="bottom"/>
          </w:tcPr>
          <w:p>
            <w:pPr>
              <w:ind w:left="240"/>
              <w:spacing w:after="0"/>
              <w:rPr>
                <w:sz w:val="20"/>
                <w:szCs w:val="20"/>
                <w:color w:val="auto"/>
              </w:rPr>
            </w:pPr>
            <w:r>
              <w:rPr>
                <w:rFonts w:ascii="Arial" w:cs="Arial" w:eastAsia="Arial" w:hAnsi="Arial"/>
                <w:sz w:val="16"/>
                <w:szCs w:val="16"/>
                <w:b w:val="1"/>
                <w:bCs w:val="1"/>
                <w:color w:val="auto"/>
              </w:rPr>
              <w:t>Equity Companies</w:t>
            </w: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6"/>
        </w:trPr>
        <w:tc>
          <w:tcPr>
            <w:tcW w:w="5180" w:type="dxa"/>
            <w:vAlign w:val="bottom"/>
          </w:tcPr>
          <w:p>
            <w:pPr>
              <w:ind w:left="480"/>
              <w:spacing w:after="0"/>
              <w:rPr>
                <w:sz w:val="20"/>
                <w:szCs w:val="20"/>
                <w:color w:val="auto"/>
              </w:rPr>
            </w:pPr>
            <w:r>
              <w:rPr>
                <w:rFonts w:ascii="Arial" w:cs="Arial" w:eastAsia="Arial" w:hAnsi="Arial"/>
                <w:sz w:val="16"/>
                <w:szCs w:val="16"/>
                <w:color w:val="auto"/>
              </w:rPr>
              <w:t>United States</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30</w:t>
            </w:r>
          </w:p>
        </w:tc>
        <w:tc>
          <w:tcPr>
            <w:tcW w:w="700" w:type="dxa"/>
            <w:vAlign w:val="bottom"/>
          </w:tcPr>
          <w:p>
            <w:pPr>
              <w:spacing w:after="0"/>
              <w:rPr>
                <w:sz w:val="17"/>
                <w:szCs w:val="17"/>
                <w:color w:val="auto"/>
              </w:rPr>
            </w:pPr>
          </w:p>
        </w:tc>
        <w:tc>
          <w:tcPr>
            <w:tcW w:w="1540" w:type="dxa"/>
            <w:vAlign w:val="bottom"/>
            <w:gridSpan w:val="3"/>
          </w:tcPr>
          <w:p>
            <w:pPr>
              <w:jc w:val="right"/>
              <w:ind w:right="235"/>
              <w:spacing w:after="0"/>
              <w:rPr>
                <w:sz w:val="20"/>
                <w:szCs w:val="20"/>
                <w:color w:val="auto"/>
              </w:rPr>
            </w:pPr>
            <w:r>
              <w:rPr>
                <w:rFonts w:ascii="Arial" w:cs="Arial" w:eastAsia="Arial" w:hAnsi="Arial"/>
                <w:sz w:val="16"/>
                <w:szCs w:val="16"/>
                <w:color w:val="auto"/>
              </w:rPr>
              <w:t>15</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5180" w:type="dxa"/>
            <w:vAlign w:val="bottom"/>
          </w:tcPr>
          <w:p>
            <w:pPr>
              <w:ind w:left="480"/>
              <w:spacing w:after="0"/>
              <w:rPr>
                <w:sz w:val="20"/>
                <w:szCs w:val="20"/>
                <w:color w:val="auto"/>
              </w:rPr>
            </w:pPr>
            <w:r>
              <w:rPr>
                <w:rFonts w:ascii="Arial" w:cs="Arial" w:eastAsia="Arial" w:hAnsi="Arial"/>
                <w:sz w:val="16"/>
                <w:szCs w:val="16"/>
                <w:color w:val="auto"/>
              </w:rPr>
              <w:t>Europe</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1,590</w:t>
            </w:r>
          </w:p>
        </w:tc>
        <w:tc>
          <w:tcPr>
            <w:tcW w:w="700" w:type="dxa"/>
            <w:vAlign w:val="bottom"/>
          </w:tcPr>
          <w:p>
            <w:pPr>
              <w:spacing w:after="0"/>
              <w:rPr>
                <w:sz w:val="17"/>
                <w:szCs w:val="17"/>
                <w:color w:val="auto"/>
              </w:rPr>
            </w:pPr>
          </w:p>
        </w:tc>
        <w:tc>
          <w:tcPr>
            <w:tcW w:w="1540" w:type="dxa"/>
            <w:vAlign w:val="bottom"/>
            <w:gridSpan w:val="3"/>
          </w:tcPr>
          <w:p>
            <w:pPr>
              <w:jc w:val="right"/>
              <w:ind w:right="235"/>
              <w:spacing w:after="0"/>
              <w:rPr>
                <w:sz w:val="20"/>
                <w:szCs w:val="20"/>
                <w:color w:val="auto"/>
              </w:rPr>
            </w:pPr>
            <w:r>
              <w:rPr>
                <w:rFonts w:ascii="Arial" w:cs="Arial" w:eastAsia="Arial" w:hAnsi="Arial"/>
                <w:sz w:val="16"/>
                <w:szCs w:val="16"/>
                <w:color w:val="auto"/>
              </w:rPr>
              <w:t>1,957</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1,774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8"/>
        </w:trPr>
        <w:tc>
          <w:tcPr>
            <w:tcW w:w="5180" w:type="dxa"/>
            <w:vAlign w:val="bottom"/>
          </w:tcPr>
          <w:p>
            <w:pPr>
              <w:ind w:left="480"/>
              <w:spacing w:after="0"/>
              <w:rPr>
                <w:sz w:val="20"/>
                <w:szCs w:val="20"/>
                <w:color w:val="auto"/>
              </w:rPr>
            </w:pPr>
            <w:r>
              <w:rPr>
                <w:rFonts w:ascii="Arial" w:cs="Arial" w:eastAsia="Arial" w:hAnsi="Arial"/>
                <w:sz w:val="16"/>
                <w:szCs w:val="16"/>
                <w:color w:val="auto"/>
              </w:rPr>
              <w:t>Asia</w:t>
            </w: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3,032</w:t>
            </w:r>
          </w:p>
        </w:tc>
        <w:tc>
          <w:tcPr>
            <w:tcW w:w="7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6"/>
                <w:szCs w:val="16"/>
                <w:color w:val="auto"/>
              </w:rPr>
              <w:t>3,149</w:t>
            </w: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89"/>
        </w:trPr>
        <w:tc>
          <w:tcPr>
            <w:tcW w:w="5180" w:type="dxa"/>
            <w:vAlign w:val="bottom"/>
          </w:tcPr>
          <w:p>
            <w:pPr>
              <w:ind w:left="700"/>
              <w:spacing w:after="0"/>
              <w:rPr>
                <w:sz w:val="20"/>
                <w:szCs w:val="20"/>
                <w:color w:val="auto"/>
              </w:rPr>
            </w:pPr>
            <w:r>
              <w:rPr>
                <w:rFonts w:ascii="Arial" w:cs="Arial" w:eastAsia="Arial" w:hAnsi="Arial"/>
                <w:sz w:val="16"/>
                <w:szCs w:val="16"/>
                <w:color w:val="auto"/>
              </w:rPr>
              <w:t>Total Equity Companies</w:t>
            </w: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4,652</w:t>
            </w:r>
          </w:p>
        </w:tc>
        <w:tc>
          <w:tcPr>
            <w:tcW w:w="7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6"/>
                <w:szCs w:val="16"/>
                <w:color w:val="auto"/>
              </w:rPr>
              <w:t>5,121</w:t>
            </w: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4,870</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8"/>
        </w:trPr>
        <w:tc>
          <w:tcPr>
            <w:tcW w:w="5180" w:type="dxa"/>
            <w:vAlign w:val="bottom"/>
          </w:tcPr>
          <w:p>
            <w:pPr>
              <w:spacing w:after="0"/>
              <w:rPr>
                <w:sz w:val="20"/>
                <w:szCs w:val="20"/>
                <w:color w:val="auto"/>
              </w:rPr>
            </w:pPr>
            <w:r>
              <w:rPr>
                <w:rFonts w:ascii="Arial" w:cs="Arial" w:eastAsia="Arial" w:hAnsi="Arial"/>
                <w:sz w:val="16"/>
                <w:szCs w:val="16"/>
                <w:b w:val="1"/>
                <w:bCs w:val="1"/>
                <w:color w:val="auto"/>
              </w:rPr>
              <w:t>Total natural gas production available for sale</w:t>
            </w: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11,145</w:t>
            </w:r>
          </w:p>
        </w:tc>
        <w:tc>
          <w:tcPr>
            <w:tcW w:w="7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6"/>
                <w:szCs w:val="16"/>
                <w:color w:val="auto"/>
              </w:rPr>
              <w:t>11,836</w:t>
            </w: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12,322</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361"/>
        </w:trPr>
        <w:tc>
          <w:tcPr>
            <w:tcW w:w="5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120" w:type="dxa"/>
            <w:vAlign w:val="bottom"/>
            <w:gridSpan w:val="6"/>
          </w:tcPr>
          <w:p>
            <w:pPr>
              <w:jc w:val="center"/>
              <w:ind w:right="200"/>
              <w:spacing w:after="0"/>
              <w:rPr>
                <w:sz w:val="20"/>
                <w:szCs w:val="20"/>
                <w:color w:val="auto"/>
              </w:rPr>
            </w:pPr>
            <w:r>
              <w:rPr>
                <w:rFonts w:ascii="Arial" w:cs="Arial" w:eastAsia="Arial" w:hAnsi="Arial"/>
                <w:sz w:val="13"/>
                <w:szCs w:val="13"/>
                <w:i w:val="1"/>
                <w:iCs w:val="1"/>
                <w:color w:val="auto"/>
                <w:w w:val="92"/>
              </w:rPr>
              <w:t>(thousands of oil-equivalent barrels daily)</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9"/>
        </w:trPr>
        <w:tc>
          <w:tcPr>
            <w:tcW w:w="5180" w:type="dxa"/>
            <w:vAlign w:val="bottom"/>
          </w:tcPr>
          <w:p>
            <w:pPr>
              <w:spacing w:after="0"/>
              <w:rPr>
                <w:sz w:val="20"/>
                <w:szCs w:val="20"/>
                <w:color w:val="auto"/>
              </w:rPr>
            </w:pPr>
            <w:r>
              <w:rPr>
                <w:rFonts w:ascii="Arial" w:cs="Arial" w:eastAsia="Arial" w:hAnsi="Arial"/>
                <w:sz w:val="16"/>
                <w:szCs w:val="16"/>
                <w:b w:val="1"/>
                <w:bCs w:val="1"/>
                <w:color w:val="auto"/>
              </w:rPr>
              <w:t>Oil-equivalent production</w:t>
            </w: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3,969</w:t>
            </w:r>
          </w:p>
        </w:tc>
        <w:tc>
          <w:tcPr>
            <w:tcW w:w="7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6"/>
                <w:szCs w:val="16"/>
                <w:color w:val="auto"/>
              </w:rPr>
              <w:t>4,175</w:t>
            </w: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r>
    </w:tbl>
    <w:p>
      <w:pPr>
        <w:spacing w:after="0" w:line="86" w:lineRule="exact"/>
        <w:rPr>
          <w:sz w:val="20"/>
          <w:szCs w:val="20"/>
          <w:color w:val="auto"/>
        </w:rPr>
      </w:pPr>
    </w:p>
    <w:p>
      <w:pPr>
        <w:ind w:left="300" w:right="60" w:hanging="294"/>
        <w:spacing w:after="0" w:line="271" w:lineRule="auto"/>
        <w:tabs>
          <w:tab w:leader="none" w:pos="338"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South America includes liquids production for 2012 of one thousand barrels daily and natural gas production available for sale for 2014, 2013 and 2012 of 21 28 million, and 38 million cubic feet daily, respectively.</w:t>
      </w:r>
    </w:p>
    <w:p>
      <w:pPr>
        <w:spacing w:after="0" w:line="1"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650" w:right="1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 Production Prices and Production Costs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average production prices and average production costs by geographic area and by product type for the last three years.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00" w:type="dxa"/>
            <w:vAlign w:val="bottom"/>
          </w:tcPr>
          <w:p>
            <w:pPr>
              <w:spacing w:after="0"/>
              <w:rPr>
                <w:sz w:val="14"/>
                <w:szCs w:val="14"/>
                <w:color w:val="auto"/>
              </w:rPr>
            </w:pPr>
          </w:p>
        </w:tc>
        <w:tc>
          <w:tcPr>
            <w:tcW w:w="1480" w:type="dxa"/>
            <w:vAlign w:val="bottom"/>
          </w:tcPr>
          <w:p>
            <w:pPr>
              <w:jc w:val="right"/>
              <w:ind w:right="271"/>
              <w:spacing w:after="0"/>
              <w:rPr>
                <w:sz w:val="20"/>
                <w:szCs w:val="20"/>
                <w:color w:val="auto"/>
              </w:rPr>
            </w:pPr>
            <w:r>
              <w:rPr>
                <w:rFonts w:ascii="Arial" w:cs="Arial" w:eastAsia="Arial" w:hAnsi="Arial"/>
                <w:sz w:val="14"/>
                <w:szCs w:val="14"/>
                <w:b w:val="1"/>
                <w:bCs w:val="1"/>
                <w:color w:val="auto"/>
              </w:rPr>
              <w:t>United</w:t>
            </w:r>
          </w:p>
        </w:tc>
        <w:tc>
          <w:tcPr>
            <w:tcW w:w="1060" w:type="dxa"/>
            <w:vAlign w:val="bottom"/>
          </w:tcPr>
          <w:p>
            <w:pPr>
              <w:jc w:val="right"/>
              <w:ind w:right="291"/>
              <w:spacing w:after="0"/>
              <w:rPr>
                <w:sz w:val="20"/>
                <w:szCs w:val="20"/>
                <w:color w:val="auto"/>
              </w:rPr>
            </w:pPr>
            <w:r>
              <w:rPr>
                <w:rFonts w:ascii="Arial" w:cs="Arial" w:eastAsia="Arial" w:hAnsi="Arial"/>
                <w:sz w:val="14"/>
                <w:szCs w:val="14"/>
                <w:b w:val="1"/>
                <w:bCs w:val="1"/>
                <w:color w:val="auto"/>
              </w:rPr>
              <w:t>Canada/</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jc w:val="right"/>
              <w:ind w:right="171"/>
              <w:spacing w:after="0"/>
              <w:rPr>
                <w:sz w:val="20"/>
                <w:szCs w:val="20"/>
                <w:color w:val="auto"/>
              </w:rPr>
            </w:pPr>
            <w:r>
              <w:rPr>
                <w:rFonts w:ascii="Arial" w:cs="Arial" w:eastAsia="Arial" w:hAnsi="Arial"/>
                <w:sz w:val="14"/>
                <w:szCs w:val="14"/>
                <w:b w:val="1"/>
                <w:bCs w:val="1"/>
                <w:color w:val="auto"/>
              </w:rPr>
              <w:t>Australia/</w:t>
            </w:r>
          </w:p>
        </w:tc>
        <w:tc>
          <w:tcPr>
            <w:tcW w:w="260" w:type="dxa"/>
            <w:vAlign w:val="bottom"/>
          </w:tcPr>
          <w:p>
            <w:pPr>
              <w:spacing w:after="0"/>
              <w:rPr>
                <w:sz w:val="14"/>
                <w:szCs w:val="14"/>
                <w:color w:val="auto"/>
              </w:rPr>
            </w:pPr>
          </w:p>
        </w:tc>
      </w:tr>
      <w:tr>
        <w:trPr>
          <w:trHeight w:val="176"/>
        </w:trPr>
        <w:tc>
          <w:tcPr>
            <w:tcW w:w="44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States</w:t>
            </w:r>
          </w:p>
        </w:tc>
        <w:tc>
          <w:tcPr>
            <w:tcW w:w="10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S. America</w:t>
            </w: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Europe</w:t>
            </w: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Africa</w:t>
            </w: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Asia</w:t>
            </w: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Oceania</w:t>
            </w:r>
          </w:p>
        </w:tc>
        <w:tc>
          <w:tcPr>
            <w:tcW w:w="260" w:type="dxa"/>
            <w:vAlign w:val="bottom"/>
            <w:tcBorders>
              <w:bottom w:val="single" w:sz="8" w:color="auto"/>
            </w:tcBorders>
          </w:tcPr>
          <w:p>
            <w:pPr>
              <w:ind w:left="200"/>
              <w:spacing w:after="0"/>
              <w:rPr>
                <w:sz w:val="20"/>
                <w:szCs w:val="20"/>
                <w:color w:val="auto"/>
              </w:rPr>
            </w:pPr>
            <w:r>
              <w:rPr>
                <w:rFonts w:ascii="Arial" w:cs="Arial" w:eastAsia="Arial" w:hAnsi="Arial"/>
                <w:sz w:val="9"/>
                <w:szCs w:val="9"/>
                <w:b w:val="1"/>
                <w:bCs w:val="1"/>
                <w:color w:val="auto"/>
                <w:w w:val="71"/>
              </w:rPr>
              <w:t>T</w:t>
            </w:r>
          </w:p>
        </w:tc>
      </w:tr>
      <w:tr>
        <w:trPr>
          <w:trHeight w:val="147"/>
        </w:trPr>
        <w:tc>
          <w:tcPr>
            <w:tcW w:w="4400" w:type="dxa"/>
            <w:vAlign w:val="bottom"/>
          </w:tcPr>
          <w:p>
            <w:pPr>
              <w:spacing w:after="0" w:line="147" w:lineRule="exact"/>
              <w:rPr>
                <w:sz w:val="20"/>
                <w:szCs w:val="20"/>
                <w:color w:val="auto"/>
              </w:rPr>
            </w:pPr>
            <w:r>
              <w:rPr>
                <w:rFonts w:ascii="Arial" w:cs="Arial" w:eastAsia="Arial" w:hAnsi="Arial"/>
                <w:sz w:val="14"/>
                <w:szCs w:val="14"/>
                <w:b w:val="1"/>
                <w:bCs w:val="1"/>
                <w:color w:val="auto"/>
              </w:rPr>
              <w:t>During 2014</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40" w:type="dxa"/>
            <w:vAlign w:val="bottom"/>
            <w:gridSpan w:val="2"/>
          </w:tcPr>
          <w:p>
            <w:pPr>
              <w:jc w:val="right"/>
              <w:ind w:right="151"/>
              <w:spacing w:after="0" w:line="147" w:lineRule="exact"/>
              <w:rPr>
                <w:sz w:val="20"/>
                <w:szCs w:val="20"/>
                <w:color w:val="auto"/>
              </w:rPr>
            </w:pPr>
            <w:r>
              <w:rPr>
                <w:rFonts w:ascii="Arial" w:cs="Arial" w:eastAsia="Arial" w:hAnsi="Arial"/>
                <w:sz w:val="14"/>
                <w:szCs w:val="14"/>
                <w:i w:val="1"/>
                <w:iCs w:val="1"/>
                <w:color w:val="auto"/>
              </w:rPr>
              <w:t>(dollars per unit)</w:t>
            </w: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4"/>
                <w:szCs w:val="14"/>
                <w:b w:val="1"/>
                <w:bCs w:val="1"/>
                <w:color w:val="auto"/>
              </w:rPr>
              <w:t>Consolidated Subsidiaries</w:t>
            </w:r>
          </w:p>
        </w:tc>
        <w:tc>
          <w:tcPr>
            <w:tcW w:w="1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2"/>
        </w:trPr>
        <w:tc>
          <w:tcPr>
            <w:tcW w:w="4400" w:type="dxa"/>
            <w:vAlign w:val="bottom"/>
          </w:tcPr>
          <w:p>
            <w:pPr>
              <w:ind w:left="480"/>
              <w:spacing w:after="0"/>
              <w:rPr>
                <w:sz w:val="20"/>
                <w:szCs w:val="20"/>
                <w:color w:val="auto"/>
              </w:rPr>
            </w:pPr>
            <w:r>
              <w:rPr>
                <w:rFonts w:ascii="Arial" w:cs="Arial" w:eastAsia="Arial" w:hAnsi="Arial"/>
                <w:sz w:val="14"/>
                <w:szCs w:val="14"/>
                <w:color w:val="auto"/>
              </w:rPr>
              <w:t>Average production prices</w:t>
            </w: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Crude oil, per barrel</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84.00</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86.46</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96.43</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97.46</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95.27</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95.56</w:t>
            </w: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NGL, per barrel</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39.70</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51.86</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53.68</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65.21</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40.81</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56.77</w:t>
            </w: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Natural gas, per thousand cubic feet</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3.61</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3.96</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8.18</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2.61</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3.71</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5.87</w:t>
            </w: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Bitumen, per barrel</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62.68</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Synthetic oil, per barrel</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89.76</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72"/>
        </w:trPr>
        <w:tc>
          <w:tcPr>
            <w:tcW w:w="4400" w:type="dxa"/>
            <w:vAlign w:val="bottom"/>
          </w:tcPr>
          <w:p>
            <w:pPr>
              <w:ind w:left="480"/>
              <w:spacing w:after="0"/>
              <w:rPr>
                <w:sz w:val="20"/>
                <w:szCs w:val="20"/>
                <w:color w:val="auto"/>
              </w:rPr>
            </w:pPr>
            <w:r>
              <w:rPr>
                <w:rFonts w:ascii="Arial" w:cs="Arial" w:eastAsia="Arial" w:hAnsi="Arial"/>
                <w:sz w:val="14"/>
                <w:szCs w:val="14"/>
                <w:color w:val="auto"/>
              </w:rPr>
              <w:t>Average production costs, per oil-equivalent barrel - total</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13.35</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33.03</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22.29</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12.58</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8.64</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11.05</w:t>
            </w:r>
          </w:p>
        </w:tc>
        <w:tc>
          <w:tcPr>
            <w:tcW w:w="260" w:type="dxa"/>
            <w:vAlign w:val="bottom"/>
          </w:tcPr>
          <w:p>
            <w:pPr>
              <w:spacing w:after="0"/>
              <w:rPr>
                <w:sz w:val="14"/>
                <w:szCs w:val="14"/>
                <w:color w:val="auto"/>
              </w:rPr>
            </w:pPr>
          </w:p>
        </w:tc>
      </w:tr>
      <w:tr>
        <w:trPr>
          <w:trHeight w:val="172"/>
        </w:trPr>
        <w:tc>
          <w:tcPr>
            <w:tcW w:w="4400" w:type="dxa"/>
            <w:vAlign w:val="bottom"/>
          </w:tcPr>
          <w:p>
            <w:pPr>
              <w:ind w:left="480"/>
              <w:spacing w:after="0"/>
              <w:rPr>
                <w:sz w:val="20"/>
                <w:szCs w:val="20"/>
                <w:color w:val="auto"/>
              </w:rPr>
            </w:pPr>
            <w:r>
              <w:rPr>
                <w:rFonts w:ascii="Arial" w:cs="Arial" w:eastAsia="Arial" w:hAnsi="Arial"/>
                <w:sz w:val="14"/>
                <w:szCs w:val="14"/>
                <w:color w:val="auto"/>
              </w:rPr>
              <w:t>Average production costs, per barrel - bitumen</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32.66</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76"/>
        </w:trPr>
        <w:tc>
          <w:tcPr>
            <w:tcW w:w="4400" w:type="dxa"/>
            <w:vAlign w:val="bottom"/>
          </w:tcPr>
          <w:p>
            <w:pPr>
              <w:ind w:left="480"/>
              <w:spacing w:after="0"/>
              <w:rPr>
                <w:sz w:val="20"/>
                <w:szCs w:val="20"/>
                <w:color w:val="auto"/>
              </w:rPr>
            </w:pPr>
            <w:r>
              <w:rPr>
                <w:rFonts w:ascii="Arial" w:cs="Arial" w:eastAsia="Arial" w:hAnsi="Arial"/>
                <w:sz w:val="14"/>
                <w:szCs w:val="14"/>
                <w:color w:val="auto"/>
              </w:rPr>
              <w:t>Average production costs, per barrel - synthetic oil</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55.32</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r>
      <w:tr>
        <w:trPr>
          <w:trHeight w:val="302"/>
        </w:trPr>
        <w:tc>
          <w:tcPr>
            <w:tcW w:w="4400" w:type="dxa"/>
            <w:vAlign w:val="bottom"/>
          </w:tcPr>
          <w:p>
            <w:pPr>
              <w:ind w:left="240"/>
              <w:spacing w:after="0"/>
              <w:rPr>
                <w:sz w:val="20"/>
                <w:szCs w:val="20"/>
                <w:color w:val="auto"/>
              </w:rPr>
            </w:pPr>
            <w:r>
              <w:rPr>
                <w:rFonts w:ascii="Arial" w:cs="Arial" w:eastAsia="Arial" w:hAnsi="Arial"/>
                <w:sz w:val="14"/>
                <w:szCs w:val="14"/>
                <w:b w:val="1"/>
                <w:bCs w:val="1"/>
                <w:color w:val="auto"/>
              </w:rPr>
              <w:t>Equity Companies</w:t>
            </w: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72"/>
        </w:trPr>
        <w:tc>
          <w:tcPr>
            <w:tcW w:w="4400" w:type="dxa"/>
            <w:vAlign w:val="bottom"/>
          </w:tcPr>
          <w:p>
            <w:pPr>
              <w:ind w:left="480"/>
              <w:spacing w:after="0"/>
              <w:rPr>
                <w:sz w:val="20"/>
                <w:szCs w:val="20"/>
                <w:color w:val="auto"/>
              </w:rPr>
            </w:pPr>
            <w:r>
              <w:rPr>
                <w:rFonts w:ascii="Arial" w:cs="Arial" w:eastAsia="Arial" w:hAnsi="Arial"/>
                <w:sz w:val="14"/>
                <w:szCs w:val="14"/>
                <w:color w:val="auto"/>
              </w:rPr>
              <w:t>Average production prices</w:t>
            </w: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Crude oil, per barrel</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91.24</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88.68</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93.42</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NGL, per barrel</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38.77</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65.31</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Natural gas, per thousand cubic feet</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4.54</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8.28</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10.00</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76"/>
        </w:trPr>
        <w:tc>
          <w:tcPr>
            <w:tcW w:w="4400" w:type="dxa"/>
            <w:vAlign w:val="bottom"/>
          </w:tcPr>
          <w:p>
            <w:pPr>
              <w:ind w:left="480"/>
              <w:spacing w:after="0"/>
              <w:rPr>
                <w:sz w:val="20"/>
                <w:szCs w:val="20"/>
                <w:color w:val="auto"/>
              </w:rPr>
            </w:pPr>
            <w:r>
              <w:rPr>
                <w:rFonts w:ascii="Arial" w:cs="Arial" w:eastAsia="Arial" w:hAnsi="Arial"/>
                <w:sz w:val="14"/>
                <w:szCs w:val="14"/>
                <w:color w:val="auto"/>
              </w:rPr>
              <w:t>Average production costs, per oil-equivalent barrel - total</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24.34</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6.10</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1.85</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r>
      <w:tr>
        <w:trPr>
          <w:trHeight w:val="306"/>
        </w:trPr>
        <w:tc>
          <w:tcPr>
            <w:tcW w:w="4400" w:type="dxa"/>
            <w:vAlign w:val="bottom"/>
          </w:tcPr>
          <w:p>
            <w:pPr>
              <w:ind w:left="240"/>
              <w:spacing w:after="0"/>
              <w:rPr>
                <w:sz w:val="20"/>
                <w:szCs w:val="20"/>
                <w:color w:val="auto"/>
              </w:rPr>
            </w:pPr>
            <w:r>
              <w:rPr>
                <w:rFonts w:ascii="Arial" w:cs="Arial" w:eastAsia="Arial" w:hAnsi="Arial"/>
                <w:sz w:val="14"/>
                <w:szCs w:val="14"/>
                <w:b w:val="1"/>
                <w:bCs w:val="1"/>
                <w:color w:val="auto"/>
              </w:rPr>
              <w:t>Total</w:t>
            </w: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80"/>
        </w:trPr>
        <w:tc>
          <w:tcPr>
            <w:tcW w:w="4400" w:type="dxa"/>
            <w:vAlign w:val="bottom"/>
          </w:tcPr>
          <w:p>
            <w:pPr>
              <w:ind w:left="480"/>
              <w:spacing w:after="0"/>
              <w:rPr>
                <w:sz w:val="20"/>
                <w:szCs w:val="20"/>
                <w:color w:val="auto"/>
              </w:rPr>
            </w:pPr>
            <w:r>
              <w:rPr>
                <w:rFonts w:ascii="Arial" w:cs="Arial" w:eastAsia="Arial" w:hAnsi="Arial"/>
                <w:sz w:val="14"/>
                <w:szCs w:val="14"/>
                <w:color w:val="auto"/>
              </w:rPr>
              <w:t>Average production prices</w:t>
            </w:r>
          </w:p>
        </w:tc>
        <w:tc>
          <w:tcPr>
            <w:tcW w:w="1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Crude oil, per barrel</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85.23</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86.46</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96.17</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97.46</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94.44</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95.56</w:t>
            </w: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NGL, per barrel</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39.68</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51.86</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53.68</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65.21</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58.52</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56.77</w:t>
            </w: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Natural gas, per thousand cubic feet</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3.62</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3.96</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8.23</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2.61</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8.36</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5.87</w:t>
            </w: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Bitumen, per barrel</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62.68</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Synthetic oil, per barrel</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89.76</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72"/>
        </w:trPr>
        <w:tc>
          <w:tcPr>
            <w:tcW w:w="4400" w:type="dxa"/>
            <w:vAlign w:val="bottom"/>
          </w:tcPr>
          <w:p>
            <w:pPr>
              <w:ind w:left="480"/>
              <w:spacing w:after="0"/>
              <w:rPr>
                <w:sz w:val="20"/>
                <w:szCs w:val="20"/>
                <w:color w:val="auto"/>
              </w:rPr>
            </w:pPr>
            <w:r>
              <w:rPr>
                <w:rFonts w:ascii="Arial" w:cs="Arial" w:eastAsia="Arial" w:hAnsi="Arial"/>
                <w:sz w:val="14"/>
                <w:szCs w:val="14"/>
                <w:color w:val="auto"/>
              </w:rPr>
              <w:t>Average production costs, per oil-equivalent barrel - total</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14.10</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33.03</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15.59</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12.58</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4.44</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11.05</w:t>
            </w:r>
          </w:p>
        </w:tc>
        <w:tc>
          <w:tcPr>
            <w:tcW w:w="260" w:type="dxa"/>
            <w:vAlign w:val="bottom"/>
          </w:tcPr>
          <w:p>
            <w:pPr>
              <w:spacing w:after="0"/>
              <w:rPr>
                <w:sz w:val="14"/>
                <w:szCs w:val="14"/>
                <w:color w:val="auto"/>
              </w:rPr>
            </w:pPr>
          </w:p>
        </w:tc>
      </w:tr>
      <w:tr>
        <w:trPr>
          <w:trHeight w:val="172"/>
        </w:trPr>
        <w:tc>
          <w:tcPr>
            <w:tcW w:w="4400" w:type="dxa"/>
            <w:vAlign w:val="bottom"/>
          </w:tcPr>
          <w:p>
            <w:pPr>
              <w:ind w:left="480"/>
              <w:spacing w:after="0"/>
              <w:rPr>
                <w:sz w:val="20"/>
                <w:szCs w:val="20"/>
                <w:color w:val="auto"/>
              </w:rPr>
            </w:pPr>
            <w:r>
              <w:rPr>
                <w:rFonts w:ascii="Arial" w:cs="Arial" w:eastAsia="Arial" w:hAnsi="Arial"/>
                <w:sz w:val="14"/>
                <w:szCs w:val="14"/>
                <w:color w:val="auto"/>
              </w:rPr>
              <w:t>Average production costs, per barrel - bitumen</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32.66</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76"/>
        </w:trPr>
        <w:tc>
          <w:tcPr>
            <w:tcW w:w="4400" w:type="dxa"/>
            <w:vAlign w:val="bottom"/>
          </w:tcPr>
          <w:p>
            <w:pPr>
              <w:ind w:left="480"/>
              <w:spacing w:after="0"/>
              <w:rPr>
                <w:sz w:val="20"/>
                <w:szCs w:val="20"/>
                <w:color w:val="auto"/>
              </w:rPr>
            </w:pPr>
            <w:r>
              <w:rPr>
                <w:rFonts w:ascii="Arial" w:cs="Arial" w:eastAsia="Arial" w:hAnsi="Arial"/>
                <w:sz w:val="14"/>
                <w:szCs w:val="14"/>
                <w:color w:val="auto"/>
              </w:rPr>
              <w:t>Average production costs, per barrel - synthetic oil</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55.32</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r>
      <w:tr>
        <w:trPr>
          <w:trHeight w:val="310"/>
        </w:trPr>
        <w:tc>
          <w:tcPr>
            <w:tcW w:w="4400" w:type="dxa"/>
            <w:vAlign w:val="bottom"/>
          </w:tcPr>
          <w:p>
            <w:pPr>
              <w:spacing w:after="0"/>
              <w:rPr>
                <w:sz w:val="20"/>
                <w:szCs w:val="20"/>
                <w:color w:val="auto"/>
              </w:rPr>
            </w:pPr>
            <w:r>
              <w:rPr>
                <w:rFonts w:ascii="Arial" w:cs="Arial" w:eastAsia="Arial" w:hAnsi="Arial"/>
                <w:sz w:val="14"/>
                <w:szCs w:val="14"/>
                <w:b w:val="1"/>
                <w:bCs w:val="1"/>
                <w:color w:val="auto"/>
              </w:rPr>
              <w:t>During 2013</w:t>
            </w: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4"/>
                <w:szCs w:val="14"/>
                <w:b w:val="1"/>
                <w:bCs w:val="1"/>
                <w:color w:val="auto"/>
              </w:rPr>
              <w:t>Consolidated Subsidiaries</w:t>
            </w:r>
          </w:p>
        </w:tc>
        <w:tc>
          <w:tcPr>
            <w:tcW w:w="1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2"/>
        </w:trPr>
        <w:tc>
          <w:tcPr>
            <w:tcW w:w="4400" w:type="dxa"/>
            <w:vAlign w:val="bottom"/>
          </w:tcPr>
          <w:p>
            <w:pPr>
              <w:ind w:left="480"/>
              <w:spacing w:after="0"/>
              <w:rPr>
                <w:sz w:val="20"/>
                <w:szCs w:val="20"/>
                <w:color w:val="auto"/>
              </w:rPr>
            </w:pPr>
            <w:r>
              <w:rPr>
                <w:rFonts w:ascii="Arial" w:cs="Arial" w:eastAsia="Arial" w:hAnsi="Arial"/>
                <w:sz w:val="14"/>
                <w:szCs w:val="14"/>
                <w:color w:val="auto"/>
              </w:rPr>
              <w:t>Average production prices</w:t>
            </w: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Crude oil, per barrel</w:t>
            </w:r>
          </w:p>
        </w:tc>
        <w:tc>
          <w:tcPr>
            <w:tcW w:w="1480" w:type="dxa"/>
            <w:vAlign w:val="bottom"/>
          </w:tcPr>
          <w:p>
            <w:pPr>
              <w:jc w:val="right"/>
              <w:ind w:right="51"/>
              <w:spacing w:after="0"/>
              <w:rPr>
                <w:sz w:val="20"/>
                <w:szCs w:val="20"/>
                <w:color w:val="auto"/>
              </w:rPr>
            </w:pPr>
            <w:r>
              <w:rPr>
                <w:rFonts w:ascii="Arial" w:cs="Arial" w:eastAsia="Arial" w:hAnsi="Arial"/>
                <w:sz w:val="14"/>
                <w:szCs w:val="14"/>
                <w:color w:val="auto"/>
              </w:rPr>
              <w:t>93.56</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98.91</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106.75</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108.73</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106.18</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107.92</w:t>
            </w: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NGL, per barrel</w:t>
            </w:r>
          </w:p>
        </w:tc>
        <w:tc>
          <w:tcPr>
            <w:tcW w:w="1480" w:type="dxa"/>
            <w:vAlign w:val="bottom"/>
          </w:tcPr>
          <w:p>
            <w:pPr>
              <w:jc w:val="right"/>
              <w:ind w:right="51"/>
              <w:spacing w:after="0"/>
              <w:rPr>
                <w:sz w:val="20"/>
                <w:szCs w:val="20"/>
                <w:color w:val="auto"/>
              </w:rPr>
            </w:pPr>
            <w:r>
              <w:rPr>
                <w:rFonts w:ascii="Arial" w:cs="Arial" w:eastAsia="Arial" w:hAnsi="Arial"/>
                <w:sz w:val="14"/>
                <w:szCs w:val="14"/>
                <w:color w:val="auto"/>
              </w:rPr>
              <w:t>44.30</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44.96</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65.36</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75.24</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40.83</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59.55</w:t>
            </w: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Natural gas, per thousand cubic feet</w:t>
            </w:r>
          </w:p>
        </w:tc>
        <w:tc>
          <w:tcPr>
            <w:tcW w:w="1480" w:type="dxa"/>
            <w:vAlign w:val="bottom"/>
          </w:tcPr>
          <w:p>
            <w:pPr>
              <w:jc w:val="right"/>
              <w:ind w:right="51"/>
              <w:spacing w:after="0"/>
              <w:rPr>
                <w:sz w:val="20"/>
                <w:szCs w:val="20"/>
                <w:color w:val="auto"/>
              </w:rPr>
            </w:pPr>
            <w:r>
              <w:rPr>
                <w:rFonts w:ascii="Arial" w:cs="Arial" w:eastAsia="Arial" w:hAnsi="Arial"/>
                <w:sz w:val="14"/>
                <w:szCs w:val="14"/>
                <w:color w:val="auto"/>
              </w:rPr>
              <w:t>2.99</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2.80</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10.07</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2.79</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4.10</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4.20</w:t>
            </w: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Bitumen, per barrel</w:t>
            </w:r>
          </w:p>
        </w:tc>
        <w:tc>
          <w:tcPr>
            <w:tcW w:w="14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59.63</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Synthetic oil, per barrel</w:t>
            </w:r>
          </w:p>
        </w:tc>
        <w:tc>
          <w:tcPr>
            <w:tcW w:w="14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93.96</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72"/>
        </w:trPr>
        <w:tc>
          <w:tcPr>
            <w:tcW w:w="4400" w:type="dxa"/>
            <w:vAlign w:val="bottom"/>
          </w:tcPr>
          <w:p>
            <w:pPr>
              <w:ind w:left="480"/>
              <w:spacing w:after="0"/>
              <w:rPr>
                <w:sz w:val="20"/>
                <w:szCs w:val="20"/>
                <w:color w:val="auto"/>
              </w:rPr>
            </w:pPr>
            <w:r>
              <w:rPr>
                <w:rFonts w:ascii="Arial" w:cs="Arial" w:eastAsia="Arial" w:hAnsi="Arial"/>
                <w:sz w:val="14"/>
                <w:szCs w:val="14"/>
                <w:color w:val="auto"/>
              </w:rPr>
              <w:t>Average production costs, per oil-equivalent barrel - total</w:t>
            </w:r>
          </w:p>
        </w:tc>
        <w:tc>
          <w:tcPr>
            <w:tcW w:w="1480" w:type="dxa"/>
            <w:vAlign w:val="bottom"/>
          </w:tcPr>
          <w:p>
            <w:pPr>
              <w:jc w:val="right"/>
              <w:ind w:right="51"/>
              <w:spacing w:after="0"/>
              <w:rPr>
                <w:sz w:val="20"/>
                <w:szCs w:val="20"/>
                <w:color w:val="auto"/>
              </w:rPr>
            </w:pPr>
            <w:r>
              <w:rPr>
                <w:rFonts w:ascii="Arial" w:cs="Arial" w:eastAsia="Arial" w:hAnsi="Arial"/>
                <w:sz w:val="14"/>
                <w:szCs w:val="14"/>
                <w:color w:val="auto"/>
              </w:rPr>
              <w:t>12.02</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32.02</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19.57</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13.95</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8.95</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16.81</w:t>
            </w:r>
          </w:p>
        </w:tc>
        <w:tc>
          <w:tcPr>
            <w:tcW w:w="260" w:type="dxa"/>
            <w:vAlign w:val="bottom"/>
          </w:tcPr>
          <w:p>
            <w:pPr>
              <w:spacing w:after="0"/>
              <w:rPr>
                <w:sz w:val="14"/>
                <w:szCs w:val="14"/>
                <w:color w:val="auto"/>
              </w:rPr>
            </w:pPr>
          </w:p>
        </w:tc>
      </w:tr>
      <w:tr>
        <w:trPr>
          <w:trHeight w:val="172"/>
        </w:trPr>
        <w:tc>
          <w:tcPr>
            <w:tcW w:w="4400" w:type="dxa"/>
            <w:vAlign w:val="bottom"/>
          </w:tcPr>
          <w:p>
            <w:pPr>
              <w:ind w:left="480"/>
              <w:spacing w:after="0"/>
              <w:rPr>
                <w:sz w:val="20"/>
                <w:szCs w:val="20"/>
                <w:color w:val="auto"/>
              </w:rPr>
            </w:pPr>
            <w:r>
              <w:rPr>
                <w:rFonts w:ascii="Arial" w:cs="Arial" w:eastAsia="Arial" w:hAnsi="Arial"/>
                <w:sz w:val="14"/>
                <w:szCs w:val="14"/>
                <w:color w:val="auto"/>
              </w:rPr>
              <w:t>Average production costs, per barrel - bitumen</w:t>
            </w:r>
          </w:p>
        </w:tc>
        <w:tc>
          <w:tcPr>
            <w:tcW w:w="14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34.30</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76"/>
        </w:trPr>
        <w:tc>
          <w:tcPr>
            <w:tcW w:w="4400" w:type="dxa"/>
            <w:vAlign w:val="bottom"/>
          </w:tcPr>
          <w:p>
            <w:pPr>
              <w:ind w:left="480"/>
              <w:spacing w:after="0"/>
              <w:rPr>
                <w:sz w:val="20"/>
                <w:szCs w:val="20"/>
                <w:color w:val="auto"/>
              </w:rPr>
            </w:pPr>
            <w:r>
              <w:rPr>
                <w:rFonts w:ascii="Arial" w:cs="Arial" w:eastAsia="Arial" w:hAnsi="Arial"/>
                <w:sz w:val="14"/>
                <w:szCs w:val="14"/>
                <w:color w:val="auto"/>
              </w:rPr>
              <w:t>Average production costs, per barrel - synthetic oil</w:t>
            </w:r>
          </w:p>
        </w:tc>
        <w:tc>
          <w:tcPr>
            <w:tcW w:w="14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50.94</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r>
      <w:tr>
        <w:trPr>
          <w:trHeight w:val="302"/>
        </w:trPr>
        <w:tc>
          <w:tcPr>
            <w:tcW w:w="4400" w:type="dxa"/>
            <w:vAlign w:val="bottom"/>
          </w:tcPr>
          <w:p>
            <w:pPr>
              <w:ind w:left="240"/>
              <w:spacing w:after="0"/>
              <w:rPr>
                <w:sz w:val="20"/>
                <w:szCs w:val="20"/>
                <w:color w:val="auto"/>
              </w:rPr>
            </w:pPr>
            <w:r>
              <w:rPr>
                <w:rFonts w:ascii="Arial" w:cs="Arial" w:eastAsia="Arial" w:hAnsi="Arial"/>
                <w:sz w:val="14"/>
                <w:szCs w:val="14"/>
                <w:b w:val="1"/>
                <w:bCs w:val="1"/>
                <w:color w:val="auto"/>
              </w:rPr>
              <w:t>Equity Companies</w:t>
            </w: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72"/>
        </w:trPr>
        <w:tc>
          <w:tcPr>
            <w:tcW w:w="4400" w:type="dxa"/>
            <w:vAlign w:val="bottom"/>
          </w:tcPr>
          <w:p>
            <w:pPr>
              <w:ind w:left="480"/>
              <w:spacing w:after="0"/>
              <w:rPr>
                <w:sz w:val="20"/>
                <w:szCs w:val="20"/>
                <w:color w:val="auto"/>
              </w:rPr>
            </w:pPr>
            <w:r>
              <w:rPr>
                <w:rFonts w:ascii="Arial" w:cs="Arial" w:eastAsia="Arial" w:hAnsi="Arial"/>
                <w:sz w:val="14"/>
                <w:szCs w:val="14"/>
                <w:color w:val="auto"/>
              </w:rPr>
              <w:t>Average production prices</w:t>
            </w: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Crude oil, per barrel</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102.24</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99.26</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103.96</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NGL, per barrel</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42.02</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70.90</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Natural gas, per thousand cubic feet</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4.37</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9.28</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10.19</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76"/>
        </w:trPr>
        <w:tc>
          <w:tcPr>
            <w:tcW w:w="4400" w:type="dxa"/>
            <w:vAlign w:val="bottom"/>
          </w:tcPr>
          <w:p>
            <w:pPr>
              <w:ind w:left="480"/>
              <w:spacing w:after="0"/>
              <w:rPr>
                <w:sz w:val="20"/>
                <w:szCs w:val="20"/>
                <w:color w:val="auto"/>
              </w:rPr>
            </w:pPr>
            <w:r>
              <w:rPr>
                <w:rFonts w:ascii="Arial" w:cs="Arial" w:eastAsia="Arial" w:hAnsi="Arial"/>
                <w:sz w:val="14"/>
                <w:szCs w:val="14"/>
                <w:color w:val="auto"/>
              </w:rPr>
              <w:t>Average production costs, per oil-equivalent barrel - total</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22.77</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3.79</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1.87</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r>
      <w:tr>
        <w:trPr>
          <w:trHeight w:val="302"/>
        </w:trPr>
        <w:tc>
          <w:tcPr>
            <w:tcW w:w="4400" w:type="dxa"/>
            <w:vAlign w:val="bottom"/>
          </w:tcPr>
          <w:p>
            <w:pPr>
              <w:ind w:left="240"/>
              <w:spacing w:after="0"/>
              <w:rPr>
                <w:sz w:val="20"/>
                <w:szCs w:val="20"/>
                <w:color w:val="auto"/>
              </w:rPr>
            </w:pPr>
            <w:r>
              <w:rPr>
                <w:rFonts w:ascii="Arial" w:cs="Arial" w:eastAsia="Arial" w:hAnsi="Arial"/>
                <w:sz w:val="14"/>
                <w:szCs w:val="14"/>
                <w:b w:val="1"/>
                <w:bCs w:val="1"/>
                <w:color w:val="auto"/>
              </w:rPr>
              <w:t>Total</w:t>
            </w: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72"/>
        </w:trPr>
        <w:tc>
          <w:tcPr>
            <w:tcW w:w="4400" w:type="dxa"/>
            <w:vAlign w:val="bottom"/>
          </w:tcPr>
          <w:p>
            <w:pPr>
              <w:ind w:left="480"/>
              <w:spacing w:after="0"/>
              <w:rPr>
                <w:sz w:val="20"/>
                <w:szCs w:val="20"/>
                <w:color w:val="auto"/>
              </w:rPr>
            </w:pPr>
            <w:r>
              <w:rPr>
                <w:rFonts w:ascii="Arial" w:cs="Arial" w:eastAsia="Arial" w:hAnsi="Arial"/>
                <w:sz w:val="14"/>
                <w:szCs w:val="14"/>
                <w:color w:val="auto"/>
              </w:rPr>
              <w:t>Average production prices</w:t>
            </w: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Crude oil, per barrel</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95.11</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98.91</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106.49</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108.73</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104.98</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107.92</w:t>
            </w: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NGL, per barrel</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44.24</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44.96</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65.36</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75.24</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61.64</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59.55</w:t>
            </w: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Natural gas, per thousand cubic feet</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3.00</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2.80</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9.59</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2.79</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8.53</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4.20</w:t>
            </w: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Bitumen, per barrel</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59.63</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Synthetic oil, per barrel</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93.96</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72"/>
        </w:trPr>
        <w:tc>
          <w:tcPr>
            <w:tcW w:w="4400" w:type="dxa"/>
            <w:vAlign w:val="bottom"/>
          </w:tcPr>
          <w:p>
            <w:pPr>
              <w:ind w:left="480"/>
              <w:spacing w:after="0"/>
              <w:rPr>
                <w:sz w:val="20"/>
                <w:szCs w:val="20"/>
                <w:color w:val="auto"/>
              </w:rPr>
            </w:pPr>
            <w:r>
              <w:rPr>
                <w:rFonts w:ascii="Arial" w:cs="Arial" w:eastAsia="Arial" w:hAnsi="Arial"/>
                <w:sz w:val="14"/>
                <w:szCs w:val="14"/>
                <w:color w:val="auto"/>
              </w:rPr>
              <w:t>Average production costs, per oil-equivalent barrel - total</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12.72</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32.02</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12.42</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13.95</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4.41</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16.81</w:t>
            </w:r>
          </w:p>
        </w:tc>
        <w:tc>
          <w:tcPr>
            <w:tcW w:w="260" w:type="dxa"/>
            <w:vAlign w:val="bottom"/>
          </w:tcPr>
          <w:p>
            <w:pPr>
              <w:spacing w:after="0"/>
              <w:rPr>
                <w:sz w:val="14"/>
                <w:szCs w:val="14"/>
                <w:color w:val="auto"/>
              </w:rPr>
            </w:pPr>
          </w:p>
        </w:tc>
      </w:tr>
      <w:tr>
        <w:trPr>
          <w:trHeight w:val="172"/>
        </w:trPr>
        <w:tc>
          <w:tcPr>
            <w:tcW w:w="4400" w:type="dxa"/>
            <w:vAlign w:val="bottom"/>
          </w:tcPr>
          <w:p>
            <w:pPr>
              <w:ind w:left="480"/>
              <w:spacing w:after="0"/>
              <w:rPr>
                <w:sz w:val="20"/>
                <w:szCs w:val="20"/>
                <w:color w:val="auto"/>
              </w:rPr>
            </w:pPr>
            <w:r>
              <w:rPr>
                <w:rFonts w:ascii="Arial" w:cs="Arial" w:eastAsia="Arial" w:hAnsi="Arial"/>
                <w:sz w:val="14"/>
                <w:szCs w:val="14"/>
                <w:color w:val="auto"/>
              </w:rPr>
              <w:t>Average production costs, per barrel - bitumen</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34.30</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76"/>
        </w:trPr>
        <w:tc>
          <w:tcPr>
            <w:tcW w:w="4400" w:type="dxa"/>
            <w:vAlign w:val="bottom"/>
          </w:tcPr>
          <w:p>
            <w:pPr>
              <w:ind w:left="480"/>
              <w:spacing w:after="0"/>
              <w:rPr>
                <w:sz w:val="20"/>
                <w:szCs w:val="20"/>
                <w:color w:val="auto"/>
              </w:rPr>
            </w:pPr>
            <w:r>
              <w:rPr>
                <w:rFonts w:ascii="Arial" w:cs="Arial" w:eastAsia="Arial" w:hAnsi="Arial"/>
                <w:sz w:val="14"/>
                <w:szCs w:val="14"/>
                <w:color w:val="auto"/>
              </w:rPr>
              <w:t>Average production costs, per barrel - synthetic oil</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31"/>
              <w:spacing w:after="0"/>
              <w:rPr>
                <w:sz w:val="20"/>
                <w:szCs w:val="20"/>
                <w:color w:val="auto"/>
              </w:rPr>
            </w:pPr>
            <w:r>
              <w:rPr>
                <w:rFonts w:ascii="Arial" w:cs="Arial" w:eastAsia="Arial" w:hAnsi="Arial"/>
                <w:sz w:val="14"/>
                <w:szCs w:val="14"/>
                <w:color w:val="auto"/>
              </w:rPr>
              <w:t>50.94</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r>
    </w:tbl>
    <w:p>
      <w:pPr>
        <w:spacing w:after="0" w:line="9"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646" w:right="1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0"/>
        </w:trPr>
        <w:tc>
          <w:tcPr>
            <w:tcW w:w="4400" w:type="dxa"/>
            <w:vAlign w:val="bottom"/>
          </w:tcPr>
          <w:p>
            <w:pPr>
              <w:spacing w:after="0"/>
              <w:rPr>
                <w:sz w:val="15"/>
                <w:szCs w:val="15"/>
                <w:color w:val="auto"/>
              </w:rPr>
            </w:pPr>
          </w:p>
        </w:tc>
        <w:tc>
          <w:tcPr>
            <w:tcW w:w="1460" w:type="dxa"/>
            <w:vAlign w:val="bottom"/>
          </w:tcPr>
          <w:p>
            <w:pPr>
              <w:jc w:val="right"/>
              <w:ind w:right="251"/>
              <w:spacing w:after="0"/>
              <w:rPr>
                <w:sz w:val="20"/>
                <w:szCs w:val="20"/>
                <w:color w:val="auto"/>
              </w:rPr>
            </w:pPr>
            <w:r>
              <w:rPr>
                <w:rFonts w:ascii="Arial" w:cs="Arial" w:eastAsia="Arial" w:hAnsi="Arial"/>
                <w:sz w:val="14"/>
                <w:szCs w:val="14"/>
                <w:b w:val="1"/>
                <w:bCs w:val="1"/>
                <w:color w:val="auto"/>
              </w:rPr>
              <w:t>United</w:t>
            </w:r>
          </w:p>
        </w:tc>
        <w:tc>
          <w:tcPr>
            <w:tcW w:w="1080" w:type="dxa"/>
            <w:vAlign w:val="bottom"/>
          </w:tcPr>
          <w:p>
            <w:pPr>
              <w:jc w:val="right"/>
              <w:ind w:right="291"/>
              <w:spacing w:after="0"/>
              <w:rPr>
                <w:sz w:val="20"/>
                <w:szCs w:val="20"/>
                <w:color w:val="auto"/>
              </w:rPr>
            </w:pPr>
            <w:r>
              <w:rPr>
                <w:rFonts w:ascii="Arial" w:cs="Arial" w:eastAsia="Arial" w:hAnsi="Arial"/>
                <w:sz w:val="14"/>
                <w:szCs w:val="14"/>
                <w:b w:val="1"/>
                <w:bCs w:val="1"/>
                <w:color w:val="auto"/>
              </w:rPr>
              <w:t>Canada/</w:t>
            </w: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jc w:val="right"/>
              <w:ind w:right="171"/>
              <w:spacing w:after="0"/>
              <w:rPr>
                <w:sz w:val="20"/>
                <w:szCs w:val="20"/>
                <w:color w:val="auto"/>
              </w:rPr>
            </w:pPr>
            <w:r>
              <w:rPr>
                <w:rFonts w:ascii="Arial" w:cs="Arial" w:eastAsia="Arial" w:hAnsi="Arial"/>
                <w:sz w:val="14"/>
                <w:szCs w:val="14"/>
                <w:b w:val="1"/>
                <w:bCs w:val="1"/>
                <w:color w:val="auto"/>
              </w:rPr>
              <w:t>Australia/</w:t>
            </w:r>
          </w:p>
        </w:tc>
        <w:tc>
          <w:tcPr>
            <w:tcW w:w="260" w:type="dxa"/>
            <w:vAlign w:val="bottom"/>
          </w:tcPr>
          <w:p>
            <w:pPr>
              <w:spacing w:after="0"/>
              <w:rPr>
                <w:sz w:val="15"/>
                <w:szCs w:val="15"/>
                <w:color w:val="auto"/>
              </w:rPr>
            </w:pPr>
          </w:p>
        </w:tc>
      </w:tr>
      <w:tr>
        <w:trPr>
          <w:trHeight w:val="188"/>
        </w:trPr>
        <w:tc>
          <w:tcPr>
            <w:tcW w:w="4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States</w:t>
            </w:r>
          </w:p>
        </w:tc>
        <w:tc>
          <w:tcPr>
            <w:tcW w:w="10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S. America</w:t>
            </w: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Europe</w:t>
            </w: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Africa</w:t>
            </w: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Asia</w:t>
            </w: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Oceania</w:t>
            </w:r>
          </w:p>
        </w:tc>
        <w:tc>
          <w:tcPr>
            <w:tcW w:w="260" w:type="dxa"/>
            <w:vAlign w:val="bottom"/>
            <w:tcBorders>
              <w:bottom w:val="single" w:sz="8" w:color="auto"/>
            </w:tcBorders>
          </w:tcPr>
          <w:p>
            <w:pPr>
              <w:ind w:left="200"/>
              <w:spacing w:after="0"/>
              <w:rPr>
                <w:sz w:val="20"/>
                <w:szCs w:val="20"/>
                <w:color w:val="auto"/>
              </w:rPr>
            </w:pPr>
            <w:r>
              <w:rPr>
                <w:rFonts w:ascii="Arial" w:cs="Arial" w:eastAsia="Arial" w:hAnsi="Arial"/>
                <w:sz w:val="9"/>
                <w:szCs w:val="9"/>
                <w:b w:val="1"/>
                <w:bCs w:val="1"/>
                <w:color w:val="auto"/>
                <w:w w:val="71"/>
              </w:rPr>
              <w:t>T</w:t>
            </w:r>
          </w:p>
        </w:tc>
      </w:tr>
      <w:tr>
        <w:trPr>
          <w:trHeight w:val="151"/>
        </w:trPr>
        <w:tc>
          <w:tcPr>
            <w:tcW w:w="4400" w:type="dxa"/>
            <w:vAlign w:val="bottom"/>
          </w:tcPr>
          <w:p>
            <w:pPr>
              <w:spacing w:after="0" w:line="151" w:lineRule="exact"/>
              <w:rPr>
                <w:sz w:val="20"/>
                <w:szCs w:val="20"/>
                <w:color w:val="auto"/>
              </w:rPr>
            </w:pPr>
            <w:r>
              <w:rPr>
                <w:rFonts w:ascii="Arial" w:cs="Arial" w:eastAsia="Arial" w:hAnsi="Arial"/>
                <w:sz w:val="14"/>
                <w:szCs w:val="14"/>
                <w:b w:val="1"/>
                <w:bCs w:val="1"/>
                <w:color w:val="auto"/>
              </w:rPr>
              <w:t>During 2012</w:t>
            </w:r>
          </w:p>
        </w:tc>
        <w:tc>
          <w:tcPr>
            <w:tcW w:w="1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40" w:type="dxa"/>
            <w:vAlign w:val="bottom"/>
            <w:gridSpan w:val="2"/>
          </w:tcPr>
          <w:p>
            <w:pPr>
              <w:jc w:val="right"/>
              <w:ind w:right="151"/>
              <w:spacing w:after="0" w:line="151" w:lineRule="exact"/>
              <w:rPr>
                <w:sz w:val="20"/>
                <w:szCs w:val="20"/>
                <w:color w:val="auto"/>
              </w:rPr>
            </w:pPr>
            <w:r>
              <w:rPr>
                <w:rFonts w:ascii="Arial" w:cs="Arial" w:eastAsia="Arial" w:hAnsi="Arial"/>
                <w:sz w:val="14"/>
                <w:szCs w:val="14"/>
                <w:i w:val="1"/>
                <w:iCs w:val="1"/>
                <w:color w:val="auto"/>
              </w:rPr>
              <w:t>(dollars per unit)</w:t>
            </w: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4"/>
                <w:szCs w:val="14"/>
                <w:b w:val="1"/>
                <w:bCs w:val="1"/>
                <w:color w:val="auto"/>
              </w:rPr>
              <w:t>Consolidated Subsidiaries</w:t>
            </w:r>
          </w:p>
        </w:tc>
        <w:tc>
          <w:tcPr>
            <w:tcW w:w="1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2"/>
        </w:trPr>
        <w:tc>
          <w:tcPr>
            <w:tcW w:w="4400" w:type="dxa"/>
            <w:vAlign w:val="bottom"/>
          </w:tcPr>
          <w:p>
            <w:pPr>
              <w:ind w:left="480"/>
              <w:spacing w:after="0"/>
              <w:rPr>
                <w:sz w:val="20"/>
                <w:szCs w:val="20"/>
                <w:color w:val="auto"/>
              </w:rPr>
            </w:pPr>
            <w:r>
              <w:rPr>
                <w:rFonts w:ascii="Arial" w:cs="Arial" w:eastAsia="Arial" w:hAnsi="Arial"/>
                <w:sz w:val="14"/>
                <w:szCs w:val="14"/>
                <w:color w:val="auto"/>
              </w:rPr>
              <w:t>Average production prices</w:t>
            </w: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Crude oil, per barrel</w:t>
            </w:r>
          </w:p>
        </w:tc>
        <w:tc>
          <w:tcPr>
            <w:tcW w:w="1460" w:type="dxa"/>
            <w:vAlign w:val="bottom"/>
          </w:tcPr>
          <w:p>
            <w:pPr>
              <w:jc w:val="right"/>
              <w:ind w:right="91"/>
              <w:spacing w:after="0"/>
              <w:rPr>
                <w:sz w:val="20"/>
                <w:szCs w:val="20"/>
                <w:color w:val="auto"/>
              </w:rPr>
            </w:pPr>
            <w:r>
              <w:rPr>
                <w:rFonts w:ascii="Arial" w:cs="Arial" w:eastAsia="Arial" w:hAnsi="Arial"/>
                <w:sz w:val="14"/>
                <w:szCs w:val="14"/>
                <w:color w:val="auto"/>
              </w:rPr>
              <w:t>94.71</w:t>
            </w: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98.67</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110.91</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111.19</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109.95</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112.12</w:t>
            </w: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NGL, per barrel</w:t>
            </w:r>
          </w:p>
        </w:tc>
        <w:tc>
          <w:tcPr>
            <w:tcW w:w="1460" w:type="dxa"/>
            <w:vAlign w:val="bottom"/>
          </w:tcPr>
          <w:p>
            <w:pPr>
              <w:jc w:val="right"/>
              <w:ind w:right="91"/>
              <w:spacing w:after="0"/>
              <w:rPr>
                <w:sz w:val="20"/>
                <w:szCs w:val="20"/>
                <w:color w:val="auto"/>
              </w:rPr>
            </w:pPr>
            <w:r>
              <w:rPr>
                <w:rFonts w:ascii="Arial" w:cs="Arial" w:eastAsia="Arial" w:hAnsi="Arial"/>
                <w:sz w:val="14"/>
                <w:szCs w:val="14"/>
                <w:color w:val="auto"/>
              </w:rPr>
              <w:t>50.32</w:t>
            </w: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57.84</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68.08</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76.63</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43.65</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56.85</w:t>
            </w: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Natural gas, per thousand cubic feet</w:t>
            </w:r>
          </w:p>
        </w:tc>
        <w:tc>
          <w:tcPr>
            <w:tcW w:w="1460" w:type="dxa"/>
            <w:vAlign w:val="bottom"/>
          </w:tcPr>
          <w:p>
            <w:pPr>
              <w:jc w:val="right"/>
              <w:ind w:right="91"/>
              <w:spacing w:after="0"/>
              <w:rPr>
                <w:sz w:val="20"/>
                <w:szCs w:val="20"/>
                <w:color w:val="auto"/>
              </w:rPr>
            </w:pPr>
            <w:r>
              <w:rPr>
                <w:rFonts w:ascii="Arial" w:cs="Arial" w:eastAsia="Arial" w:hAnsi="Arial"/>
                <w:sz w:val="14"/>
                <w:szCs w:val="14"/>
                <w:color w:val="auto"/>
              </w:rPr>
              <w:t>2.15</w:t>
            </w: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1.98</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8.92</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2.77</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3.91</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4.39</w:t>
            </w: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Bitumen, per barrel</w:t>
            </w:r>
          </w:p>
        </w:tc>
        <w:tc>
          <w:tcPr>
            <w:tcW w:w="14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58.91</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Synthetic oil, per barrel</w:t>
            </w:r>
          </w:p>
        </w:tc>
        <w:tc>
          <w:tcPr>
            <w:tcW w:w="14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92.77</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72"/>
        </w:trPr>
        <w:tc>
          <w:tcPr>
            <w:tcW w:w="4400" w:type="dxa"/>
            <w:vAlign w:val="bottom"/>
          </w:tcPr>
          <w:p>
            <w:pPr>
              <w:ind w:left="480"/>
              <w:spacing w:after="0"/>
              <w:rPr>
                <w:sz w:val="20"/>
                <w:szCs w:val="20"/>
                <w:color w:val="auto"/>
              </w:rPr>
            </w:pPr>
            <w:r>
              <w:rPr>
                <w:rFonts w:ascii="Arial" w:cs="Arial" w:eastAsia="Arial" w:hAnsi="Arial"/>
                <w:sz w:val="14"/>
                <w:szCs w:val="14"/>
                <w:color w:val="auto"/>
              </w:rPr>
              <w:t>Average production costs, per oil-equivalent barrel - total</w:t>
            </w:r>
          </w:p>
        </w:tc>
        <w:tc>
          <w:tcPr>
            <w:tcW w:w="1460" w:type="dxa"/>
            <w:vAlign w:val="bottom"/>
          </w:tcPr>
          <w:p>
            <w:pPr>
              <w:jc w:val="right"/>
              <w:ind w:right="91"/>
              <w:spacing w:after="0"/>
              <w:rPr>
                <w:sz w:val="20"/>
                <w:szCs w:val="20"/>
                <w:color w:val="auto"/>
              </w:rPr>
            </w:pPr>
            <w:r>
              <w:rPr>
                <w:rFonts w:ascii="Arial" w:cs="Arial" w:eastAsia="Arial" w:hAnsi="Arial"/>
                <w:sz w:val="14"/>
                <w:szCs w:val="14"/>
                <w:color w:val="auto"/>
              </w:rPr>
              <w:t>11.14</w:t>
            </w: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26.94</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15.06</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13.35</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7.27</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12.11</w:t>
            </w:r>
          </w:p>
        </w:tc>
        <w:tc>
          <w:tcPr>
            <w:tcW w:w="260" w:type="dxa"/>
            <w:vAlign w:val="bottom"/>
          </w:tcPr>
          <w:p>
            <w:pPr>
              <w:spacing w:after="0"/>
              <w:rPr>
                <w:sz w:val="14"/>
                <w:szCs w:val="14"/>
                <w:color w:val="auto"/>
              </w:rPr>
            </w:pPr>
          </w:p>
        </w:tc>
      </w:tr>
      <w:tr>
        <w:trPr>
          <w:trHeight w:val="172"/>
        </w:trPr>
        <w:tc>
          <w:tcPr>
            <w:tcW w:w="4400" w:type="dxa"/>
            <w:vAlign w:val="bottom"/>
          </w:tcPr>
          <w:p>
            <w:pPr>
              <w:ind w:left="480"/>
              <w:spacing w:after="0"/>
              <w:rPr>
                <w:sz w:val="20"/>
                <w:szCs w:val="20"/>
                <w:color w:val="auto"/>
              </w:rPr>
            </w:pPr>
            <w:r>
              <w:rPr>
                <w:rFonts w:ascii="Arial" w:cs="Arial" w:eastAsia="Arial" w:hAnsi="Arial"/>
                <w:sz w:val="14"/>
                <w:szCs w:val="14"/>
                <w:color w:val="auto"/>
              </w:rPr>
              <w:t>Average production costs, per barrel - bitumen</w:t>
            </w:r>
          </w:p>
        </w:tc>
        <w:tc>
          <w:tcPr>
            <w:tcW w:w="14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23.71</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76"/>
        </w:trPr>
        <w:tc>
          <w:tcPr>
            <w:tcW w:w="4400" w:type="dxa"/>
            <w:vAlign w:val="bottom"/>
          </w:tcPr>
          <w:p>
            <w:pPr>
              <w:ind w:left="480"/>
              <w:spacing w:after="0"/>
              <w:rPr>
                <w:sz w:val="20"/>
                <w:szCs w:val="20"/>
                <w:color w:val="auto"/>
              </w:rPr>
            </w:pPr>
            <w:r>
              <w:rPr>
                <w:rFonts w:ascii="Arial" w:cs="Arial" w:eastAsia="Arial" w:hAnsi="Arial"/>
                <w:sz w:val="14"/>
                <w:szCs w:val="14"/>
                <w:color w:val="auto"/>
              </w:rPr>
              <w:t>Average production costs, per barrel - synthetic oil</w:t>
            </w:r>
          </w:p>
        </w:tc>
        <w:tc>
          <w:tcPr>
            <w:tcW w:w="14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47.45</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r>
      <w:tr>
        <w:trPr>
          <w:trHeight w:val="302"/>
        </w:trPr>
        <w:tc>
          <w:tcPr>
            <w:tcW w:w="4400" w:type="dxa"/>
            <w:vAlign w:val="bottom"/>
          </w:tcPr>
          <w:p>
            <w:pPr>
              <w:ind w:left="240"/>
              <w:spacing w:after="0"/>
              <w:rPr>
                <w:sz w:val="20"/>
                <w:szCs w:val="20"/>
                <w:color w:val="auto"/>
              </w:rPr>
            </w:pPr>
            <w:r>
              <w:rPr>
                <w:rFonts w:ascii="Arial" w:cs="Arial" w:eastAsia="Arial" w:hAnsi="Arial"/>
                <w:sz w:val="14"/>
                <w:szCs w:val="14"/>
                <w:b w:val="1"/>
                <w:bCs w:val="1"/>
                <w:color w:val="auto"/>
              </w:rPr>
              <w:t>Equity Companies</w:t>
            </w: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72"/>
        </w:trPr>
        <w:tc>
          <w:tcPr>
            <w:tcW w:w="4400" w:type="dxa"/>
            <w:vAlign w:val="bottom"/>
          </w:tcPr>
          <w:p>
            <w:pPr>
              <w:ind w:left="480"/>
              <w:spacing w:after="0"/>
              <w:rPr>
                <w:sz w:val="20"/>
                <w:szCs w:val="20"/>
                <w:color w:val="auto"/>
              </w:rPr>
            </w:pPr>
            <w:r>
              <w:rPr>
                <w:rFonts w:ascii="Arial" w:cs="Arial" w:eastAsia="Arial" w:hAnsi="Arial"/>
                <w:sz w:val="14"/>
                <w:szCs w:val="14"/>
                <w:color w:val="auto"/>
              </w:rPr>
              <w:t>Average production prices</w:t>
            </w: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Crude oil, per barrel</w:t>
            </w:r>
          </w:p>
        </w:tc>
        <w:tc>
          <w:tcPr>
            <w:tcW w:w="1460" w:type="dxa"/>
            <w:vAlign w:val="bottom"/>
          </w:tcPr>
          <w:p>
            <w:pPr>
              <w:jc w:val="right"/>
              <w:ind w:right="91"/>
              <w:spacing w:after="0"/>
              <w:rPr>
                <w:sz w:val="20"/>
                <w:szCs w:val="20"/>
                <w:color w:val="auto"/>
              </w:rPr>
            </w:pPr>
            <w:r>
              <w:rPr>
                <w:rFonts w:ascii="Arial" w:cs="Arial" w:eastAsia="Arial" w:hAnsi="Arial"/>
                <w:sz w:val="14"/>
                <w:szCs w:val="14"/>
                <w:color w:val="auto"/>
              </w:rPr>
              <w:t>105.02</w:t>
            </w: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104.59</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106.59</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NGL, per barrel</w:t>
            </w:r>
          </w:p>
        </w:tc>
        <w:tc>
          <w:tcPr>
            <w:tcW w:w="1460" w:type="dxa"/>
            <w:vAlign w:val="bottom"/>
          </w:tcPr>
          <w:p>
            <w:pPr>
              <w:jc w:val="right"/>
              <w:ind w:right="91"/>
              <w:spacing w:after="0"/>
              <w:rPr>
                <w:sz w:val="20"/>
                <w:szCs w:val="20"/>
                <w:color w:val="auto"/>
              </w:rPr>
            </w:pPr>
            <w:r>
              <w:rPr>
                <w:rFonts w:ascii="Arial" w:cs="Arial" w:eastAsia="Arial" w:hAnsi="Arial"/>
                <w:sz w:val="14"/>
                <w:szCs w:val="14"/>
                <w:color w:val="auto"/>
              </w:rPr>
              <w:t>58.38</w:t>
            </w: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75.24</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Natural gas, per thousand cubic feet</w:t>
            </w:r>
          </w:p>
        </w:tc>
        <w:tc>
          <w:tcPr>
            <w:tcW w:w="1460" w:type="dxa"/>
            <w:vAlign w:val="bottom"/>
          </w:tcPr>
          <w:p>
            <w:pPr>
              <w:jc w:val="right"/>
              <w:ind w:right="91"/>
              <w:spacing w:after="0"/>
              <w:rPr>
                <w:sz w:val="20"/>
                <w:szCs w:val="20"/>
                <w:color w:val="auto"/>
              </w:rPr>
            </w:pPr>
            <w:r>
              <w:rPr>
                <w:rFonts w:ascii="Arial" w:cs="Arial" w:eastAsia="Arial" w:hAnsi="Arial"/>
                <w:sz w:val="14"/>
                <w:szCs w:val="14"/>
                <w:color w:val="auto"/>
              </w:rPr>
              <w:t>3.22</w:t>
            </w: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9.66</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9.38</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76"/>
        </w:trPr>
        <w:tc>
          <w:tcPr>
            <w:tcW w:w="4400" w:type="dxa"/>
            <w:vAlign w:val="bottom"/>
          </w:tcPr>
          <w:p>
            <w:pPr>
              <w:ind w:left="480"/>
              <w:spacing w:after="0"/>
              <w:rPr>
                <w:sz w:val="20"/>
                <w:szCs w:val="20"/>
                <w:color w:val="auto"/>
              </w:rPr>
            </w:pPr>
            <w:r>
              <w:rPr>
                <w:rFonts w:ascii="Arial" w:cs="Arial" w:eastAsia="Arial" w:hAnsi="Arial"/>
                <w:sz w:val="14"/>
                <w:szCs w:val="14"/>
                <w:color w:val="auto"/>
              </w:rPr>
              <w:t>Average production costs, per oil-equivalent barrel - total</w:t>
            </w:r>
          </w:p>
        </w:tc>
        <w:tc>
          <w:tcPr>
            <w:tcW w:w="1460" w:type="dxa"/>
            <w:vAlign w:val="bottom"/>
          </w:tcPr>
          <w:p>
            <w:pPr>
              <w:jc w:val="right"/>
              <w:ind w:right="91"/>
              <w:spacing w:after="0"/>
              <w:rPr>
                <w:sz w:val="20"/>
                <w:szCs w:val="20"/>
                <w:color w:val="auto"/>
              </w:rPr>
            </w:pPr>
            <w:r>
              <w:rPr>
                <w:rFonts w:ascii="Arial" w:cs="Arial" w:eastAsia="Arial" w:hAnsi="Arial"/>
                <w:sz w:val="14"/>
                <w:szCs w:val="14"/>
                <w:color w:val="auto"/>
              </w:rPr>
              <w:t>20.15</w:t>
            </w: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3.36</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1.43</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r>
      <w:tr>
        <w:trPr>
          <w:trHeight w:val="306"/>
        </w:trPr>
        <w:tc>
          <w:tcPr>
            <w:tcW w:w="4400" w:type="dxa"/>
            <w:vAlign w:val="bottom"/>
          </w:tcPr>
          <w:p>
            <w:pPr>
              <w:ind w:left="240"/>
              <w:spacing w:after="0"/>
              <w:rPr>
                <w:sz w:val="20"/>
                <w:szCs w:val="20"/>
                <w:color w:val="auto"/>
              </w:rPr>
            </w:pPr>
            <w:r>
              <w:rPr>
                <w:rFonts w:ascii="Arial" w:cs="Arial" w:eastAsia="Arial" w:hAnsi="Arial"/>
                <w:sz w:val="14"/>
                <w:szCs w:val="14"/>
                <w:b w:val="1"/>
                <w:bCs w:val="1"/>
                <w:color w:val="auto"/>
              </w:rPr>
              <w:t>Total</w:t>
            </w: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80"/>
        </w:trPr>
        <w:tc>
          <w:tcPr>
            <w:tcW w:w="4400" w:type="dxa"/>
            <w:vAlign w:val="bottom"/>
          </w:tcPr>
          <w:p>
            <w:pPr>
              <w:ind w:left="480"/>
              <w:spacing w:after="0"/>
              <w:rPr>
                <w:sz w:val="20"/>
                <w:szCs w:val="20"/>
                <w:color w:val="auto"/>
              </w:rPr>
            </w:pPr>
            <w:r>
              <w:rPr>
                <w:rFonts w:ascii="Arial" w:cs="Arial" w:eastAsia="Arial" w:hAnsi="Arial"/>
                <w:sz w:val="14"/>
                <w:szCs w:val="14"/>
                <w:color w:val="auto"/>
              </w:rPr>
              <w:t>Average production prices</w:t>
            </w:r>
          </w:p>
        </w:tc>
        <w:tc>
          <w:tcPr>
            <w:tcW w:w="1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Crude oil, per barrel</w:t>
            </w:r>
          </w:p>
        </w:tc>
        <w:tc>
          <w:tcPr>
            <w:tcW w:w="1460" w:type="dxa"/>
            <w:vAlign w:val="bottom"/>
          </w:tcPr>
          <w:p>
            <w:pPr>
              <w:jc w:val="right"/>
              <w:ind w:right="91"/>
              <w:spacing w:after="0"/>
              <w:rPr>
                <w:sz w:val="20"/>
                <w:szCs w:val="20"/>
                <w:color w:val="auto"/>
              </w:rPr>
            </w:pPr>
            <w:r>
              <w:rPr>
                <w:rFonts w:ascii="Arial" w:cs="Arial" w:eastAsia="Arial" w:hAnsi="Arial"/>
                <w:sz w:val="14"/>
                <w:szCs w:val="14"/>
                <w:color w:val="auto"/>
              </w:rPr>
              <w:t>96.60</w:t>
            </w: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98.67</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110.74</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111.19</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108.22</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112.12</w:t>
            </w: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NGL, per barrel</w:t>
            </w:r>
          </w:p>
        </w:tc>
        <w:tc>
          <w:tcPr>
            <w:tcW w:w="1460" w:type="dxa"/>
            <w:vAlign w:val="bottom"/>
          </w:tcPr>
          <w:p>
            <w:pPr>
              <w:jc w:val="right"/>
              <w:ind w:right="91"/>
              <w:spacing w:after="0"/>
              <w:rPr>
                <w:sz w:val="20"/>
                <w:szCs w:val="20"/>
                <w:color w:val="auto"/>
              </w:rPr>
            </w:pPr>
            <w:r>
              <w:rPr>
                <w:rFonts w:ascii="Arial" w:cs="Arial" w:eastAsia="Arial" w:hAnsi="Arial"/>
                <w:sz w:val="14"/>
                <w:szCs w:val="14"/>
                <w:color w:val="auto"/>
              </w:rPr>
              <w:t>50.46</w:t>
            </w: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57.84</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68.08</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76.63</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62.61</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56.85</w:t>
            </w: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Natural gas, per thousand cubic feet</w:t>
            </w:r>
          </w:p>
        </w:tc>
        <w:tc>
          <w:tcPr>
            <w:tcW w:w="1460" w:type="dxa"/>
            <w:vAlign w:val="bottom"/>
          </w:tcPr>
          <w:p>
            <w:pPr>
              <w:jc w:val="right"/>
              <w:ind w:right="91"/>
              <w:spacing w:after="0"/>
              <w:rPr>
                <w:sz w:val="20"/>
                <w:szCs w:val="20"/>
                <w:color w:val="auto"/>
              </w:rPr>
            </w:pPr>
            <w:r>
              <w:rPr>
                <w:rFonts w:ascii="Arial" w:cs="Arial" w:eastAsia="Arial" w:hAnsi="Arial"/>
                <w:sz w:val="14"/>
                <w:szCs w:val="14"/>
                <w:color w:val="auto"/>
              </w:rPr>
              <w:t>2.15</w:t>
            </w: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1.98</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9.33</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2.77</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7.64</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4.39</w:t>
            </w: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Bitumen, per barrel</w:t>
            </w:r>
          </w:p>
        </w:tc>
        <w:tc>
          <w:tcPr>
            <w:tcW w:w="14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58.91</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72"/>
        </w:trPr>
        <w:tc>
          <w:tcPr>
            <w:tcW w:w="4400" w:type="dxa"/>
            <w:vAlign w:val="bottom"/>
          </w:tcPr>
          <w:p>
            <w:pPr>
              <w:ind w:left="700"/>
              <w:spacing w:after="0"/>
              <w:rPr>
                <w:sz w:val="20"/>
                <w:szCs w:val="20"/>
                <w:color w:val="auto"/>
              </w:rPr>
            </w:pPr>
            <w:r>
              <w:rPr>
                <w:rFonts w:ascii="Arial" w:cs="Arial" w:eastAsia="Arial" w:hAnsi="Arial"/>
                <w:sz w:val="14"/>
                <w:szCs w:val="14"/>
                <w:color w:val="auto"/>
              </w:rPr>
              <w:t>Synthetic oil, per barrel</w:t>
            </w:r>
          </w:p>
        </w:tc>
        <w:tc>
          <w:tcPr>
            <w:tcW w:w="14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92.77</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72"/>
        </w:trPr>
        <w:tc>
          <w:tcPr>
            <w:tcW w:w="4400" w:type="dxa"/>
            <w:vAlign w:val="bottom"/>
          </w:tcPr>
          <w:p>
            <w:pPr>
              <w:ind w:left="480"/>
              <w:spacing w:after="0"/>
              <w:rPr>
                <w:sz w:val="20"/>
                <w:szCs w:val="20"/>
                <w:color w:val="auto"/>
              </w:rPr>
            </w:pPr>
            <w:r>
              <w:rPr>
                <w:rFonts w:ascii="Arial" w:cs="Arial" w:eastAsia="Arial" w:hAnsi="Arial"/>
                <w:sz w:val="14"/>
                <w:szCs w:val="14"/>
                <w:color w:val="auto"/>
              </w:rPr>
              <w:t>Average production costs, per oil-equivalent barrel - total</w:t>
            </w:r>
          </w:p>
        </w:tc>
        <w:tc>
          <w:tcPr>
            <w:tcW w:w="1460" w:type="dxa"/>
            <w:vAlign w:val="bottom"/>
          </w:tcPr>
          <w:p>
            <w:pPr>
              <w:jc w:val="right"/>
              <w:ind w:right="91"/>
              <w:spacing w:after="0"/>
              <w:rPr>
                <w:sz w:val="20"/>
                <w:szCs w:val="20"/>
                <w:color w:val="auto"/>
              </w:rPr>
            </w:pPr>
            <w:r>
              <w:rPr>
                <w:rFonts w:ascii="Arial" w:cs="Arial" w:eastAsia="Arial" w:hAnsi="Arial"/>
                <w:sz w:val="14"/>
                <w:szCs w:val="14"/>
                <w:color w:val="auto"/>
              </w:rPr>
              <w:t>11.68</w:t>
            </w: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26.94</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10.34</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13.35</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3.74</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12.11</w:t>
            </w:r>
          </w:p>
        </w:tc>
        <w:tc>
          <w:tcPr>
            <w:tcW w:w="260" w:type="dxa"/>
            <w:vAlign w:val="bottom"/>
          </w:tcPr>
          <w:p>
            <w:pPr>
              <w:spacing w:after="0"/>
              <w:rPr>
                <w:sz w:val="14"/>
                <w:szCs w:val="14"/>
                <w:color w:val="auto"/>
              </w:rPr>
            </w:pPr>
          </w:p>
        </w:tc>
      </w:tr>
      <w:tr>
        <w:trPr>
          <w:trHeight w:val="172"/>
        </w:trPr>
        <w:tc>
          <w:tcPr>
            <w:tcW w:w="4400" w:type="dxa"/>
            <w:vAlign w:val="bottom"/>
          </w:tcPr>
          <w:p>
            <w:pPr>
              <w:ind w:left="480"/>
              <w:spacing w:after="0"/>
              <w:rPr>
                <w:sz w:val="20"/>
                <w:szCs w:val="20"/>
                <w:color w:val="auto"/>
              </w:rPr>
            </w:pPr>
            <w:r>
              <w:rPr>
                <w:rFonts w:ascii="Arial" w:cs="Arial" w:eastAsia="Arial" w:hAnsi="Arial"/>
                <w:sz w:val="14"/>
                <w:szCs w:val="14"/>
                <w:color w:val="auto"/>
              </w:rPr>
              <w:t>Average production costs, per barrel - bitumen</w:t>
            </w:r>
          </w:p>
        </w:tc>
        <w:tc>
          <w:tcPr>
            <w:tcW w:w="14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23.71</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176"/>
        </w:trPr>
        <w:tc>
          <w:tcPr>
            <w:tcW w:w="4400" w:type="dxa"/>
            <w:vAlign w:val="bottom"/>
          </w:tcPr>
          <w:p>
            <w:pPr>
              <w:ind w:left="480"/>
              <w:spacing w:after="0"/>
              <w:rPr>
                <w:sz w:val="20"/>
                <w:szCs w:val="20"/>
                <w:color w:val="auto"/>
              </w:rPr>
            </w:pPr>
            <w:r>
              <w:rPr>
                <w:rFonts w:ascii="Arial" w:cs="Arial" w:eastAsia="Arial" w:hAnsi="Arial"/>
                <w:sz w:val="14"/>
                <w:szCs w:val="14"/>
                <w:color w:val="auto"/>
              </w:rPr>
              <w:t>Average production costs, per barrel - synthetic oil</w:t>
            </w:r>
          </w:p>
        </w:tc>
        <w:tc>
          <w:tcPr>
            <w:tcW w:w="14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47.45</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r>
    </w:tbl>
    <w:p>
      <w:pPr>
        <w:spacing w:after="0" w:line="32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Average production prices have been calculated by using sales quantities from the Corporation’s own production as the divisor. Average production costs have been co by using net production quantities for the divisor. The volumes of crude oil and natural gas liquids (NGL) production used for this computation are shown in the oil production table in section 3.A. The volumes of natural gas used in the calculation are the production volumes of natural gas available for sale and are also shown in 3.A. The natural gas available for sale volumes are different from those shown in the reserves table in the “Oil and Gas Reserves” part of the “Supplemental Informa Oil and Gas Exploration and Production Activities” portion of the Financial Section of this report due to volumes consumed or flared. Gas is converted to an oil-eq basis at six million cubic feet per one thousand barrels.</w:t>
      </w:r>
    </w:p>
    <w:p>
      <w:pPr>
        <w:jc w:val="center"/>
        <w:ind w:left="11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661" w:right="139" w:bottom="1440" w:gutter="0" w:footer="0" w:header="0"/>
        </w:sectPr>
      </w:pPr>
    </w:p>
    <w:bookmarkStart w:id="12" w:name="page13"/>
    <w:bookmarkEnd w:id="12"/>
    <w:p>
      <w:pPr>
        <w:ind w:left="580" w:right="6620" w:firstLine="6"/>
        <w:spacing w:after="0" w:line="429" w:lineRule="auto"/>
        <w:tabs>
          <w:tab w:leader="none" w:pos="743"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Drilling and Other Exploratory and Development Activities A. Number of Net Productive and Dry Wells Drilled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660" w:type="dxa"/>
            <w:vAlign w:val="bottom"/>
            <w:gridSpan w:val="2"/>
          </w:tcPr>
          <w:p>
            <w:pPr>
              <w:jc w:val="right"/>
              <w:ind w:right="578"/>
              <w:spacing w:after="0"/>
              <w:rPr>
                <w:sz w:val="20"/>
                <w:szCs w:val="20"/>
                <w:color w:val="auto"/>
              </w:rPr>
            </w:pPr>
            <w:r>
              <w:rPr>
                <w:rFonts w:ascii="Arial" w:cs="Arial" w:eastAsia="Arial" w:hAnsi="Arial"/>
                <w:sz w:val="13"/>
                <w:szCs w:val="13"/>
                <w:b w:val="1"/>
                <w:bCs w:val="1"/>
                <w:color w:val="auto"/>
              </w:rPr>
              <w:t>2014</w:t>
            </w:r>
          </w:p>
        </w:tc>
        <w:tc>
          <w:tcPr>
            <w:tcW w:w="1960" w:type="dxa"/>
            <w:vAlign w:val="bottom"/>
          </w:tcPr>
          <w:p>
            <w:pPr>
              <w:jc w:val="right"/>
              <w:ind w:right="959"/>
              <w:spacing w:after="0"/>
              <w:rPr>
                <w:sz w:val="20"/>
                <w:szCs w:val="20"/>
                <w:color w:val="auto"/>
              </w:rPr>
            </w:pPr>
            <w:r>
              <w:rPr>
                <w:rFonts w:ascii="Arial" w:cs="Arial" w:eastAsia="Arial" w:hAnsi="Arial"/>
                <w:sz w:val="13"/>
                <w:szCs w:val="13"/>
                <w:b w:val="1"/>
                <w:bCs w:val="1"/>
                <w:color w:val="auto"/>
              </w:rPr>
              <w:t>2013</w:t>
            </w:r>
          </w:p>
        </w:tc>
        <w:tc>
          <w:tcPr>
            <w:tcW w:w="60" w:type="dxa"/>
            <w:vAlign w:val="bottom"/>
          </w:tcPr>
          <w:p>
            <w:pPr>
              <w:spacing w:after="0"/>
              <w:rPr>
                <w:sz w:val="14"/>
                <w:szCs w:val="14"/>
                <w:color w:val="auto"/>
              </w:rPr>
            </w:pPr>
          </w:p>
        </w:tc>
      </w:tr>
      <w:tr>
        <w:trPr>
          <w:trHeight w:val="23"/>
        </w:trPr>
        <w:tc>
          <w:tcPr>
            <w:tcW w:w="580" w:type="dxa"/>
            <w:vAlign w:val="bottom"/>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368"/>
        </w:trPr>
        <w:tc>
          <w:tcPr>
            <w:tcW w:w="58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6"/>
                <w:szCs w:val="16"/>
                <w:b w:val="1"/>
                <w:bCs w:val="1"/>
                <w:color w:val="auto"/>
              </w:rPr>
              <w:t>Net Productive Exploratory Wells Drilled</w:t>
            </w:r>
          </w:p>
        </w:tc>
        <w:tc>
          <w:tcPr>
            <w:tcW w:w="3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0"/>
        </w:trPr>
        <w:tc>
          <w:tcPr>
            <w:tcW w:w="580" w:type="dxa"/>
            <w:vAlign w:val="bottom"/>
          </w:tcPr>
          <w:p>
            <w:pPr>
              <w:spacing w:after="0"/>
              <w:rPr>
                <w:sz w:val="17"/>
                <w:szCs w:val="17"/>
                <w:color w:val="auto"/>
              </w:rPr>
            </w:pPr>
          </w:p>
        </w:tc>
        <w:tc>
          <w:tcPr>
            <w:tcW w:w="4260" w:type="dxa"/>
            <w:vAlign w:val="bottom"/>
          </w:tcPr>
          <w:p>
            <w:pPr>
              <w:ind w:left="240"/>
              <w:spacing w:after="0"/>
              <w:rPr>
                <w:sz w:val="20"/>
                <w:szCs w:val="20"/>
                <w:color w:val="auto"/>
              </w:rPr>
            </w:pPr>
            <w:r>
              <w:rPr>
                <w:rFonts w:ascii="Arial" w:cs="Arial" w:eastAsia="Arial" w:hAnsi="Arial"/>
                <w:sz w:val="16"/>
                <w:szCs w:val="16"/>
                <w:b w:val="1"/>
                <w:bCs w:val="1"/>
                <w:color w:val="auto"/>
              </w:rPr>
              <w:t>Consolidated Subsidiaries</w:t>
            </w:r>
          </w:p>
        </w:tc>
        <w:tc>
          <w:tcPr>
            <w:tcW w:w="3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260" w:type="dxa"/>
            <w:vAlign w:val="bottom"/>
          </w:tcPr>
          <w:p>
            <w:pPr>
              <w:ind w:left="480"/>
              <w:spacing w:after="0"/>
              <w:rPr>
                <w:sz w:val="20"/>
                <w:szCs w:val="20"/>
                <w:color w:val="auto"/>
              </w:rPr>
            </w:pPr>
            <w:r>
              <w:rPr>
                <w:rFonts w:ascii="Arial" w:cs="Arial" w:eastAsia="Arial" w:hAnsi="Arial"/>
                <w:sz w:val="16"/>
                <w:szCs w:val="16"/>
                <w:color w:val="auto"/>
              </w:rPr>
              <w:t>United States</w:t>
            </w:r>
          </w:p>
        </w:tc>
        <w:tc>
          <w:tcPr>
            <w:tcW w:w="4660" w:type="dxa"/>
            <w:vAlign w:val="bottom"/>
            <w:gridSpan w:val="2"/>
          </w:tcPr>
          <w:p>
            <w:pPr>
              <w:jc w:val="right"/>
              <w:ind w:right="638"/>
              <w:spacing w:after="0"/>
              <w:rPr>
                <w:sz w:val="20"/>
                <w:szCs w:val="20"/>
                <w:color w:val="auto"/>
              </w:rPr>
            </w:pPr>
            <w:r>
              <w:rPr>
                <w:rFonts w:ascii="Arial" w:cs="Arial" w:eastAsia="Arial" w:hAnsi="Arial"/>
                <w:sz w:val="16"/>
                <w:szCs w:val="16"/>
                <w:color w:val="auto"/>
              </w:rPr>
              <w:t>3</w:t>
            </w:r>
          </w:p>
        </w:tc>
        <w:tc>
          <w:tcPr>
            <w:tcW w:w="1960" w:type="dxa"/>
            <w:vAlign w:val="bottom"/>
          </w:tcPr>
          <w:p>
            <w:pPr>
              <w:jc w:val="right"/>
              <w:ind w:right="999"/>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260" w:type="dxa"/>
            <w:vAlign w:val="bottom"/>
          </w:tcPr>
          <w:p>
            <w:pPr>
              <w:ind w:left="480"/>
              <w:spacing w:after="0"/>
              <w:rPr>
                <w:sz w:val="20"/>
                <w:szCs w:val="20"/>
                <w:color w:val="auto"/>
              </w:rPr>
            </w:pPr>
            <w:r>
              <w:rPr>
                <w:rFonts w:ascii="Arial" w:cs="Arial" w:eastAsia="Arial" w:hAnsi="Arial"/>
                <w:sz w:val="16"/>
                <w:szCs w:val="16"/>
                <w:color w:val="auto"/>
              </w:rPr>
              <w:t>Canada/South America</w:t>
            </w:r>
          </w:p>
        </w:tc>
        <w:tc>
          <w:tcPr>
            <w:tcW w:w="4660" w:type="dxa"/>
            <w:vAlign w:val="bottom"/>
            <w:gridSpan w:val="2"/>
          </w:tcPr>
          <w:p>
            <w:pPr>
              <w:jc w:val="right"/>
              <w:ind w:right="638"/>
              <w:spacing w:after="0"/>
              <w:rPr>
                <w:sz w:val="20"/>
                <w:szCs w:val="20"/>
                <w:color w:val="auto"/>
              </w:rPr>
            </w:pPr>
            <w:r>
              <w:rPr>
                <w:rFonts w:ascii="Arial" w:cs="Arial" w:eastAsia="Arial" w:hAnsi="Arial"/>
                <w:sz w:val="16"/>
                <w:szCs w:val="16"/>
                <w:color w:val="auto"/>
              </w:rPr>
              <w:t>3</w:t>
            </w:r>
          </w:p>
        </w:tc>
        <w:tc>
          <w:tcPr>
            <w:tcW w:w="1960" w:type="dxa"/>
            <w:vAlign w:val="bottom"/>
          </w:tcPr>
          <w:p>
            <w:pPr>
              <w:jc w:val="right"/>
              <w:ind w:right="999"/>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260" w:type="dxa"/>
            <w:vAlign w:val="bottom"/>
          </w:tcPr>
          <w:p>
            <w:pPr>
              <w:ind w:left="480"/>
              <w:spacing w:after="0"/>
              <w:rPr>
                <w:sz w:val="20"/>
                <w:szCs w:val="20"/>
                <w:color w:val="auto"/>
              </w:rPr>
            </w:pPr>
            <w:r>
              <w:rPr>
                <w:rFonts w:ascii="Arial" w:cs="Arial" w:eastAsia="Arial" w:hAnsi="Arial"/>
                <w:sz w:val="16"/>
                <w:szCs w:val="16"/>
                <w:color w:val="auto"/>
              </w:rPr>
              <w:t>Europe</w:t>
            </w:r>
          </w:p>
        </w:tc>
        <w:tc>
          <w:tcPr>
            <w:tcW w:w="4660" w:type="dxa"/>
            <w:vAlign w:val="bottom"/>
            <w:gridSpan w:val="2"/>
          </w:tcPr>
          <w:p>
            <w:pPr>
              <w:jc w:val="right"/>
              <w:ind w:right="638"/>
              <w:spacing w:after="0"/>
              <w:rPr>
                <w:sz w:val="20"/>
                <w:szCs w:val="20"/>
                <w:color w:val="auto"/>
              </w:rPr>
            </w:pPr>
            <w:r>
              <w:rPr>
                <w:rFonts w:ascii="Arial" w:cs="Arial" w:eastAsia="Arial" w:hAnsi="Arial"/>
                <w:sz w:val="16"/>
                <w:szCs w:val="16"/>
                <w:color w:val="auto"/>
              </w:rPr>
              <w:t>1</w:t>
            </w:r>
          </w:p>
        </w:tc>
        <w:tc>
          <w:tcPr>
            <w:tcW w:w="196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260" w:type="dxa"/>
            <w:vAlign w:val="bottom"/>
          </w:tcPr>
          <w:p>
            <w:pPr>
              <w:ind w:left="480"/>
              <w:spacing w:after="0"/>
              <w:rPr>
                <w:sz w:val="20"/>
                <w:szCs w:val="20"/>
                <w:color w:val="auto"/>
              </w:rPr>
            </w:pPr>
            <w:r>
              <w:rPr>
                <w:rFonts w:ascii="Arial" w:cs="Arial" w:eastAsia="Arial" w:hAnsi="Arial"/>
                <w:sz w:val="16"/>
                <w:szCs w:val="16"/>
                <w:color w:val="auto"/>
              </w:rPr>
              <w:t>Africa</w:t>
            </w:r>
          </w:p>
        </w:tc>
        <w:tc>
          <w:tcPr>
            <w:tcW w:w="4660" w:type="dxa"/>
            <w:vAlign w:val="bottom"/>
            <w:gridSpan w:val="2"/>
          </w:tcPr>
          <w:p>
            <w:pPr>
              <w:jc w:val="right"/>
              <w:ind w:right="638"/>
              <w:spacing w:after="0"/>
              <w:rPr>
                <w:sz w:val="20"/>
                <w:szCs w:val="20"/>
                <w:color w:val="auto"/>
              </w:rPr>
            </w:pPr>
            <w:r>
              <w:rPr>
                <w:rFonts w:ascii="Arial" w:cs="Arial" w:eastAsia="Arial" w:hAnsi="Arial"/>
                <w:sz w:val="16"/>
                <w:szCs w:val="16"/>
                <w:color w:val="auto"/>
              </w:rPr>
              <w:t>2</w:t>
            </w:r>
          </w:p>
        </w:tc>
        <w:tc>
          <w:tcPr>
            <w:tcW w:w="1960" w:type="dxa"/>
            <w:vAlign w:val="bottom"/>
          </w:tcPr>
          <w:p>
            <w:pPr>
              <w:jc w:val="right"/>
              <w:ind w:right="999"/>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260" w:type="dxa"/>
            <w:vAlign w:val="bottom"/>
          </w:tcPr>
          <w:p>
            <w:pPr>
              <w:ind w:left="480"/>
              <w:spacing w:after="0"/>
              <w:rPr>
                <w:sz w:val="20"/>
                <w:szCs w:val="20"/>
                <w:color w:val="auto"/>
              </w:rPr>
            </w:pPr>
            <w:r>
              <w:rPr>
                <w:rFonts w:ascii="Arial" w:cs="Arial" w:eastAsia="Arial" w:hAnsi="Arial"/>
                <w:sz w:val="16"/>
                <w:szCs w:val="16"/>
                <w:color w:val="auto"/>
              </w:rPr>
              <w:t>Asia</w:t>
            </w:r>
          </w:p>
        </w:tc>
        <w:tc>
          <w:tcPr>
            <w:tcW w:w="4660" w:type="dxa"/>
            <w:vAlign w:val="bottom"/>
            <w:gridSpan w:val="2"/>
          </w:tcPr>
          <w:p>
            <w:pPr>
              <w:jc w:val="right"/>
              <w:ind w:right="638"/>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208"/>
        </w:trPr>
        <w:tc>
          <w:tcPr>
            <w:tcW w:w="580" w:type="dxa"/>
            <w:vAlign w:val="bottom"/>
          </w:tcPr>
          <w:p>
            <w:pPr>
              <w:spacing w:after="0"/>
              <w:rPr>
                <w:sz w:val="18"/>
                <w:szCs w:val="18"/>
                <w:color w:val="auto"/>
              </w:rPr>
            </w:pPr>
          </w:p>
        </w:tc>
        <w:tc>
          <w:tcPr>
            <w:tcW w:w="4260" w:type="dxa"/>
            <w:vAlign w:val="bottom"/>
          </w:tcPr>
          <w:p>
            <w:pPr>
              <w:ind w:left="480"/>
              <w:spacing w:after="0"/>
              <w:rPr>
                <w:sz w:val="20"/>
                <w:szCs w:val="20"/>
                <w:color w:val="auto"/>
              </w:rPr>
            </w:pPr>
            <w:r>
              <w:rPr>
                <w:rFonts w:ascii="Arial" w:cs="Arial" w:eastAsia="Arial" w:hAnsi="Arial"/>
                <w:sz w:val="16"/>
                <w:szCs w:val="16"/>
                <w:color w:val="auto"/>
              </w:rPr>
              <w:t>Australia/Oceania</w:t>
            </w:r>
          </w:p>
        </w:tc>
        <w:tc>
          <w:tcPr>
            <w:tcW w:w="4660" w:type="dxa"/>
            <w:vAlign w:val="bottom"/>
            <w:gridSpan w:val="2"/>
          </w:tcPr>
          <w:p>
            <w:pPr>
              <w:jc w:val="right"/>
              <w:ind w:right="638"/>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201"/>
        </w:trPr>
        <w:tc>
          <w:tcPr>
            <w:tcW w:w="580" w:type="dxa"/>
            <w:vAlign w:val="bottom"/>
          </w:tcPr>
          <w:p>
            <w:pPr>
              <w:spacing w:after="0"/>
              <w:rPr>
                <w:sz w:val="17"/>
                <w:szCs w:val="17"/>
                <w:color w:val="auto"/>
              </w:rPr>
            </w:pPr>
          </w:p>
        </w:tc>
        <w:tc>
          <w:tcPr>
            <w:tcW w:w="4260" w:type="dxa"/>
            <w:vAlign w:val="bottom"/>
          </w:tcPr>
          <w:p>
            <w:pPr>
              <w:ind w:left="700"/>
              <w:spacing w:after="0"/>
              <w:rPr>
                <w:sz w:val="20"/>
                <w:szCs w:val="20"/>
                <w:color w:val="auto"/>
              </w:rPr>
            </w:pPr>
            <w:r>
              <w:rPr>
                <w:rFonts w:ascii="Arial" w:cs="Arial" w:eastAsia="Arial" w:hAnsi="Arial"/>
                <w:sz w:val="16"/>
                <w:szCs w:val="16"/>
                <w:color w:val="auto"/>
              </w:rPr>
              <w:t>Total Consolidated Subsidiaries</w:t>
            </w:r>
          </w:p>
        </w:tc>
        <w:tc>
          <w:tcPr>
            <w:tcW w:w="3200" w:type="dxa"/>
            <w:vAlign w:val="bottom"/>
          </w:tcPr>
          <w:p>
            <w:pPr>
              <w:spacing w:after="0"/>
              <w:rPr>
                <w:sz w:val="17"/>
                <w:szCs w:val="17"/>
                <w:color w:val="auto"/>
              </w:rPr>
            </w:pPr>
          </w:p>
        </w:tc>
        <w:tc>
          <w:tcPr>
            <w:tcW w:w="1460" w:type="dxa"/>
            <w:vAlign w:val="bottom"/>
            <w:tcBorders>
              <w:top w:val="single" w:sz="8" w:color="auto"/>
            </w:tcBorders>
          </w:tcPr>
          <w:p>
            <w:pPr>
              <w:jc w:val="right"/>
              <w:ind w:right="638"/>
              <w:spacing w:after="0"/>
              <w:rPr>
                <w:sz w:val="20"/>
                <w:szCs w:val="20"/>
                <w:color w:val="auto"/>
              </w:rPr>
            </w:pPr>
            <w:r>
              <w:rPr>
                <w:rFonts w:ascii="Arial" w:cs="Arial" w:eastAsia="Arial" w:hAnsi="Arial"/>
                <w:sz w:val="16"/>
                <w:szCs w:val="16"/>
                <w:color w:val="auto"/>
              </w:rPr>
              <w:t>9</w:t>
            </w:r>
          </w:p>
        </w:tc>
        <w:tc>
          <w:tcPr>
            <w:tcW w:w="1960" w:type="dxa"/>
            <w:vAlign w:val="bottom"/>
            <w:tcBorders>
              <w:top w:val="single" w:sz="8" w:color="auto"/>
            </w:tcBorders>
          </w:tcPr>
          <w:p>
            <w:pPr>
              <w:jc w:val="right"/>
              <w:ind w:right="999"/>
              <w:spacing w:after="0"/>
              <w:rPr>
                <w:sz w:val="20"/>
                <w:szCs w:val="20"/>
                <w:color w:val="auto"/>
              </w:rPr>
            </w:pPr>
            <w:r>
              <w:rPr>
                <w:rFonts w:ascii="Arial" w:cs="Arial" w:eastAsia="Arial" w:hAnsi="Arial"/>
                <w:sz w:val="16"/>
                <w:szCs w:val="16"/>
                <w:color w:val="auto"/>
              </w:rPr>
              <w:t>14</w:t>
            </w:r>
          </w:p>
        </w:tc>
        <w:tc>
          <w:tcPr>
            <w:tcW w:w="60" w:type="dxa"/>
            <w:vAlign w:val="bottom"/>
            <w:tcBorders>
              <w:top w:val="single" w:sz="8" w:color="auto"/>
            </w:tcBorders>
          </w:tcPr>
          <w:p>
            <w:pPr>
              <w:spacing w:after="0"/>
              <w:rPr>
                <w:sz w:val="17"/>
                <w:szCs w:val="17"/>
                <w:color w:val="auto"/>
              </w:rPr>
            </w:pPr>
          </w:p>
        </w:tc>
      </w:tr>
      <w:tr>
        <w:trPr>
          <w:trHeight w:val="368"/>
        </w:trPr>
        <w:tc>
          <w:tcPr>
            <w:tcW w:w="580" w:type="dxa"/>
            <w:vAlign w:val="bottom"/>
          </w:tcPr>
          <w:p>
            <w:pPr>
              <w:spacing w:after="0"/>
              <w:rPr>
                <w:sz w:val="24"/>
                <w:szCs w:val="24"/>
                <w:color w:val="auto"/>
              </w:rPr>
            </w:pPr>
          </w:p>
        </w:tc>
        <w:tc>
          <w:tcPr>
            <w:tcW w:w="4260" w:type="dxa"/>
            <w:vAlign w:val="bottom"/>
          </w:tcPr>
          <w:p>
            <w:pPr>
              <w:ind w:left="240"/>
              <w:spacing w:after="0"/>
              <w:rPr>
                <w:sz w:val="20"/>
                <w:szCs w:val="20"/>
                <w:color w:val="auto"/>
              </w:rPr>
            </w:pPr>
            <w:r>
              <w:rPr>
                <w:rFonts w:ascii="Arial" w:cs="Arial" w:eastAsia="Arial" w:hAnsi="Arial"/>
                <w:sz w:val="16"/>
                <w:szCs w:val="16"/>
                <w:b w:val="1"/>
                <w:bCs w:val="1"/>
                <w:color w:val="auto"/>
              </w:rPr>
              <w:t>Equity Companies</w:t>
            </w:r>
          </w:p>
        </w:tc>
        <w:tc>
          <w:tcPr>
            <w:tcW w:w="3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4260" w:type="dxa"/>
            <w:vAlign w:val="bottom"/>
          </w:tcPr>
          <w:p>
            <w:pPr>
              <w:ind w:left="480"/>
              <w:spacing w:after="0"/>
              <w:rPr>
                <w:sz w:val="20"/>
                <w:szCs w:val="20"/>
                <w:color w:val="auto"/>
              </w:rPr>
            </w:pPr>
            <w:r>
              <w:rPr>
                <w:rFonts w:ascii="Arial" w:cs="Arial" w:eastAsia="Arial" w:hAnsi="Arial"/>
                <w:sz w:val="16"/>
                <w:szCs w:val="16"/>
                <w:color w:val="auto"/>
              </w:rPr>
              <w:t>United States</w:t>
            </w:r>
          </w:p>
        </w:tc>
        <w:tc>
          <w:tcPr>
            <w:tcW w:w="4660" w:type="dxa"/>
            <w:vAlign w:val="bottom"/>
            <w:gridSpan w:val="2"/>
          </w:tcPr>
          <w:p>
            <w:pPr>
              <w:jc w:val="right"/>
              <w:ind w:right="638"/>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260" w:type="dxa"/>
            <w:vAlign w:val="bottom"/>
          </w:tcPr>
          <w:p>
            <w:pPr>
              <w:ind w:left="480"/>
              <w:spacing w:after="0"/>
              <w:rPr>
                <w:sz w:val="20"/>
                <w:szCs w:val="20"/>
                <w:color w:val="auto"/>
              </w:rPr>
            </w:pPr>
            <w:r>
              <w:rPr>
                <w:rFonts w:ascii="Arial" w:cs="Arial" w:eastAsia="Arial" w:hAnsi="Arial"/>
                <w:sz w:val="16"/>
                <w:szCs w:val="16"/>
                <w:color w:val="auto"/>
              </w:rPr>
              <w:t>Europe</w:t>
            </w:r>
          </w:p>
        </w:tc>
        <w:tc>
          <w:tcPr>
            <w:tcW w:w="4660" w:type="dxa"/>
            <w:vAlign w:val="bottom"/>
            <w:gridSpan w:val="2"/>
          </w:tcPr>
          <w:p>
            <w:pPr>
              <w:jc w:val="right"/>
              <w:ind w:right="638"/>
              <w:spacing w:after="0"/>
              <w:rPr>
                <w:sz w:val="20"/>
                <w:szCs w:val="20"/>
                <w:color w:val="auto"/>
              </w:rPr>
            </w:pPr>
            <w:r>
              <w:rPr>
                <w:rFonts w:ascii="Arial" w:cs="Arial" w:eastAsia="Arial" w:hAnsi="Arial"/>
                <w:sz w:val="16"/>
                <w:szCs w:val="16"/>
                <w:color w:val="auto"/>
              </w:rPr>
              <w:t>2</w:t>
            </w:r>
          </w:p>
        </w:tc>
        <w:tc>
          <w:tcPr>
            <w:tcW w:w="1960" w:type="dxa"/>
            <w:vAlign w:val="bottom"/>
          </w:tcPr>
          <w:p>
            <w:pPr>
              <w:jc w:val="right"/>
              <w:ind w:right="999"/>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7"/>
                <w:szCs w:val="17"/>
                <w:color w:val="auto"/>
              </w:rPr>
            </w:pPr>
          </w:p>
        </w:tc>
      </w:tr>
      <w:tr>
        <w:trPr>
          <w:trHeight w:val="208"/>
        </w:trPr>
        <w:tc>
          <w:tcPr>
            <w:tcW w:w="580" w:type="dxa"/>
            <w:vAlign w:val="bottom"/>
          </w:tcPr>
          <w:p>
            <w:pPr>
              <w:spacing w:after="0"/>
              <w:rPr>
                <w:sz w:val="18"/>
                <w:szCs w:val="18"/>
                <w:color w:val="auto"/>
              </w:rPr>
            </w:pPr>
          </w:p>
        </w:tc>
        <w:tc>
          <w:tcPr>
            <w:tcW w:w="4260" w:type="dxa"/>
            <w:vAlign w:val="bottom"/>
          </w:tcPr>
          <w:p>
            <w:pPr>
              <w:ind w:left="480"/>
              <w:spacing w:after="0"/>
              <w:rPr>
                <w:sz w:val="20"/>
                <w:szCs w:val="20"/>
                <w:color w:val="auto"/>
              </w:rPr>
            </w:pPr>
            <w:r>
              <w:rPr>
                <w:rFonts w:ascii="Arial" w:cs="Arial" w:eastAsia="Arial" w:hAnsi="Arial"/>
                <w:sz w:val="16"/>
                <w:szCs w:val="16"/>
                <w:color w:val="auto"/>
              </w:rPr>
              <w:t>Asia</w:t>
            </w:r>
          </w:p>
        </w:tc>
        <w:tc>
          <w:tcPr>
            <w:tcW w:w="4660" w:type="dxa"/>
            <w:vAlign w:val="bottom"/>
            <w:gridSpan w:val="2"/>
          </w:tcPr>
          <w:p>
            <w:pPr>
              <w:jc w:val="right"/>
              <w:ind w:right="638"/>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999"/>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8"/>
                <w:szCs w:val="18"/>
                <w:color w:val="auto"/>
              </w:rPr>
            </w:pPr>
          </w:p>
        </w:tc>
      </w:tr>
      <w:tr>
        <w:trPr>
          <w:trHeight w:val="189"/>
        </w:trPr>
        <w:tc>
          <w:tcPr>
            <w:tcW w:w="580" w:type="dxa"/>
            <w:vAlign w:val="bottom"/>
          </w:tcPr>
          <w:p>
            <w:pPr>
              <w:spacing w:after="0"/>
              <w:rPr>
                <w:sz w:val="16"/>
                <w:szCs w:val="16"/>
                <w:color w:val="auto"/>
              </w:rPr>
            </w:pPr>
          </w:p>
        </w:tc>
        <w:tc>
          <w:tcPr>
            <w:tcW w:w="4260" w:type="dxa"/>
            <w:vAlign w:val="bottom"/>
          </w:tcPr>
          <w:p>
            <w:pPr>
              <w:ind w:left="700"/>
              <w:spacing w:after="0"/>
              <w:rPr>
                <w:sz w:val="20"/>
                <w:szCs w:val="20"/>
                <w:color w:val="auto"/>
              </w:rPr>
            </w:pPr>
            <w:r>
              <w:rPr>
                <w:rFonts w:ascii="Arial" w:cs="Arial" w:eastAsia="Arial" w:hAnsi="Arial"/>
                <w:sz w:val="16"/>
                <w:szCs w:val="16"/>
                <w:color w:val="auto"/>
              </w:rPr>
              <w:t>Total Equity Companies</w:t>
            </w:r>
          </w:p>
        </w:tc>
        <w:tc>
          <w:tcPr>
            <w:tcW w:w="3200" w:type="dxa"/>
            <w:vAlign w:val="bottom"/>
          </w:tcPr>
          <w:p>
            <w:pPr>
              <w:spacing w:after="0"/>
              <w:rPr>
                <w:sz w:val="16"/>
                <w:szCs w:val="16"/>
                <w:color w:val="auto"/>
              </w:rPr>
            </w:pPr>
          </w:p>
        </w:tc>
        <w:tc>
          <w:tcPr>
            <w:tcW w:w="1460" w:type="dxa"/>
            <w:vAlign w:val="bottom"/>
            <w:tcBorders>
              <w:top w:val="single" w:sz="8" w:color="auto"/>
              <w:bottom w:val="single" w:sz="8" w:color="auto"/>
            </w:tcBorders>
          </w:tcPr>
          <w:p>
            <w:pPr>
              <w:jc w:val="right"/>
              <w:ind w:right="638"/>
              <w:spacing w:after="0"/>
              <w:rPr>
                <w:sz w:val="20"/>
                <w:szCs w:val="20"/>
                <w:color w:val="auto"/>
              </w:rPr>
            </w:pPr>
            <w:r>
              <w:rPr>
                <w:rFonts w:ascii="Arial" w:cs="Arial" w:eastAsia="Arial" w:hAnsi="Arial"/>
                <w:sz w:val="16"/>
                <w:szCs w:val="16"/>
                <w:color w:val="auto"/>
              </w:rPr>
              <w:t>2</w:t>
            </w:r>
          </w:p>
        </w:tc>
        <w:tc>
          <w:tcPr>
            <w:tcW w:w="196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6"/>
                <w:szCs w:val="16"/>
                <w:color w:val="auto"/>
              </w:rPr>
              <w:t>2</w:t>
            </w:r>
          </w:p>
        </w:tc>
        <w:tc>
          <w:tcPr>
            <w:tcW w:w="60" w:type="dxa"/>
            <w:vAlign w:val="bottom"/>
            <w:tcBorders>
              <w:top w:val="single" w:sz="8" w:color="auto"/>
              <w:bottom w:val="single" w:sz="8" w:color="auto"/>
            </w:tcBorders>
          </w:tcPr>
          <w:p>
            <w:pPr>
              <w:spacing w:after="0"/>
              <w:rPr>
                <w:sz w:val="16"/>
                <w:szCs w:val="16"/>
                <w:color w:val="auto"/>
              </w:rPr>
            </w:pPr>
          </w:p>
        </w:tc>
      </w:tr>
      <w:tr>
        <w:trPr>
          <w:trHeight w:val="200"/>
        </w:trPr>
        <w:tc>
          <w:tcPr>
            <w:tcW w:w="58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6"/>
                <w:szCs w:val="16"/>
                <w:b w:val="1"/>
                <w:bCs w:val="1"/>
                <w:color w:val="auto"/>
              </w:rPr>
              <w:t>Total productive exploratory wells drilled</w:t>
            </w:r>
          </w:p>
        </w:tc>
        <w:tc>
          <w:tcPr>
            <w:tcW w:w="3200" w:type="dxa"/>
            <w:vAlign w:val="bottom"/>
          </w:tcPr>
          <w:p>
            <w:pPr>
              <w:spacing w:after="0"/>
              <w:rPr>
                <w:sz w:val="17"/>
                <w:szCs w:val="17"/>
                <w:color w:val="auto"/>
              </w:rPr>
            </w:pPr>
          </w:p>
        </w:tc>
        <w:tc>
          <w:tcPr>
            <w:tcW w:w="1460" w:type="dxa"/>
            <w:vAlign w:val="bottom"/>
          </w:tcPr>
          <w:p>
            <w:pPr>
              <w:jc w:val="right"/>
              <w:ind w:right="638"/>
              <w:spacing w:after="0"/>
              <w:rPr>
                <w:sz w:val="20"/>
                <w:szCs w:val="20"/>
                <w:color w:val="auto"/>
              </w:rPr>
            </w:pPr>
            <w:r>
              <w:rPr>
                <w:rFonts w:ascii="Arial" w:cs="Arial" w:eastAsia="Arial" w:hAnsi="Arial"/>
                <w:sz w:val="16"/>
                <w:szCs w:val="16"/>
                <w:color w:val="auto"/>
              </w:rPr>
              <w:t>11</w:t>
            </w:r>
          </w:p>
        </w:tc>
        <w:tc>
          <w:tcPr>
            <w:tcW w:w="1960" w:type="dxa"/>
            <w:vAlign w:val="bottom"/>
          </w:tcPr>
          <w:p>
            <w:pPr>
              <w:jc w:val="right"/>
              <w:ind w:right="999"/>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17"/>
                <w:szCs w:val="17"/>
                <w:color w:val="auto"/>
              </w:rPr>
            </w:pPr>
          </w:p>
        </w:tc>
      </w:tr>
      <w:tr>
        <w:trPr>
          <w:trHeight w:val="364"/>
        </w:trPr>
        <w:tc>
          <w:tcPr>
            <w:tcW w:w="58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6"/>
                <w:szCs w:val="16"/>
                <w:b w:val="1"/>
                <w:bCs w:val="1"/>
                <w:color w:val="auto"/>
              </w:rPr>
              <w:t>Net Dry Exploratory Wells Drilled</w:t>
            </w:r>
          </w:p>
        </w:tc>
        <w:tc>
          <w:tcPr>
            <w:tcW w:w="3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0"/>
        </w:trPr>
        <w:tc>
          <w:tcPr>
            <w:tcW w:w="580" w:type="dxa"/>
            <w:vAlign w:val="bottom"/>
          </w:tcPr>
          <w:p>
            <w:pPr>
              <w:spacing w:after="0"/>
              <w:rPr>
                <w:sz w:val="17"/>
                <w:szCs w:val="17"/>
                <w:color w:val="auto"/>
              </w:rPr>
            </w:pPr>
          </w:p>
        </w:tc>
        <w:tc>
          <w:tcPr>
            <w:tcW w:w="4260" w:type="dxa"/>
            <w:vAlign w:val="bottom"/>
          </w:tcPr>
          <w:p>
            <w:pPr>
              <w:ind w:left="240"/>
              <w:spacing w:after="0"/>
              <w:rPr>
                <w:sz w:val="20"/>
                <w:szCs w:val="20"/>
                <w:color w:val="auto"/>
              </w:rPr>
            </w:pPr>
            <w:r>
              <w:rPr>
                <w:rFonts w:ascii="Arial" w:cs="Arial" w:eastAsia="Arial" w:hAnsi="Arial"/>
                <w:sz w:val="16"/>
                <w:szCs w:val="16"/>
                <w:b w:val="1"/>
                <w:bCs w:val="1"/>
                <w:color w:val="auto"/>
              </w:rPr>
              <w:t>Consolidated Subsidiaries</w:t>
            </w:r>
          </w:p>
        </w:tc>
        <w:tc>
          <w:tcPr>
            <w:tcW w:w="3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260" w:type="dxa"/>
            <w:vAlign w:val="bottom"/>
          </w:tcPr>
          <w:p>
            <w:pPr>
              <w:ind w:left="480"/>
              <w:spacing w:after="0"/>
              <w:rPr>
                <w:sz w:val="20"/>
                <w:szCs w:val="20"/>
                <w:color w:val="auto"/>
              </w:rPr>
            </w:pPr>
            <w:r>
              <w:rPr>
                <w:rFonts w:ascii="Arial" w:cs="Arial" w:eastAsia="Arial" w:hAnsi="Arial"/>
                <w:sz w:val="16"/>
                <w:szCs w:val="16"/>
                <w:color w:val="auto"/>
              </w:rPr>
              <w:t>United States</w:t>
            </w:r>
          </w:p>
        </w:tc>
        <w:tc>
          <w:tcPr>
            <w:tcW w:w="4660" w:type="dxa"/>
            <w:vAlign w:val="bottom"/>
            <w:gridSpan w:val="2"/>
          </w:tcPr>
          <w:p>
            <w:pPr>
              <w:jc w:val="right"/>
              <w:ind w:right="638"/>
              <w:spacing w:after="0"/>
              <w:rPr>
                <w:sz w:val="20"/>
                <w:szCs w:val="20"/>
                <w:color w:val="auto"/>
              </w:rPr>
            </w:pPr>
            <w:r>
              <w:rPr>
                <w:rFonts w:ascii="Arial" w:cs="Arial" w:eastAsia="Arial" w:hAnsi="Arial"/>
                <w:sz w:val="16"/>
                <w:szCs w:val="16"/>
                <w:color w:val="auto"/>
              </w:rPr>
              <w:t>2</w:t>
            </w:r>
          </w:p>
        </w:tc>
        <w:tc>
          <w:tcPr>
            <w:tcW w:w="1960" w:type="dxa"/>
            <w:vAlign w:val="bottom"/>
          </w:tcPr>
          <w:p>
            <w:pPr>
              <w:jc w:val="right"/>
              <w:ind w:right="999"/>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260" w:type="dxa"/>
            <w:vAlign w:val="bottom"/>
          </w:tcPr>
          <w:p>
            <w:pPr>
              <w:ind w:left="480"/>
              <w:spacing w:after="0"/>
              <w:rPr>
                <w:sz w:val="20"/>
                <w:szCs w:val="20"/>
                <w:color w:val="auto"/>
              </w:rPr>
            </w:pPr>
            <w:r>
              <w:rPr>
                <w:rFonts w:ascii="Arial" w:cs="Arial" w:eastAsia="Arial" w:hAnsi="Arial"/>
                <w:sz w:val="16"/>
                <w:szCs w:val="16"/>
                <w:color w:val="auto"/>
              </w:rPr>
              <w:t>Canada/South America</w:t>
            </w:r>
          </w:p>
        </w:tc>
        <w:tc>
          <w:tcPr>
            <w:tcW w:w="4660" w:type="dxa"/>
            <w:vAlign w:val="bottom"/>
            <w:gridSpan w:val="2"/>
          </w:tcPr>
          <w:p>
            <w:pPr>
              <w:jc w:val="right"/>
              <w:ind w:right="638"/>
              <w:spacing w:after="0"/>
              <w:rPr>
                <w:sz w:val="20"/>
                <w:szCs w:val="20"/>
                <w:color w:val="auto"/>
              </w:rPr>
            </w:pPr>
            <w:r>
              <w:rPr>
                <w:rFonts w:ascii="Arial" w:cs="Arial" w:eastAsia="Arial" w:hAnsi="Arial"/>
                <w:sz w:val="16"/>
                <w:szCs w:val="16"/>
                <w:color w:val="auto"/>
              </w:rPr>
              <w:t>1</w:t>
            </w:r>
          </w:p>
        </w:tc>
        <w:tc>
          <w:tcPr>
            <w:tcW w:w="1960" w:type="dxa"/>
            <w:vAlign w:val="bottom"/>
          </w:tcPr>
          <w:p>
            <w:pPr>
              <w:jc w:val="right"/>
              <w:ind w:right="999"/>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260" w:type="dxa"/>
            <w:vAlign w:val="bottom"/>
          </w:tcPr>
          <w:p>
            <w:pPr>
              <w:ind w:left="480"/>
              <w:spacing w:after="0"/>
              <w:rPr>
                <w:sz w:val="20"/>
                <w:szCs w:val="20"/>
                <w:color w:val="auto"/>
              </w:rPr>
            </w:pPr>
            <w:r>
              <w:rPr>
                <w:rFonts w:ascii="Arial" w:cs="Arial" w:eastAsia="Arial" w:hAnsi="Arial"/>
                <w:sz w:val="16"/>
                <w:szCs w:val="16"/>
                <w:color w:val="auto"/>
              </w:rPr>
              <w:t>Europe</w:t>
            </w:r>
          </w:p>
        </w:tc>
        <w:tc>
          <w:tcPr>
            <w:tcW w:w="4660" w:type="dxa"/>
            <w:vAlign w:val="bottom"/>
            <w:gridSpan w:val="2"/>
          </w:tcPr>
          <w:p>
            <w:pPr>
              <w:jc w:val="right"/>
              <w:ind w:right="638"/>
              <w:spacing w:after="0"/>
              <w:rPr>
                <w:sz w:val="20"/>
                <w:szCs w:val="20"/>
                <w:color w:val="auto"/>
              </w:rPr>
            </w:pPr>
            <w:r>
              <w:rPr>
                <w:rFonts w:ascii="Arial" w:cs="Arial" w:eastAsia="Arial" w:hAnsi="Arial"/>
                <w:sz w:val="16"/>
                <w:szCs w:val="16"/>
                <w:color w:val="auto"/>
              </w:rPr>
              <w:t>1</w:t>
            </w:r>
          </w:p>
        </w:tc>
        <w:tc>
          <w:tcPr>
            <w:tcW w:w="1960" w:type="dxa"/>
            <w:vAlign w:val="bottom"/>
          </w:tcPr>
          <w:p>
            <w:pPr>
              <w:jc w:val="right"/>
              <w:ind w:right="999"/>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260" w:type="dxa"/>
            <w:vAlign w:val="bottom"/>
          </w:tcPr>
          <w:p>
            <w:pPr>
              <w:ind w:left="480"/>
              <w:spacing w:after="0"/>
              <w:rPr>
                <w:sz w:val="20"/>
                <w:szCs w:val="20"/>
                <w:color w:val="auto"/>
              </w:rPr>
            </w:pPr>
            <w:r>
              <w:rPr>
                <w:rFonts w:ascii="Arial" w:cs="Arial" w:eastAsia="Arial" w:hAnsi="Arial"/>
                <w:sz w:val="16"/>
                <w:szCs w:val="16"/>
                <w:color w:val="auto"/>
              </w:rPr>
              <w:t>Africa</w:t>
            </w:r>
          </w:p>
        </w:tc>
        <w:tc>
          <w:tcPr>
            <w:tcW w:w="4660" w:type="dxa"/>
            <w:vAlign w:val="bottom"/>
            <w:gridSpan w:val="2"/>
          </w:tcPr>
          <w:p>
            <w:pPr>
              <w:jc w:val="right"/>
              <w:ind w:right="638"/>
              <w:spacing w:after="0"/>
              <w:rPr>
                <w:sz w:val="20"/>
                <w:szCs w:val="20"/>
                <w:color w:val="auto"/>
              </w:rPr>
            </w:pPr>
            <w:r>
              <w:rPr>
                <w:rFonts w:ascii="Arial" w:cs="Arial" w:eastAsia="Arial" w:hAnsi="Arial"/>
                <w:sz w:val="16"/>
                <w:szCs w:val="16"/>
                <w:color w:val="auto"/>
              </w:rPr>
              <w:t>1</w:t>
            </w:r>
          </w:p>
        </w:tc>
        <w:tc>
          <w:tcPr>
            <w:tcW w:w="196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260" w:type="dxa"/>
            <w:vAlign w:val="bottom"/>
          </w:tcPr>
          <w:p>
            <w:pPr>
              <w:ind w:left="480"/>
              <w:spacing w:after="0"/>
              <w:rPr>
                <w:sz w:val="20"/>
                <w:szCs w:val="20"/>
                <w:color w:val="auto"/>
              </w:rPr>
            </w:pPr>
            <w:r>
              <w:rPr>
                <w:rFonts w:ascii="Arial" w:cs="Arial" w:eastAsia="Arial" w:hAnsi="Arial"/>
                <w:sz w:val="16"/>
                <w:szCs w:val="16"/>
                <w:color w:val="auto"/>
              </w:rPr>
              <w:t>Asia</w:t>
            </w:r>
          </w:p>
        </w:tc>
        <w:tc>
          <w:tcPr>
            <w:tcW w:w="4660" w:type="dxa"/>
            <w:vAlign w:val="bottom"/>
            <w:gridSpan w:val="2"/>
          </w:tcPr>
          <w:p>
            <w:pPr>
              <w:jc w:val="right"/>
              <w:ind w:right="638"/>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208"/>
        </w:trPr>
        <w:tc>
          <w:tcPr>
            <w:tcW w:w="580" w:type="dxa"/>
            <w:vAlign w:val="bottom"/>
          </w:tcPr>
          <w:p>
            <w:pPr>
              <w:spacing w:after="0"/>
              <w:rPr>
                <w:sz w:val="18"/>
                <w:szCs w:val="18"/>
                <w:color w:val="auto"/>
              </w:rPr>
            </w:pPr>
          </w:p>
        </w:tc>
        <w:tc>
          <w:tcPr>
            <w:tcW w:w="4260" w:type="dxa"/>
            <w:vAlign w:val="bottom"/>
          </w:tcPr>
          <w:p>
            <w:pPr>
              <w:ind w:left="480"/>
              <w:spacing w:after="0"/>
              <w:rPr>
                <w:sz w:val="20"/>
                <w:szCs w:val="20"/>
                <w:color w:val="auto"/>
              </w:rPr>
            </w:pPr>
            <w:r>
              <w:rPr>
                <w:rFonts w:ascii="Arial" w:cs="Arial" w:eastAsia="Arial" w:hAnsi="Arial"/>
                <w:sz w:val="16"/>
                <w:szCs w:val="16"/>
                <w:color w:val="auto"/>
              </w:rPr>
              <w:t>Australia/Oceania</w:t>
            </w:r>
          </w:p>
        </w:tc>
        <w:tc>
          <w:tcPr>
            <w:tcW w:w="4660" w:type="dxa"/>
            <w:vAlign w:val="bottom"/>
            <w:gridSpan w:val="2"/>
          </w:tcPr>
          <w:p>
            <w:pPr>
              <w:jc w:val="right"/>
              <w:ind w:right="638"/>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201"/>
        </w:trPr>
        <w:tc>
          <w:tcPr>
            <w:tcW w:w="580" w:type="dxa"/>
            <w:vAlign w:val="bottom"/>
          </w:tcPr>
          <w:p>
            <w:pPr>
              <w:spacing w:after="0"/>
              <w:rPr>
                <w:sz w:val="17"/>
                <w:szCs w:val="17"/>
                <w:color w:val="auto"/>
              </w:rPr>
            </w:pPr>
          </w:p>
        </w:tc>
        <w:tc>
          <w:tcPr>
            <w:tcW w:w="4260" w:type="dxa"/>
            <w:vAlign w:val="bottom"/>
          </w:tcPr>
          <w:p>
            <w:pPr>
              <w:ind w:left="700"/>
              <w:spacing w:after="0"/>
              <w:rPr>
                <w:sz w:val="20"/>
                <w:szCs w:val="20"/>
                <w:color w:val="auto"/>
              </w:rPr>
            </w:pPr>
            <w:r>
              <w:rPr>
                <w:rFonts w:ascii="Arial" w:cs="Arial" w:eastAsia="Arial" w:hAnsi="Arial"/>
                <w:sz w:val="16"/>
                <w:szCs w:val="16"/>
                <w:color w:val="auto"/>
              </w:rPr>
              <w:t>Total Consolidated Subsidiaries</w:t>
            </w:r>
          </w:p>
        </w:tc>
        <w:tc>
          <w:tcPr>
            <w:tcW w:w="3200" w:type="dxa"/>
            <w:vAlign w:val="bottom"/>
          </w:tcPr>
          <w:p>
            <w:pPr>
              <w:spacing w:after="0"/>
              <w:rPr>
                <w:sz w:val="17"/>
                <w:szCs w:val="17"/>
                <w:color w:val="auto"/>
              </w:rPr>
            </w:pPr>
          </w:p>
        </w:tc>
        <w:tc>
          <w:tcPr>
            <w:tcW w:w="1460" w:type="dxa"/>
            <w:vAlign w:val="bottom"/>
            <w:tcBorders>
              <w:top w:val="single" w:sz="8" w:color="auto"/>
            </w:tcBorders>
          </w:tcPr>
          <w:p>
            <w:pPr>
              <w:jc w:val="right"/>
              <w:ind w:right="638"/>
              <w:spacing w:after="0"/>
              <w:rPr>
                <w:sz w:val="20"/>
                <w:szCs w:val="20"/>
                <w:color w:val="auto"/>
              </w:rPr>
            </w:pPr>
            <w:r>
              <w:rPr>
                <w:rFonts w:ascii="Arial" w:cs="Arial" w:eastAsia="Arial" w:hAnsi="Arial"/>
                <w:sz w:val="16"/>
                <w:szCs w:val="16"/>
                <w:color w:val="auto"/>
              </w:rPr>
              <w:t>5</w:t>
            </w:r>
          </w:p>
        </w:tc>
        <w:tc>
          <w:tcPr>
            <w:tcW w:w="1960" w:type="dxa"/>
            <w:vAlign w:val="bottom"/>
            <w:tcBorders>
              <w:top w:val="single" w:sz="8" w:color="auto"/>
            </w:tcBorders>
          </w:tcPr>
          <w:p>
            <w:pPr>
              <w:jc w:val="right"/>
              <w:ind w:right="999"/>
              <w:spacing w:after="0"/>
              <w:rPr>
                <w:sz w:val="20"/>
                <w:szCs w:val="20"/>
                <w:color w:val="auto"/>
              </w:rPr>
            </w:pPr>
            <w:r>
              <w:rPr>
                <w:rFonts w:ascii="Arial" w:cs="Arial" w:eastAsia="Arial" w:hAnsi="Arial"/>
                <w:sz w:val="16"/>
                <w:szCs w:val="16"/>
                <w:color w:val="auto"/>
              </w:rPr>
              <w:t>7</w:t>
            </w:r>
          </w:p>
        </w:tc>
        <w:tc>
          <w:tcPr>
            <w:tcW w:w="60" w:type="dxa"/>
            <w:vAlign w:val="bottom"/>
            <w:tcBorders>
              <w:top w:val="single" w:sz="8" w:color="auto"/>
            </w:tcBorders>
          </w:tcPr>
          <w:p>
            <w:pPr>
              <w:spacing w:after="0"/>
              <w:rPr>
                <w:sz w:val="17"/>
                <w:szCs w:val="17"/>
                <w:color w:val="auto"/>
              </w:rPr>
            </w:pPr>
          </w:p>
        </w:tc>
      </w:tr>
      <w:tr>
        <w:trPr>
          <w:trHeight w:val="368"/>
        </w:trPr>
        <w:tc>
          <w:tcPr>
            <w:tcW w:w="580" w:type="dxa"/>
            <w:vAlign w:val="bottom"/>
          </w:tcPr>
          <w:p>
            <w:pPr>
              <w:spacing w:after="0"/>
              <w:rPr>
                <w:sz w:val="24"/>
                <w:szCs w:val="24"/>
                <w:color w:val="auto"/>
              </w:rPr>
            </w:pPr>
          </w:p>
        </w:tc>
        <w:tc>
          <w:tcPr>
            <w:tcW w:w="4260" w:type="dxa"/>
            <w:vAlign w:val="bottom"/>
          </w:tcPr>
          <w:p>
            <w:pPr>
              <w:ind w:left="240"/>
              <w:spacing w:after="0"/>
              <w:rPr>
                <w:sz w:val="20"/>
                <w:szCs w:val="20"/>
                <w:color w:val="auto"/>
              </w:rPr>
            </w:pPr>
            <w:r>
              <w:rPr>
                <w:rFonts w:ascii="Arial" w:cs="Arial" w:eastAsia="Arial" w:hAnsi="Arial"/>
                <w:sz w:val="16"/>
                <w:szCs w:val="16"/>
                <w:b w:val="1"/>
                <w:bCs w:val="1"/>
                <w:color w:val="auto"/>
              </w:rPr>
              <w:t>Equity Companies</w:t>
            </w:r>
          </w:p>
        </w:tc>
        <w:tc>
          <w:tcPr>
            <w:tcW w:w="3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4260" w:type="dxa"/>
            <w:vAlign w:val="bottom"/>
          </w:tcPr>
          <w:p>
            <w:pPr>
              <w:ind w:left="480"/>
              <w:spacing w:after="0"/>
              <w:rPr>
                <w:sz w:val="20"/>
                <w:szCs w:val="20"/>
                <w:color w:val="auto"/>
              </w:rPr>
            </w:pPr>
            <w:r>
              <w:rPr>
                <w:rFonts w:ascii="Arial" w:cs="Arial" w:eastAsia="Arial" w:hAnsi="Arial"/>
                <w:sz w:val="16"/>
                <w:szCs w:val="16"/>
                <w:color w:val="auto"/>
              </w:rPr>
              <w:t>United States</w:t>
            </w:r>
          </w:p>
        </w:tc>
        <w:tc>
          <w:tcPr>
            <w:tcW w:w="4660" w:type="dxa"/>
            <w:vAlign w:val="bottom"/>
            <w:gridSpan w:val="2"/>
          </w:tcPr>
          <w:p>
            <w:pPr>
              <w:jc w:val="right"/>
              <w:ind w:right="638"/>
              <w:spacing w:after="0"/>
              <w:rPr>
                <w:sz w:val="20"/>
                <w:szCs w:val="20"/>
                <w:color w:val="auto"/>
              </w:rPr>
            </w:pPr>
            <w:r>
              <w:rPr>
                <w:rFonts w:ascii="Arial" w:cs="Arial" w:eastAsia="Arial" w:hAnsi="Arial"/>
                <w:sz w:val="16"/>
                <w:szCs w:val="16"/>
                <w:color w:val="auto"/>
              </w:rPr>
              <w:t>2</w:t>
            </w:r>
          </w:p>
        </w:tc>
        <w:tc>
          <w:tcPr>
            <w:tcW w:w="1960" w:type="dxa"/>
            <w:vAlign w:val="bottom"/>
          </w:tcPr>
          <w:p>
            <w:pPr>
              <w:jc w:val="right"/>
              <w:ind w:right="999"/>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260" w:type="dxa"/>
            <w:vAlign w:val="bottom"/>
          </w:tcPr>
          <w:p>
            <w:pPr>
              <w:ind w:left="480"/>
              <w:spacing w:after="0"/>
              <w:rPr>
                <w:sz w:val="20"/>
                <w:szCs w:val="20"/>
                <w:color w:val="auto"/>
              </w:rPr>
            </w:pPr>
            <w:r>
              <w:rPr>
                <w:rFonts w:ascii="Arial" w:cs="Arial" w:eastAsia="Arial" w:hAnsi="Arial"/>
                <w:sz w:val="16"/>
                <w:szCs w:val="16"/>
                <w:color w:val="auto"/>
              </w:rPr>
              <w:t>Europe</w:t>
            </w:r>
          </w:p>
        </w:tc>
        <w:tc>
          <w:tcPr>
            <w:tcW w:w="4660" w:type="dxa"/>
            <w:vAlign w:val="bottom"/>
            <w:gridSpan w:val="2"/>
          </w:tcPr>
          <w:p>
            <w:pPr>
              <w:jc w:val="right"/>
              <w:ind w:right="638"/>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208"/>
        </w:trPr>
        <w:tc>
          <w:tcPr>
            <w:tcW w:w="580" w:type="dxa"/>
            <w:vAlign w:val="bottom"/>
          </w:tcPr>
          <w:p>
            <w:pPr>
              <w:spacing w:after="0"/>
              <w:rPr>
                <w:sz w:val="18"/>
                <w:szCs w:val="18"/>
                <w:color w:val="auto"/>
              </w:rPr>
            </w:pPr>
          </w:p>
        </w:tc>
        <w:tc>
          <w:tcPr>
            <w:tcW w:w="4260" w:type="dxa"/>
            <w:vAlign w:val="bottom"/>
          </w:tcPr>
          <w:p>
            <w:pPr>
              <w:ind w:left="480"/>
              <w:spacing w:after="0"/>
              <w:rPr>
                <w:sz w:val="20"/>
                <w:szCs w:val="20"/>
                <w:color w:val="auto"/>
              </w:rPr>
            </w:pPr>
            <w:r>
              <w:rPr>
                <w:rFonts w:ascii="Arial" w:cs="Arial" w:eastAsia="Arial" w:hAnsi="Arial"/>
                <w:sz w:val="16"/>
                <w:szCs w:val="16"/>
                <w:color w:val="auto"/>
              </w:rPr>
              <w:t>Asia</w:t>
            </w:r>
          </w:p>
        </w:tc>
        <w:tc>
          <w:tcPr>
            <w:tcW w:w="4660" w:type="dxa"/>
            <w:vAlign w:val="bottom"/>
            <w:gridSpan w:val="2"/>
          </w:tcPr>
          <w:p>
            <w:pPr>
              <w:jc w:val="right"/>
              <w:ind w:right="638"/>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189"/>
        </w:trPr>
        <w:tc>
          <w:tcPr>
            <w:tcW w:w="580" w:type="dxa"/>
            <w:vAlign w:val="bottom"/>
          </w:tcPr>
          <w:p>
            <w:pPr>
              <w:spacing w:after="0"/>
              <w:rPr>
                <w:sz w:val="16"/>
                <w:szCs w:val="16"/>
                <w:color w:val="auto"/>
              </w:rPr>
            </w:pPr>
          </w:p>
        </w:tc>
        <w:tc>
          <w:tcPr>
            <w:tcW w:w="4260" w:type="dxa"/>
            <w:vAlign w:val="bottom"/>
          </w:tcPr>
          <w:p>
            <w:pPr>
              <w:ind w:left="700"/>
              <w:spacing w:after="0"/>
              <w:rPr>
                <w:sz w:val="20"/>
                <w:szCs w:val="20"/>
                <w:color w:val="auto"/>
              </w:rPr>
            </w:pPr>
            <w:r>
              <w:rPr>
                <w:rFonts w:ascii="Arial" w:cs="Arial" w:eastAsia="Arial" w:hAnsi="Arial"/>
                <w:sz w:val="16"/>
                <w:szCs w:val="16"/>
                <w:color w:val="auto"/>
              </w:rPr>
              <w:t>Total Equity Companies</w:t>
            </w:r>
          </w:p>
        </w:tc>
        <w:tc>
          <w:tcPr>
            <w:tcW w:w="3200" w:type="dxa"/>
            <w:vAlign w:val="bottom"/>
          </w:tcPr>
          <w:p>
            <w:pPr>
              <w:spacing w:after="0"/>
              <w:rPr>
                <w:sz w:val="16"/>
                <w:szCs w:val="16"/>
                <w:color w:val="auto"/>
              </w:rPr>
            </w:pPr>
          </w:p>
        </w:tc>
        <w:tc>
          <w:tcPr>
            <w:tcW w:w="1460" w:type="dxa"/>
            <w:vAlign w:val="bottom"/>
            <w:tcBorders>
              <w:top w:val="single" w:sz="8" w:color="auto"/>
              <w:bottom w:val="single" w:sz="8" w:color="auto"/>
            </w:tcBorders>
          </w:tcPr>
          <w:p>
            <w:pPr>
              <w:jc w:val="right"/>
              <w:ind w:right="638"/>
              <w:spacing w:after="0"/>
              <w:rPr>
                <w:sz w:val="20"/>
                <w:szCs w:val="20"/>
                <w:color w:val="auto"/>
              </w:rPr>
            </w:pPr>
            <w:r>
              <w:rPr>
                <w:rFonts w:ascii="Arial" w:cs="Arial" w:eastAsia="Arial" w:hAnsi="Arial"/>
                <w:sz w:val="16"/>
                <w:szCs w:val="16"/>
                <w:color w:val="auto"/>
              </w:rPr>
              <w:t>2</w:t>
            </w:r>
          </w:p>
        </w:tc>
        <w:tc>
          <w:tcPr>
            <w:tcW w:w="196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6"/>
                <w:szCs w:val="16"/>
                <w:color w:val="auto"/>
              </w:rPr>
              <w:t>1</w:t>
            </w:r>
          </w:p>
        </w:tc>
        <w:tc>
          <w:tcPr>
            <w:tcW w:w="60" w:type="dxa"/>
            <w:vAlign w:val="bottom"/>
            <w:tcBorders>
              <w:top w:val="single" w:sz="8" w:color="auto"/>
              <w:bottom w:val="single" w:sz="8" w:color="auto"/>
            </w:tcBorders>
          </w:tcPr>
          <w:p>
            <w:pPr>
              <w:spacing w:after="0"/>
              <w:rPr>
                <w:sz w:val="16"/>
                <w:szCs w:val="16"/>
                <w:color w:val="auto"/>
              </w:rPr>
            </w:pPr>
          </w:p>
        </w:tc>
      </w:tr>
      <w:tr>
        <w:trPr>
          <w:trHeight w:val="200"/>
        </w:trPr>
        <w:tc>
          <w:tcPr>
            <w:tcW w:w="58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6"/>
                <w:szCs w:val="16"/>
                <w:b w:val="1"/>
                <w:bCs w:val="1"/>
                <w:color w:val="auto"/>
              </w:rPr>
              <w:t>Total dry exploratory wells drilled</w:t>
            </w:r>
          </w:p>
        </w:tc>
        <w:tc>
          <w:tcPr>
            <w:tcW w:w="3200" w:type="dxa"/>
            <w:vAlign w:val="bottom"/>
          </w:tcPr>
          <w:p>
            <w:pPr>
              <w:spacing w:after="0"/>
              <w:rPr>
                <w:sz w:val="17"/>
                <w:szCs w:val="17"/>
                <w:color w:val="auto"/>
              </w:rPr>
            </w:pPr>
          </w:p>
        </w:tc>
        <w:tc>
          <w:tcPr>
            <w:tcW w:w="1460" w:type="dxa"/>
            <w:vAlign w:val="bottom"/>
          </w:tcPr>
          <w:p>
            <w:pPr>
              <w:jc w:val="right"/>
              <w:ind w:right="638"/>
              <w:spacing w:after="0"/>
              <w:rPr>
                <w:sz w:val="20"/>
                <w:szCs w:val="20"/>
                <w:color w:val="auto"/>
              </w:rPr>
            </w:pPr>
            <w:r>
              <w:rPr>
                <w:rFonts w:ascii="Arial" w:cs="Arial" w:eastAsia="Arial" w:hAnsi="Arial"/>
                <w:sz w:val="16"/>
                <w:szCs w:val="16"/>
                <w:color w:val="auto"/>
              </w:rPr>
              <w:t>7</w:t>
            </w:r>
          </w:p>
        </w:tc>
        <w:tc>
          <w:tcPr>
            <w:tcW w:w="1960" w:type="dxa"/>
            <w:vAlign w:val="bottom"/>
          </w:tcPr>
          <w:p>
            <w:pPr>
              <w:jc w:val="right"/>
              <w:ind w:right="999"/>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17"/>
                <w:szCs w:val="17"/>
                <w:color w:val="auto"/>
              </w:rPr>
            </w:pPr>
          </w:p>
        </w:tc>
      </w:tr>
      <w:tr>
        <w:trPr>
          <w:trHeight w:val="208"/>
        </w:trPr>
        <w:tc>
          <w:tcPr>
            <w:tcW w:w="5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200" w:type="dxa"/>
            <w:vAlign w:val="bottom"/>
          </w:tcPr>
          <w:p>
            <w:pPr>
              <w:jc w:val="right"/>
              <w:ind w:right="1599"/>
              <w:spacing w:after="0"/>
              <w:rPr>
                <w:sz w:val="20"/>
                <w:szCs w:val="20"/>
                <w:color w:val="auto"/>
              </w:rPr>
            </w:pPr>
            <w:r>
              <w:rPr>
                <w:rFonts w:ascii="Arial" w:cs="Arial" w:eastAsia="Arial" w:hAnsi="Arial"/>
                <w:sz w:val="16"/>
                <w:szCs w:val="16"/>
                <w:color w:val="auto"/>
              </w:rPr>
              <w:t>11</w:t>
            </w:r>
          </w:p>
        </w:tc>
        <w:tc>
          <w:tcPr>
            <w:tcW w:w="1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745"/>
        </w:trPr>
        <w:tc>
          <w:tcPr>
            <w:tcW w:w="580" w:type="dxa"/>
            <w:vAlign w:val="bottom"/>
            <w:tcBorders>
              <w:bottom w:val="single" w:sz="8" w:color="808080"/>
            </w:tcBorders>
          </w:tcPr>
          <w:p>
            <w:pPr>
              <w:spacing w:after="0"/>
              <w:rPr>
                <w:sz w:val="24"/>
                <w:szCs w:val="24"/>
                <w:color w:val="auto"/>
              </w:rPr>
            </w:pPr>
          </w:p>
        </w:tc>
        <w:tc>
          <w:tcPr>
            <w:tcW w:w="4260" w:type="dxa"/>
            <w:vAlign w:val="bottom"/>
            <w:tcBorders>
              <w:bottom w:val="single" w:sz="8" w:color="808080"/>
            </w:tcBorders>
          </w:tcPr>
          <w:p>
            <w:pPr>
              <w:spacing w:after="0"/>
              <w:rPr>
                <w:sz w:val="24"/>
                <w:szCs w:val="24"/>
                <w:color w:val="auto"/>
              </w:rPr>
            </w:pPr>
          </w:p>
        </w:tc>
        <w:tc>
          <w:tcPr>
            <w:tcW w:w="320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650" w:right="1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8"/>
        </w:trPr>
        <w:tc>
          <w:tcPr>
            <w:tcW w:w="5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4660" w:type="dxa"/>
            <w:vAlign w:val="bottom"/>
            <w:gridSpan w:val="2"/>
          </w:tcPr>
          <w:p>
            <w:pPr>
              <w:jc w:val="right"/>
              <w:ind w:right="458"/>
              <w:spacing w:after="0"/>
              <w:rPr>
                <w:sz w:val="20"/>
                <w:szCs w:val="20"/>
                <w:color w:val="auto"/>
              </w:rPr>
            </w:pPr>
            <w:r>
              <w:rPr>
                <w:rFonts w:ascii="Arial" w:cs="Arial" w:eastAsia="Arial" w:hAnsi="Arial"/>
                <w:sz w:val="13"/>
                <w:szCs w:val="13"/>
                <w:b w:val="1"/>
                <w:bCs w:val="1"/>
                <w:color w:val="auto"/>
              </w:rPr>
              <w:t>2014</w:t>
            </w:r>
          </w:p>
        </w:tc>
        <w:tc>
          <w:tcPr>
            <w:tcW w:w="1860" w:type="dxa"/>
            <w:vAlign w:val="bottom"/>
          </w:tcPr>
          <w:p>
            <w:pPr>
              <w:jc w:val="right"/>
              <w:ind w:right="839"/>
              <w:spacing w:after="0"/>
              <w:rPr>
                <w:sz w:val="20"/>
                <w:szCs w:val="20"/>
                <w:color w:val="auto"/>
              </w:rPr>
            </w:pPr>
            <w:r>
              <w:rPr>
                <w:rFonts w:ascii="Arial" w:cs="Arial" w:eastAsia="Arial" w:hAnsi="Arial"/>
                <w:sz w:val="13"/>
                <w:szCs w:val="13"/>
                <w:b w:val="1"/>
                <w:bCs w:val="1"/>
                <w:color w:val="auto"/>
              </w:rPr>
              <w:t>2013</w:t>
            </w:r>
          </w:p>
        </w:tc>
        <w:tc>
          <w:tcPr>
            <w:tcW w:w="60" w:type="dxa"/>
            <w:vAlign w:val="bottom"/>
          </w:tcPr>
          <w:p>
            <w:pPr>
              <w:spacing w:after="0"/>
              <w:rPr>
                <w:sz w:val="14"/>
                <w:szCs w:val="14"/>
                <w:color w:val="auto"/>
              </w:rPr>
            </w:pPr>
          </w:p>
        </w:tc>
      </w:tr>
      <w:tr>
        <w:trPr>
          <w:trHeight w:val="23"/>
        </w:trPr>
        <w:tc>
          <w:tcPr>
            <w:tcW w:w="58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368"/>
        </w:trPr>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6"/>
                <w:szCs w:val="16"/>
                <w:b w:val="1"/>
                <w:bCs w:val="1"/>
                <w:color w:val="auto"/>
              </w:rPr>
              <w:t>Net Productive Development Wells Drilled</w:t>
            </w:r>
          </w:p>
        </w:tc>
        <w:tc>
          <w:tcPr>
            <w:tcW w:w="3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0"/>
        </w:trPr>
        <w:tc>
          <w:tcPr>
            <w:tcW w:w="580" w:type="dxa"/>
            <w:vAlign w:val="bottom"/>
          </w:tcPr>
          <w:p>
            <w:pPr>
              <w:spacing w:after="0"/>
              <w:rPr>
                <w:sz w:val="17"/>
                <w:szCs w:val="17"/>
                <w:color w:val="auto"/>
              </w:rPr>
            </w:pPr>
          </w:p>
        </w:tc>
        <w:tc>
          <w:tcPr>
            <w:tcW w:w="4360" w:type="dxa"/>
            <w:vAlign w:val="bottom"/>
          </w:tcPr>
          <w:p>
            <w:pPr>
              <w:ind w:left="340"/>
              <w:spacing w:after="0"/>
              <w:rPr>
                <w:sz w:val="20"/>
                <w:szCs w:val="20"/>
                <w:color w:val="auto"/>
              </w:rPr>
            </w:pPr>
            <w:r>
              <w:rPr>
                <w:rFonts w:ascii="Arial" w:cs="Arial" w:eastAsia="Arial" w:hAnsi="Arial"/>
                <w:sz w:val="16"/>
                <w:szCs w:val="16"/>
                <w:b w:val="1"/>
                <w:bCs w:val="1"/>
                <w:color w:val="auto"/>
              </w:rPr>
              <w:t>Consolidated Subsidiaries</w:t>
            </w:r>
          </w:p>
        </w:tc>
        <w:tc>
          <w:tcPr>
            <w:tcW w:w="3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360" w:type="dxa"/>
            <w:vAlign w:val="bottom"/>
          </w:tcPr>
          <w:p>
            <w:pPr>
              <w:ind w:left="700"/>
              <w:spacing w:after="0"/>
              <w:rPr>
                <w:sz w:val="20"/>
                <w:szCs w:val="20"/>
                <w:color w:val="auto"/>
              </w:rPr>
            </w:pPr>
            <w:r>
              <w:rPr>
                <w:rFonts w:ascii="Arial" w:cs="Arial" w:eastAsia="Arial" w:hAnsi="Arial"/>
                <w:sz w:val="16"/>
                <w:szCs w:val="16"/>
                <w:color w:val="auto"/>
              </w:rPr>
              <w:t>United States</w:t>
            </w:r>
          </w:p>
        </w:tc>
        <w:tc>
          <w:tcPr>
            <w:tcW w:w="4660" w:type="dxa"/>
            <w:vAlign w:val="bottom"/>
            <w:gridSpan w:val="2"/>
          </w:tcPr>
          <w:p>
            <w:pPr>
              <w:jc w:val="right"/>
              <w:ind w:right="498"/>
              <w:spacing w:after="0"/>
              <w:rPr>
                <w:sz w:val="20"/>
                <w:szCs w:val="20"/>
                <w:color w:val="auto"/>
              </w:rPr>
            </w:pPr>
            <w:r>
              <w:rPr>
                <w:rFonts w:ascii="Arial" w:cs="Arial" w:eastAsia="Arial" w:hAnsi="Arial"/>
                <w:sz w:val="16"/>
                <w:szCs w:val="16"/>
                <w:color w:val="auto"/>
              </w:rPr>
              <w:t>721</w:t>
            </w:r>
          </w:p>
        </w:tc>
        <w:tc>
          <w:tcPr>
            <w:tcW w:w="1860" w:type="dxa"/>
            <w:vAlign w:val="bottom"/>
          </w:tcPr>
          <w:p>
            <w:pPr>
              <w:jc w:val="right"/>
              <w:ind w:right="879"/>
              <w:spacing w:after="0"/>
              <w:rPr>
                <w:sz w:val="20"/>
                <w:szCs w:val="20"/>
                <w:color w:val="auto"/>
              </w:rPr>
            </w:pPr>
            <w:r>
              <w:rPr>
                <w:rFonts w:ascii="Arial" w:cs="Arial" w:eastAsia="Arial" w:hAnsi="Arial"/>
                <w:sz w:val="16"/>
                <w:szCs w:val="16"/>
                <w:color w:val="auto"/>
              </w:rPr>
              <w:t>755</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360" w:type="dxa"/>
            <w:vAlign w:val="bottom"/>
          </w:tcPr>
          <w:p>
            <w:pPr>
              <w:ind w:left="700"/>
              <w:spacing w:after="0"/>
              <w:rPr>
                <w:sz w:val="20"/>
                <w:szCs w:val="20"/>
                <w:color w:val="auto"/>
              </w:rPr>
            </w:pPr>
            <w:r>
              <w:rPr>
                <w:rFonts w:ascii="Arial" w:cs="Arial" w:eastAsia="Arial" w:hAnsi="Arial"/>
                <w:sz w:val="16"/>
                <w:szCs w:val="16"/>
                <w:color w:val="auto"/>
              </w:rPr>
              <w:t>Canada/South America</w:t>
            </w:r>
          </w:p>
        </w:tc>
        <w:tc>
          <w:tcPr>
            <w:tcW w:w="4660" w:type="dxa"/>
            <w:vAlign w:val="bottom"/>
            <w:gridSpan w:val="2"/>
          </w:tcPr>
          <w:p>
            <w:pPr>
              <w:jc w:val="right"/>
              <w:ind w:right="498"/>
              <w:spacing w:after="0"/>
              <w:rPr>
                <w:sz w:val="20"/>
                <w:szCs w:val="20"/>
                <w:color w:val="auto"/>
              </w:rPr>
            </w:pPr>
            <w:r>
              <w:rPr>
                <w:rFonts w:ascii="Arial" w:cs="Arial" w:eastAsia="Arial" w:hAnsi="Arial"/>
                <w:sz w:val="16"/>
                <w:szCs w:val="16"/>
                <w:color w:val="auto"/>
              </w:rPr>
              <w:t>178</w:t>
            </w:r>
          </w:p>
        </w:tc>
        <w:tc>
          <w:tcPr>
            <w:tcW w:w="1860" w:type="dxa"/>
            <w:vAlign w:val="bottom"/>
          </w:tcPr>
          <w:p>
            <w:pPr>
              <w:jc w:val="right"/>
              <w:ind w:right="879"/>
              <w:spacing w:after="0"/>
              <w:rPr>
                <w:sz w:val="20"/>
                <w:szCs w:val="20"/>
                <w:color w:val="auto"/>
              </w:rPr>
            </w:pPr>
            <w:r>
              <w:rPr>
                <w:rFonts w:ascii="Arial" w:cs="Arial" w:eastAsia="Arial" w:hAnsi="Arial"/>
                <w:sz w:val="16"/>
                <w:szCs w:val="16"/>
                <w:color w:val="auto"/>
              </w:rPr>
              <w:t>201</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360" w:type="dxa"/>
            <w:vAlign w:val="bottom"/>
          </w:tcPr>
          <w:p>
            <w:pPr>
              <w:ind w:left="700"/>
              <w:spacing w:after="0"/>
              <w:rPr>
                <w:sz w:val="20"/>
                <w:szCs w:val="20"/>
                <w:color w:val="auto"/>
              </w:rPr>
            </w:pPr>
            <w:r>
              <w:rPr>
                <w:rFonts w:ascii="Arial" w:cs="Arial" w:eastAsia="Arial" w:hAnsi="Arial"/>
                <w:sz w:val="16"/>
                <w:szCs w:val="16"/>
                <w:color w:val="auto"/>
              </w:rPr>
              <w:t>Europe</w:t>
            </w:r>
          </w:p>
        </w:tc>
        <w:tc>
          <w:tcPr>
            <w:tcW w:w="4660" w:type="dxa"/>
            <w:vAlign w:val="bottom"/>
            <w:gridSpan w:val="2"/>
          </w:tcPr>
          <w:p>
            <w:pPr>
              <w:jc w:val="right"/>
              <w:ind w:right="498"/>
              <w:spacing w:after="0"/>
              <w:rPr>
                <w:sz w:val="20"/>
                <w:szCs w:val="20"/>
                <w:color w:val="auto"/>
              </w:rPr>
            </w:pPr>
            <w:r>
              <w:rPr>
                <w:rFonts w:ascii="Arial" w:cs="Arial" w:eastAsia="Arial" w:hAnsi="Arial"/>
                <w:sz w:val="16"/>
                <w:szCs w:val="16"/>
                <w:color w:val="auto"/>
              </w:rPr>
              <w:t>8</w:t>
            </w:r>
          </w:p>
        </w:tc>
        <w:tc>
          <w:tcPr>
            <w:tcW w:w="1860" w:type="dxa"/>
            <w:vAlign w:val="bottom"/>
          </w:tcPr>
          <w:p>
            <w:pPr>
              <w:jc w:val="right"/>
              <w:ind w:right="879"/>
              <w:spacing w:after="0"/>
              <w:rPr>
                <w:sz w:val="20"/>
                <w:szCs w:val="20"/>
                <w:color w:val="auto"/>
              </w:rPr>
            </w:pPr>
            <w:r>
              <w:rPr>
                <w:rFonts w:ascii="Arial" w:cs="Arial" w:eastAsia="Arial" w:hAnsi="Arial"/>
                <w:sz w:val="16"/>
                <w:szCs w:val="16"/>
                <w:color w:val="auto"/>
              </w:rPr>
              <w:t>13</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360" w:type="dxa"/>
            <w:vAlign w:val="bottom"/>
          </w:tcPr>
          <w:p>
            <w:pPr>
              <w:ind w:left="700"/>
              <w:spacing w:after="0"/>
              <w:rPr>
                <w:sz w:val="20"/>
                <w:szCs w:val="20"/>
                <w:color w:val="auto"/>
              </w:rPr>
            </w:pPr>
            <w:r>
              <w:rPr>
                <w:rFonts w:ascii="Arial" w:cs="Arial" w:eastAsia="Arial" w:hAnsi="Arial"/>
                <w:sz w:val="16"/>
                <w:szCs w:val="16"/>
                <w:color w:val="auto"/>
              </w:rPr>
              <w:t>Africa</w:t>
            </w:r>
          </w:p>
        </w:tc>
        <w:tc>
          <w:tcPr>
            <w:tcW w:w="4660" w:type="dxa"/>
            <w:vAlign w:val="bottom"/>
            <w:gridSpan w:val="2"/>
          </w:tcPr>
          <w:p>
            <w:pPr>
              <w:jc w:val="right"/>
              <w:ind w:right="498"/>
              <w:spacing w:after="0"/>
              <w:rPr>
                <w:sz w:val="20"/>
                <w:szCs w:val="20"/>
                <w:color w:val="auto"/>
              </w:rPr>
            </w:pPr>
            <w:r>
              <w:rPr>
                <w:rFonts w:ascii="Arial" w:cs="Arial" w:eastAsia="Arial" w:hAnsi="Arial"/>
                <w:sz w:val="16"/>
                <w:szCs w:val="16"/>
                <w:color w:val="auto"/>
              </w:rPr>
              <w:t>41</w:t>
            </w:r>
          </w:p>
        </w:tc>
        <w:tc>
          <w:tcPr>
            <w:tcW w:w="1860" w:type="dxa"/>
            <w:vAlign w:val="bottom"/>
          </w:tcPr>
          <w:p>
            <w:pPr>
              <w:jc w:val="right"/>
              <w:ind w:right="879"/>
              <w:spacing w:after="0"/>
              <w:rPr>
                <w:sz w:val="20"/>
                <w:szCs w:val="20"/>
                <w:color w:val="auto"/>
              </w:rPr>
            </w:pPr>
            <w:r>
              <w:rPr>
                <w:rFonts w:ascii="Arial" w:cs="Arial" w:eastAsia="Arial" w:hAnsi="Arial"/>
                <w:sz w:val="16"/>
                <w:szCs w:val="16"/>
                <w:color w:val="auto"/>
              </w:rPr>
              <w:t>33</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360" w:type="dxa"/>
            <w:vAlign w:val="bottom"/>
          </w:tcPr>
          <w:p>
            <w:pPr>
              <w:ind w:left="700"/>
              <w:spacing w:after="0"/>
              <w:rPr>
                <w:sz w:val="20"/>
                <w:szCs w:val="20"/>
                <w:color w:val="auto"/>
              </w:rPr>
            </w:pPr>
            <w:r>
              <w:rPr>
                <w:rFonts w:ascii="Arial" w:cs="Arial" w:eastAsia="Arial" w:hAnsi="Arial"/>
                <w:sz w:val="16"/>
                <w:szCs w:val="16"/>
                <w:color w:val="auto"/>
              </w:rPr>
              <w:t>Asia</w:t>
            </w:r>
          </w:p>
        </w:tc>
        <w:tc>
          <w:tcPr>
            <w:tcW w:w="4660" w:type="dxa"/>
            <w:vAlign w:val="bottom"/>
            <w:gridSpan w:val="2"/>
          </w:tcPr>
          <w:p>
            <w:pPr>
              <w:jc w:val="right"/>
              <w:ind w:right="498"/>
              <w:spacing w:after="0"/>
              <w:rPr>
                <w:sz w:val="20"/>
                <w:szCs w:val="20"/>
                <w:color w:val="auto"/>
              </w:rPr>
            </w:pPr>
            <w:r>
              <w:rPr>
                <w:rFonts w:ascii="Arial" w:cs="Arial" w:eastAsia="Arial" w:hAnsi="Arial"/>
                <w:sz w:val="16"/>
                <w:szCs w:val="16"/>
                <w:color w:val="auto"/>
              </w:rPr>
              <w:t>19</w:t>
            </w:r>
          </w:p>
        </w:tc>
        <w:tc>
          <w:tcPr>
            <w:tcW w:w="1860" w:type="dxa"/>
            <w:vAlign w:val="bottom"/>
          </w:tcPr>
          <w:p>
            <w:pPr>
              <w:jc w:val="right"/>
              <w:ind w:right="879"/>
              <w:spacing w:after="0"/>
              <w:rPr>
                <w:sz w:val="20"/>
                <w:szCs w:val="20"/>
                <w:color w:val="auto"/>
              </w:rPr>
            </w:pPr>
            <w:r>
              <w:rPr>
                <w:rFonts w:ascii="Arial" w:cs="Arial" w:eastAsia="Arial" w:hAnsi="Arial"/>
                <w:sz w:val="16"/>
                <w:szCs w:val="16"/>
                <w:color w:val="auto"/>
              </w:rPr>
              <w:t>30</w:t>
            </w:r>
          </w:p>
        </w:tc>
        <w:tc>
          <w:tcPr>
            <w:tcW w:w="60" w:type="dxa"/>
            <w:vAlign w:val="bottom"/>
          </w:tcPr>
          <w:p>
            <w:pPr>
              <w:spacing w:after="0"/>
              <w:rPr>
                <w:sz w:val="17"/>
                <w:szCs w:val="17"/>
                <w:color w:val="auto"/>
              </w:rPr>
            </w:pPr>
          </w:p>
        </w:tc>
      </w:tr>
      <w:tr>
        <w:trPr>
          <w:trHeight w:val="208"/>
        </w:trPr>
        <w:tc>
          <w:tcPr>
            <w:tcW w:w="580" w:type="dxa"/>
            <w:vAlign w:val="bottom"/>
          </w:tcPr>
          <w:p>
            <w:pPr>
              <w:spacing w:after="0"/>
              <w:rPr>
                <w:sz w:val="18"/>
                <w:szCs w:val="18"/>
                <w:color w:val="auto"/>
              </w:rPr>
            </w:pPr>
          </w:p>
        </w:tc>
        <w:tc>
          <w:tcPr>
            <w:tcW w:w="4360" w:type="dxa"/>
            <w:vAlign w:val="bottom"/>
          </w:tcPr>
          <w:p>
            <w:pPr>
              <w:ind w:left="700"/>
              <w:spacing w:after="0"/>
              <w:rPr>
                <w:sz w:val="20"/>
                <w:szCs w:val="20"/>
                <w:color w:val="auto"/>
              </w:rPr>
            </w:pPr>
            <w:r>
              <w:rPr>
                <w:rFonts w:ascii="Arial" w:cs="Arial" w:eastAsia="Arial" w:hAnsi="Arial"/>
                <w:sz w:val="16"/>
                <w:szCs w:val="16"/>
                <w:color w:val="auto"/>
              </w:rPr>
              <w:t>Australia/Oceania</w:t>
            </w:r>
          </w:p>
        </w:tc>
        <w:tc>
          <w:tcPr>
            <w:tcW w:w="4660" w:type="dxa"/>
            <w:vAlign w:val="bottom"/>
            <w:gridSpan w:val="2"/>
          </w:tcPr>
          <w:p>
            <w:pPr>
              <w:jc w:val="right"/>
              <w:ind w:right="498"/>
              <w:spacing w:after="0"/>
              <w:rPr>
                <w:sz w:val="20"/>
                <w:szCs w:val="20"/>
                <w:color w:val="auto"/>
              </w:rPr>
            </w:pPr>
            <w:r>
              <w:rPr>
                <w:rFonts w:ascii="Arial" w:cs="Arial" w:eastAsia="Arial" w:hAnsi="Arial"/>
                <w:sz w:val="16"/>
                <w:szCs w:val="16"/>
                <w:color w:val="auto"/>
              </w:rPr>
              <w:t>5</w:t>
            </w:r>
          </w:p>
        </w:tc>
        <w:tc>
          <w:tcPr>
            <w:tcW w:w="1860" w:type="dxa"/>
            <w:vAlign w:val="bottom"/>
          </w:tcPr>
          <w:p>
            <w:pPr>
              <w:jc w:val="right"/>
              <w:ind w:right="879"/>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8"/>
                <w:szCs w:val="18"/>
                <w:color w:val="auto"/>
              </w:rPr>
            </w:pPr>
          </w:p>
        </w:tc>
      </w:tr>
      <w:tr>
        <w:trPr>
          <w:trHeight w:val="201"/>
        </w:trPr>
        <w:tc>
          <w:tcPr>
            <w:tcW w:w="580" w:type="dxa"/>
            <w:vAlign w:val="bottom"/>
          </w:tcPr>
          <w:p>
            <w:pPr>
              <w:spacing w:after="0"/>
              <w:rPr>
                <w:sz w:val="17"/>
                <w:szCs w:val="17"/>
                <w:color w:val="auto"/>
              </w:rPr>
            </w:pPr>
          </w:p>
        </w:tc>
        <w:tc>
          <w:tcPr>
            <w:tcW w:w="4360" w:type="dxa"/>
            <w:vAlign w:val="bottom"/>
          </w:tcPr>
          <w:p>
            <w:pPr>
              <w:ind w:left="1040"/>
              <w:spacing w:after="0"/>
              <w:rPr>
                <w:sz w:val="20"/>
                <w:szCs w:val="20"/>
                <w:color w:val="auto"/>
              </w:rPr>
            </w:pPr>
            <w:r>
              <w:rPr>
                <w:rFonts w:ascii="Arial" w:cs="Arial" w:eastAsia="Arial" w:hAnsi="Arial"/>
                <w:sz w:val="16"/>
                <w:szCs w:val="16"/>
                <w:color w:val="auto"/>
              </w:rPr>
              <w:t>Total Consolidated Subsidiaries</w:t>
            </w:r>
          </w:p>
        </w:tc>
        <w:tc>
          <w:tcPr>
            <w:tcW w:w="3320" w:type="dxa"/>
            <w:vAlign w:val="bottom"/>
          </w:tcPr>
          <w:p>
            <w:pPr>
              <w:spacing w:after="0"/>
              <w:rPr>
                <w:sz w:val="17"/>
                <w:szCs w:val="17"/>
                <w:color w:val="auto"/>
              </w:rPr>
            </w:pPr>
          </w:p>
        </w:tc>
        <w:tc>
          <w:tcPr>
            <w:tcW w:w="1340" w:type="dxa"/>
            <w:vAlign w:val="bottom"/>
            <w:tcBorders>
              <w:top w:val="single" w:sz="8" w:color="auto"/>
            </w:tcBorders>
          </w:tcPr>
          <w:p>
            <w:pPr>
              <w:jc w:val="right"/>
              <w:ind w:right="498"/>
              <w:spacing w:after="0"/>
              <w:rPr>
                <w:sz w:val="20"/>
                <w:szCs w:val="20"/>
                <w:color w:val="auto"/>
              </w:rPr>
            </w:pPr>
            <w:r>
              <w:rPr>
                <w:rFonts w:ascii="Arial" w:cs="Arial" w:eastAsia="Arial" w:hAnsi="Arial"/>
                <w:sz w:val="16"/>
                <w:szCs w:val="16"/>
                <w:color w:val="auto"/>
              </w:rPr>
              <w:t>972</w:t>
            </w:r>
          </w:p>
        </w:tc>
        <w:tc>
          <w:tcPr>
            <w:tcW w:w="186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color w:val="auto"/>
              </w:rPr>
              <w:t>1,035</w:t>
            </w:r>
          </w:p>
        </w:tc>
        <w:tc>
          <w:tcPr>
            <w:tcW w:w="60" w:type="dxa"/>
            <w:vAlign w:val="bottom"/>
            <w:tcBorders>
              <w:top w:val="single" w:sz="8" w:color="auto"/>
            </w:tcBorders>
          </w:tcPr>
          <w:p>
            <w:pPr>
              <w:spacing w:after="0"/>
              <w:rPr>
                <w:sz w:val="17"/>
                <w:szCs w:val="17"/>
                <w:color w:val="auto"/>
              </w:rPr>
            </w:pPr>
          </w:p>
        </w:tc>
      </w:tr>
      <w:tr>
        <w:trPr>
          <w:trHeight w:val="368"/>
        </w:trPr>
        <w:tc>
          <w:tcPr>
            <w:tcW w:w="580" w:type="dxa"/>
            <w:vAlign w:val="bottom"/>
          </w:tcPr>
          <w:p>
            <w:pPr>
              <w:spacing w:after="0"/>
              <w:rPr>
                <w:sz w:val="24"/>
                <w:szCs w:val="24"/>
                <w:color w:val="auto"/>
              </w:rPr>
            </w:pPr>
          </w:p>
        </w:tc>
        <w:tc>
          <w:tcPr>
            <w:tcW w:w="4360" w:type="dxa"/>
            <w:vAlign w:val="bottom"/>
          </w:tcPr>
          <w:p>
            <w:pPr>
              <w:ind w:left="340"/>
              <w:spacing w:after="0"/>
              <w:rPr>
                <w:sz w:val="20"/>
                <w:szCs w:val="20"/>
                <w:color w:val="auto"/>
              </w:rPr>
            </w:pPr>
            <w:r>
              <w:rPr>
                <w:rFonts w:ascii="Arial" w:cs="Arial" w:eastAsia="Arial" w:hAnsi="Arial"/>
                <w:sz w:val="16"/>
                <w:szCs w:val="16"/>
                <w:b w:val="1"/>
                <w:bCs w:val="1"/>
                <w:color w:val="auto"/>
              </w:rPr>
              <w:t>Equity Companies</w:t>
            </w:r>
          </w:p>
        </w:tc>
        <w:tc>
          <w:tcPr>
            <w:tcW w:w="3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4360" w:type="dxa"/>
            <w:vAlign w:val="bottom"/>
          </w:tcPr>
          <w:p>
            <w:pPr>
              <w:ind w:left="700"/>
              <w:spacing w:after="0"/>
              <w:rPr>
                <w:sz w:val="20"/>
                <w:szCs w:val="20"/>
                <w:color w:val="auto"/>
              </w:rPr>
            </w:pPr>
            <w:r>
              <w:rPr>
                <w:rFonts w:ascii="Arial" w:cs="Arial" w:eastAsia="Arial" w:hAnsi="Arial"/>
                <w:sz w:val="16"/>
                <w:szCs w:val="16"/>
                <w:color w:val="auto"/>
              </w:rPr>
              <w:t>United States</w:t>
            </w:r>
          </w:p>
        </w:tc>
        <w:tc>
          <w:tcPr>
            <w:tcW w:w="4660" w:type="dxa"/>
            <w:vAlign w:val="bottom"/>
            <w:gridSpan w:val="2"/>
          </w:tcPr>
          <w:p>
            <w:pPr>
              <w:jc w:val="right"/>
              <w:ind w:right="498"/>
              <w:spacing w:after="0"/>
              <w:rPr>
                <w:sz w:val="20"/>
                <w:szCs w:val="20"/>
                <w:color w:val="auto"/>
              </w:rPr>
            </w:pPr>
            <w:r>
              <w:rPr>
                <w:rFonts w:ascii="Arial" w:cs="Arial" w:eastAsia="Arial" w:hAnsi="Arial"/>
                <w:sz w:val="16"/>
                <w:szCs w:val="16"/>
                <w:color w:val="auto"/>
              </w:rPr>
              <w:t>340</w:t>
            </w:r>
          </w:p>
        </w:tc>
        <w:tc>
          <w:tcPr>
            <w:tcW w:w="1860" w:type="dxa"/>
            <w:vAlign w:val="bottom"/>
          </w:tcPr>
          <w:p>
            <w:pPr>
              <w:jc w:val="right"/>
              <w:ind w:right="879"/>
              <w:spacing w:after="0"/>
              <w:rPr>
                <w:sz w:val="20"/>
                <w:szCs w:val="20"/>
                <w:color w:val="auto"/>
              </w:rPr>
            </w:pPr>
            <w:r>
              <w:rPr>
                <w:rFonts w:ascii="Arial" w:cs="Arial" w:eastAsia="Arial" w:hAnsi="Arial"/>
                <w:sz w:val="16"/>
                <w:szCs w:val="16"/>
                <w:color w:val="auto"/>
              </w:rPr>
              <w:t>328</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360" w:type="dxa"/>
            <w:vAlign w:val="bottom"/>
          </w:tcPr>
          <w:p>
            <w:pPr>
              <w:ind w:left="700"/>
              <w:spacing w:after="0"/>
              <w:rPr>
                <w:sz w:val="20"/>
                <w:szCs w:val="20"/>
                <w:color w:val="auto"/>
              </w:rPr>
            </w:pPr>
            <w:r>
              <w:rPr>
                <w:rFonts w:ascii="Arial" w:cs="Arial" w:eastAsia="Arial" w:hAnsi="Arial"/>
                <w:sz w:val="16"/>
                <w:szCs w:val="16"/>
                <w:color w:val="auto"/>
              </w:rPr>
              <w:t>Europe</w:t>
            </w:r>
          </w:p>
        </w:tc>
        <w:tc>
          <w:tcPr>
            <w:tcW w:w="4660" w:type="dxa"/>
            <w:vAlign w:val="bottom"/>
            <w:gridSpan w:val="2"/>
          </w:tcPr>
          <w:p>
            <w:pPr>
              <w:jc w:val="right"/>
              <w:ind w:right="498"/>
              <w:spacing w:after="0"/>
              <w:rPr>
                <w:sz w:val="20"/>
                <w:szCs w:val="20"/>
                <w:color w:val="auto"/>
              </w:rPr>
            </w:pPr>
            <w:r>
              <w:rPr>
                <w:rFonts w:ascii="Arial" w:cs="Arial" w:eastAsia="Arial" w:hAnsi="Arial"/>
                <w:sz w:val="16"/>
                <w:szCs w:val="16"/>
                <w:color w:val="auto"/>
              </w:rPr>
              <w:t>2</w:t>
            </w:r>
          </w:p>
        </w:tc>
        <w:tc>
          <w:tcPr>
            <w:tcW w:w="1860" w:type="dxa"/>
            <w:vAlign w:val="bottom"/>
          </w:tcPr>
          <w:p>
            <w:pPr>
              <w:jc w:val="right"/>
              <w:ind w:right="879"/>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7"/>
                <w:szCs w:val="17"/>
                <w:color w:val="auto"/>
              </w:rPr>
            </w:pPr>
          </w:p>
        </w:tc>
      </w:tr>
      <w:tr>
        <w:trPr>
          <w:trHeight w:val="208"/>
        </w:trPr>
        <w:tc>
          <w:tcPr>
            <w:tcW w:w="580" w:type="dxa"/>
            <w:vAlign w:val="bottom"/>
          </w:tcPr>
          <w:p>
            <w:pPr>
              <w:spacing w:after="0"/>
              <w:rPr>
                <w:sz w:val="18"/>
                <w:szCs w:val="18"/>
                <w:color w:val="auto"/>
              </w:rPr>
            </w:pPr>
          </w:p>
        </w:tc>
        <w:tc>
          <w:tcPr>
            <w:tcW w:w="4360" w:type="dxa"/>
            <w:vAlign w:val="bottom"/>
          </w:tcPr>
          <w:p>
            <w:pPr>
              <w:ind w:left="700"/>
              <w:spacing w:after="0"/>
              <w:rPr>
                <w:sz w:val="20"/>
                <w:szCs w:val="20"/>
                <w:color w:val="auto"/>
              </w:rPr>
            </w:pPr>
            <w:r>
              <w:rPr>
                <w:rFonts w:ascii="Arial" w:cs="Arial" w:eastAsia="Arial" w:hAnsi="Arial"/>
                <w:sz w:val="16"/>
                <w:szCs w:val="16"/>
                <w:color w:val="auto"/>
              </w:rPr>
              <w:t>Asia</w:t>
            </w:r>
          </w:p>
        </w:tc>
        <w:tc>
          <w:tcPr>
            <w:tcW w:w="4660" w:type="dxa"/>
            <w:vAlign w:val="bottom"/>
            <w:gridSpan w:val="2"/>
          </w:tcPr>
          <w:p>
            <w:pPr>
              <w:jc w:val="right"/>
              <w:ind w:right="498"/>
              <w:spacing w:after="0"/>
              <w:rPr>
                <w:sz w:val="20"/>
                <w:szCs w:val="20"/>
                <w:color w:val="auto"/>
              </w:rPr>
            </w:pPr>
            <w:r>
              <w:rPr>
                <w:rFonts w:ascii="Arial" w:cs="Arial" w:eastAsia="Arial" w:hAnsi="Arial"/>
                <w:sz w:val="16"/>
                <w:szCs w:val="16"/>
                <w:color w:val="auto"/>
              </w:rPr>
              <w:t>1</w:t>
            </w:r>
          </w:p>
        </w:tc>
        <w:tc>
          <w:tcPr>
            <w:tcW w:w="1860" w:type="dxa"/>
            <w:vAlign w:val="bottom"/>
          </w:tcPr>
          <w:p>
            <w:pPr>
              <w:jc w:val="right"/>
              <w:ind w:right="879"/>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18"/>
                <w:szCs w:val="18"/>
                <w:color w:val="auto"/>
              </w:rPr>
            </w:pPr>
          </w:p>
        </w:tc>
      </w:tr>
      <w:tr>
        <w:trPr>
          <w:trHeight w:val="189"/>
        </w:trPr>
        <w:tc>
          <w:tcPr>
            <w:tcW w:w="580" w:type="dxa"/>
            <w:vAlign w:val="bottom"/>
          </w:tcPr>
          <w:p>
            <w:pPr>
              <w:spacing w:after="0"/>
              <w:rPr>
                <w:sz w:val="16"/>
                <w:szCs w:val="16"/>
                <w:color w:val="auto"/>
              </w:rPr>
            </w:pPr>
          </w:p>
        </w:tc>
        <w:tc>
          <w:tcPr>
            <w:tcW w:w="4360" w:type="dxa"/>
            <w:vAlign w:val="bottom"/>
          </w:tcPr>
          <w:p>
            <w:pPr>
              <w:ind w:left="1040"/>
              <w:spacing w:after="0"/>
              <w:rPr>
                <w:sz w:val="20"/>
                <w:szCs w:val="20"/>
                <w:color w:val="auto"/>
              </w:rPr>
            </w:pPr>
            <w:r>
              <w:rPr>
                <w:rFonts w:ascii="Arial" w:cs="Arial" w:eastAsia="Arial" w:hAnsi="Arial"/>
                <w:sz w:val="16"/>
                <w:szCs w:val="16"/>
                <w:color w:val="auto"/>
              </w:rPr>
              <w:t>Total Equity Companies</w:t>
            </w:r>
          </w:p>
        </w:tc>
        <w:tc>
          <w:tcPr>
            <w:tcW w:w="332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6"/>
                <w:szCs w:val="16"/>
                <w:color w:val="auto"/>
              </w:rPr>
              <w:t>343</w:t>
            </w:r>
          </w:p>
        </w:tc>
        <w:tc>
          <w:tcPr>
            <w:tcW w:w="18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color w:val="auto"/>
              </w:rPr>
              <w:t>338</w:t>
            </w:r>
          </w:p>
        </w:tc>
        <w:tc>
          <w:tcPr>
            <w:tcW w:w="60" w:type="dxa"/>
            <w:vAlign w:val="bottom"/>
            <w:tcBorders>
              <w:top w:val="single" w:sz="8" w:color="auto"/>
              <w:bottom w:val="single" w:sz="8" w:color="auto"/>
            </w:tcBorders>
          </w:tcPr>
          <w:p>
            <w:pPr>
              <w:spacing w:after="0"/>
              <w:rPr>
                <w:sz w:val="16"/>
                <w:szCs w:val="16"/>
                <w:color w:val="auto"/>
              </w:rPr>
            </w:pPr>
          </w:p>
        </w:tc>
      </w:tr>
      <w:tr>
        <w:trPr>
          <w:trHeight w:val="200"/>
        </w:trPr>
        <w:tc>
          <w:tcPr>
            <w:tcW w:w="58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b w:val="1"/>
                <w:bCs w:val="1"/>
                <w:color w:val="auto"/>
              </w:rPr>
              <w:t>Total productive development wells drilled</w:t>
            </w:r>
          </w:p>
        </w:tc>
        <w:tc>
          <w:tcPr>
            <w:tcW w:w="3320" w:type="dxa"/>
            <w:vAlign w:val="bottom"/>
          </w:tcPr>
          <w:p>
            <w:pPr>
              <w:spacing w:after="0"/>
              <w:rPr>
                <w:sz w:val="17"/>
                <w:szCs w:val="17"/>
                <w:color w:val="auto"/>
              </w:rPr>
            </w:pPr>
          </w:p>
        </w:tc>
        <w:tc>
          <w:tcPr>
            <w:tcW w:w="1340" w:type="dxa"/>
            <w:vAlign w:val="bottom"/>
          </w:tcPr>
          <w:p>
            <w:pPr>
              <w:jc w:val="right"/>
              <w:ind w:right="498"/>
              <w:spacing w:after="0"/>
              <w:rPr>
                <w:sz w:val="20"/>
                <w:szCs w:val="20"/>
                <w:color w:val="auto"/>
              </w:rPr>
            </w:pPr>
            <w:r>
              <w:rPr>
                <w:rFonts w:ascii="Arial" w:cs="Arial" w:eastAsia="Arial" w:hAnsi="Arial"/>
                <w:sz w:val="16"/>
                <w:szCs w:val="16"/>
                <w:color w:val="auto"/>
              </w:rPr>
              <w:t>1,315</w:t>
            </w:r>
          </w:p>
        </w:tc>
        <w:tc>
          <w:tcPr>
            <w:tcW w:w="1860" w:type="dxa"/>
            <w:vAlign w:val="bottom"/>
          </w:tcPr>
          <w:p>
            <w:pPr>
              <w:jc w:val="right"/>
              <w:ind w:right="879"/>
              <w:spacing w:after="0"/>
              <w:rPr>
                <w:sz w:val="20"/>
                <w:szCs w:val="20"/>
                <w:color w:val="auto"/>
              </w:rPr>
            </w:pPr>
            <w:r>
              <w:rPr>
                <w:rFonts w:ascii="Arial" w:cs="Arial" w:eastAsia="Arial" w:hAnsi="Arial"/>
                <w:sz w:val="16"/>
                <w:szCs w:val="16"/>
                <w:color w:val="auto"/>
              </w:rPr>
              <w:t>1,373</w:t>
            </w:r>
          </w:p>
        </w:tc>
        <w:tc>
          <w:tcPr>
            <w:tcW w:w="60" w:type="dxa"/>
            <w:vAlign w:val="bottom"/>
          </w:tcPr>
          <w:p>
            <w:pPr>
              <w:spacing w:after="0"/>
              <w:rPr>
                <w:sz w:val="17"/>
                <w:szCs w:val="17"/>
                <w:color w:val="auto"/>
              </w:rPr>
            </w:pPr>
          </w:p>
        </w:tc>
      </w:tr>
      <w:tr>
        <w:trPr>
          <w:trHeight w:val="364"/>
        </w:trPr>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6"/>
                <w:szCs w:val="16"/>
                <w:b w:val="1"/>
                <w:bCs w:val="1"/>
                <w:color w:val="auto"/>
              </w:rPr>
              <w:t>Net Dry Development Wells Drilled</w:t>
            </w:r>
          </w:p>
        </w:tc>
        <w:tc>
          <w:tcPr>
            <w:tcW w:w="3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0"/>
        </w:trPr>
        <w:tc>
          <w:tcPr>
            <w:tcW w:w="580" w:type="dxa"/>
            <w:vAlign w:val="bottom"/>
          </w:tcPr>
          <w:p>
            <w:pPr>
              <w:spacing w:after="0"/>
              <w:rPr>
                <w:sz w:val="17"/>
                <w:szCs w:val="17"/>
                <w:color w:val="auto"/>
              </w:rPr>
            </w:pPr>
          </w:p>
        </w:tc>
        <w:tc>
          <w:tcPr>
            <w:tcW w:w="4360" w:type="dxa"/>
            <w:vAlign w:val="bottom"/>
          </w:tcPr>
          <w:p>
            <w:pPr>
              <w:ind w:left="340"/>
              <w:spacing w:after="0"/>
              <w:rPr>
                <w:sz w:val="20"/>
                <w:szCs w:val="20"/>
                <w:color w:val="auto"/>
              </w:rPr>
            </w:pPr>
            <w:r>
              <w:rPr>
                <w:rFonts w:ascii="Arial" w:cs="Arial" w:eastAsia="Arial" w:hAnsi="Arial"/>
                <w:sz w:val="16"/>
                <w:szCs w:val="16"/>
                <w:b w:val="1"/>
                <w:bCs w:val="1"/>
                <w:color w:val="auto"/>
              </w:rPr>
              <w:t>Consolidated Subsidiaries</w:t>
            </w:r>
          </w:p>
        </w:tc>
        <w:tc>
          <w:tcPr>
            <w:tcW w:w="3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360" w:type="dxa"/>
            <w:vAlign w:val="bottom"/>
          </w:tcPr>
          <w:p>
            <w:pPr>
              <w:ind w:left="700"/>
              <w:spacing w:after="0"/>
              <w:rPr>
                <w:sz w:val="20"/>
                <w:szCs w:val="20"/>
                <w:color w:val="auto"/>
              </w:rPr>
            </w:pPr>
            <w:r>
              <w:rPr>
                <w:rFonts w:ascii="Arial" w:cs="Arial" w:eastAsia="Arial" w:hAnsi="Arial"/>
                <w:sz w:val="16"/>
                <w:szCs w:val="16"/>
                <w:color w:val="auto"/>
              </w:rPr>
              <w:t>United States</w:t>
            </w:r>
          </w:p>
        </w:tc>
        <w:tc>
          <w:tcPr>
            <w:tcW w:w="4660" w:type="dxa"/>
            <w:vAlign w:val="bottom"/>
            <w:gridSpan w:val="2"/>
          </w:tcPr>
          <w:p>
            <w:pPr>
              <w:jc w:val="right"/>
              <w:ind w:right="498"/>
              <w:spacing w:after="0"/>
              <w:rPr>
                <w:sz w:val="20"/>
                <w:szCs w:val="20"/>
                <w:color w:val="auto"/>
              </w:rPr>
            </w:pPr>
            <w:r>
              <w:rPr>
                <w:rFonts w:ascii="Arial" w:cs="Arial" w:eastAsia="Arial" w:hAnsi="Arial"/>
                <w:sz w:val="16"/>
                <w:szCs w:val="16"/>
                <w:color w:val="auto"/>
              </w:rPr>
              <w:t>6</w:t>
            </w:r>
          </w:p>
        </w:tc>
        <w:tc>
          <w:tcPr>
            <w:tcW w:w="1860" w:type="dxa"/>
            <w:vAlign w:val="bottom"/>
          </w:tcPr>
          <w:p>
            <w:pPr>
              <w:jc w:val="right"/>
              <w:ind w:right="879"/>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360" w:type="dxa"/>
            <w:vAlign w:val="bottom"/>
          </w:tcPr>
          <w:p>
            <w:pPr>
              <w:ind w:left="700"/>
              <w:spacing w:after="0"/>
              <w:rPr>
                <w:sz w:val="20"/>
                <w:szCs w:val="20"/>
                <w:color w:val="auto"/>
              </w:rPr>
            </w:pPr>
            <w:r>
              <w:rPr>
                <w:rFonts w:ascii="Arial" w:cs="Arial" w:eastAsia="Arial" w:hAnsi="Arial"/>
                <w:sz w:val="16"/>
                <w:szCs w:val="16"/>
                <w:color w:val="auto"/>
              </w:rPr>
              <w:t>Canada/South America</w:t>
            </w:r>
          </w:p>
        </w:tc>
        <w:tc>
          <w:tcPr>
            <w:tcW w:w="4660" w:type="dxa"/>
            <w:vAlign w:val="bottom"/>
            <w:gridSpan w:val="2"/>
          </w:tcPr>
          <w:p>
            <w:pPr>
              <w:jc w:val="right"/>
              <w:ind w:right="498"/>
              <w:spacing w:after="0"/>
              <w:rPr>
                <w:sz w:val="20"/>
                <w:szCs w:val="20"/>
                <w:color w:val="auto"/>
              </w:rPr>
            </w:pPr>
            <w:r>
              <w:rPr>
                <w:rFonts w:ascii="Arial" w:cs="Arial" w:eastAsia="Arial" w:hAnsi="Arial"/>
                <w:sz w:val="16"/>
                <w:szCs w:val="16"/>
                <w:color w:val="auto"/>
              </w:rPr>
              <w:t>3</w:t>
            </w:r>
          </w:p>
        </w:tc>
        <w:tc>
          <w:tcPr>
            <w:tcW w:w="186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360" w:type="dxa"/>
            <w:vAlign w:val="bottom"/>
          </w:tcPr>
          <w:p>
            <w:pPr>
              <w:ind w:left="700"/>
              <w:spacing w:after="0"/>
              <w:rPr>
                <w:sz w:val="20"/>
                <w:szCs w:val="20"/>
                <w:color w:val="auto"/>
              </w:rPr>
            </w:pPr>
            <w:r>
              <w:rPr>
                <w:rFonts w:ascii="Arial" w:cs="Arial" w:eastAsia="Arial" w:hAnsi="Arial"/>
                <w:sz w:val="16"/>
                <w:szCs w:val="16"/>
                <w:color w:val="auto"/>
              </w:rPr>
              <w:t>Europe</w:t>
            </w:r>
          </w:p>
        </w:tc>
        <w:tc>
          <w:tcPr>
            <w:tcW w:w="4660" w:type="dxa"/>
            <w:vAlign w:val="bottom"/>
            <w:gridSpan w:val="2"/>
          </w:tcPr>
          <w:p>
            <w:pPr>
              <w:jc w:val="right"/>
              <w:ind w:right="498"/>
              <w:spacing w:after="0"/>
              <w:rPr>
                <w:sz w:val="20"/>
                <w:szCs w:val="20"/>
                <w:color w:val="auto"/>
              </w:rPr>
            </w:pPr>
            <w:r>
              <w:rPr>
                <w:rFonts w:ascii="Arial" w:cs="Arial" w:eastAsia="Arial" w:hAnsi="Arial"/>
                <w:sz w:val="16"/>
                <w:szCs w:val="16"/>
                <w:color w:val="auto"/>
              </w:rPr>
              <w:t>1</w:t>
            </w:r>
          </w:p>
        </w:tc>
        <w:tc>
          <w:tcPr>
            <w:tcW w:w="1860" w:type="dxa"/>
            <w:vAlign w:val="bottom"/>
          </w:tcPr>
          <w:p>
            <w:pPr>
              <w:jc w:val="right"/>
              <w:ind w:right="879"/>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360" w:type="dxa"/>
            <w:vAlign w:val="bottom"/>
          </w:tcPr>
          <w:p>
            <w:pPr>
              <w:ind w:left="700"/>
              <w:spacing w:after="0"/>
              <w:rPr>
                <w:sz w:val="20"/>
                <w:szCs w:val="20"/>
                <w:color w:val="auto"/>
              </w:rPr>
            </w:pPr>
            <w:r>
              <w:rPr>
                <w:rFonts w:ascii="Arial" w:cs="Arial" w:eastAsia="Arial" w:hAnsi="Arial"/>
                <w:sz w:val="16"/>
                <w:szCs w:val="16"/>
                <w:color w:val="auto"/>
              </w:rPr>
              <w:t>Africa</w:t>
            </w:r>
          </w:p>
        </w:tc>
        <w:tc>
          <w:tcPr>
            <w:tcW w:w="4660" w:type="dxa"/>
            <w:vAlign w:val="bottom"/>
            <w:gridSpan w:val="2"/>
          </w:tcPr>
          <w:p>
            <w:pPr>
              <w:jc w:val="right"/>
              <w:ind w:right="498"/>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360" w:type="dxa"/>
            <w:vAlign w:val="bottom"/>
          </w:tcPr>
          <w:p>
            <w:pPr>
              <w:ind w:left="700"/>
              <w:spacing w:after="0"/>
              <w:rPr>
                <w:sz w:val="20"/>
                <w:szCs w:val="20"/>
                <w:color w:val="auto"/>
              </w:rPr>
            </w:pPr>
            <w:r>
              <w:rPr>
                <w:rFonts w:ascii="Arial" w:cs="Arial" w:eastAsia="Arial" w:hAnsi="Arial"/>
                <w:sz w:val="16"/>
                <w:szCs w:val="16"/>
                <w:color w:val="auto"/>
              </w:rPr>
              <w:t>Asia</w:t>
            </w:r>
          </w:p>
        </w:tc>
        <w:tc>
          <w:tcPr>
            <w:tcW w:w="4660" w:type="dxa"/>
            <w:vAlign w:val="bottom"/>
            <w:gridSpan w:val="2"/>
          </w:tcPr>
          <w:p>
            <w:pPr>
              <w:jc w:val="right"/>
              <w:ind w:right="498"/>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208"/>
        </w:trPr>
        <w:tc>
          <w:tcPr>
            <w:tcW w:w="580" w:type="dxa"/>
            <w:vAlign w:val="bottom"/>
          </w:tcPr>
          <w:p>
            <w:pPr>
              <w:spacing w:after="0"/>
              <w:rPr>
                <w:sz w:val="18"/>
                <w:szCs w:val="18"/>
                <w:color w:val="auto"/>
              </w:rPr>
            </w:pPr>
          </w:p>
        </w:tc>
        <w:tc>
          <w:tcPr>
            <w:tcW w:w="4360" w:type="dxa"/>
            <w:vAlign w:val="bottom"/>
          </w:tcPr>
          <w:p>
            <w:pPr>
              <w:ind w:left="700"/>
              <w:spacing w:after="0"/>
              <w:rPr>
                <w:sz w:val="20"/>
                <w:szCs w:val="20"/>
                <w:color w:val="auto"/>
              </w:rPr>
            </w:pPr>
            <w:r>
              <w:rPr>
                <w:rFonts w:ascii="Arial" w:cs="Arial" w:eastAsia="Arial" w:hAnsi="Arial"/>
                <w:sz w:val="16"/>
                <w:szCs w:val="16"/>
                <w:color w:val="auto"/>
              </w:rPr>
              <w:t>Australia/Oceania</w:t>
            </w:r>
          </w:p>
        </w:tc>
        <w:tc>
          <w:tcPr>
            <w:tcW w:w="4660" w:type="dxa"/>
            <w:vAlign w:val="bottom"/>
            <w:gridSpan w:val="2"/>
          </w:tcPr>
          <w:p>
            <w:pPr>
              <w:jc w:val="right"/>
              <w:ind w:right="498"/>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201"/>
        </w:trPr>
        <w:tc>
          <w:tcPr>
            <w:tcW w:w="580" w:type="dxa"/>
            <w:vAlign w:val="bottom"/>
          </w:tcPr>
          <w:p>
            <w:pPr>
              <w:spacing w:after="0"/>
              <w:rPr>
                <w:sz w:val="17"/>
                <w:szCs w:val="17"/>
                <w:color w:val="auto"/>
              </w:rPr>
            </w:pPr>
          </w:p>
        </w:tc>
        <w:tc>
          <w:tcPr>
            <w:tcW w:w="4360" w:type="dxa"/>
            <w:vAlign w:val="bottom"/>
          </w:tcPr>
          <w:p>
            <w:pPr>
              <w:ind w:left="1040"/>
              <w:spacing w:after="0"/>
              <w:rPr>
                <w:sz w:val="20"/>
                <w:szCs w:val="20"/>
                <w:color w:val="auto"/>
              </w:rPr>
            </w:pPr>
            <w:r>
              <w:rPr>
                <w:rFonts w:ascii="Arial" w:cs="Arial" w:eastAsia="Arial" w:hAnsi="Arial"/>
                <w:sz w:val="16"/>
                <w:szCs w:val="16"/>
                <w:color w:val="auto"/>
              </w:rPr>
              <w:t>Total Consolidated Subsidiaries</w:t>
            </w:r>
          </w:p>
        </w:tc>
        <w:tc>
          <w:tcPr>
            <w:tcW w:w="3320" w:type="dxa"/>
            <w:vAlign w:val="bottom"/>
          </w:tcPr>
          <w:p>
            <w:pPr>
              <w:spacing w:after="0"/>
              <w:rPr>
                <w:sz w:val="17"/>
                <w:szCs w:val="17"/>
                <w:color w:val="auto"/>
              </w:rPr>
            </w:pPr>
          </w:p>
        </w:tc>
        <w:tc>
          <w:tcPr>
            <w:tcW w:w="1340" w:type="dxa"/>
            <w:vAlign w:val="bottom"/>
            <w:tcBorders>
              <w:top w:val="single" w:sz="8" w:color="auto"/>
            </w:tcBorders>
          </w:tcPr>
          <w:p>
            <w:pPr>
              <w:jc w:val="right"/>
              <w:ind w:right="498"/>
              <w:spacing w:after="0"/>
              <w:rPr>
                <w:sz w:val="20"/>
                <w:szCs w:val="20"/>
                <w:color w:val="auto"/>
              </w:rPr>
            </w:pPr>
            <w:r>
              <w:rPr>
                <w:rFonts w:ascii="Arial" w:cs="Arial" w:eastAsia="Arial" w:hAnsi="Arial"/>
                <w:sz w:val="16"/>
                <w:szCs w:val="16"/>
                <w:color w:val="auto"/>
              </w:rPr>
              <w:t>10</w:t>
            </w:r>
          </w:p>
        </w:tc>
        <w:tc>
          <w:tcPr>
            <w:tcW w:w="186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color w:val="auto"/>
              </w:rPr>
              <w:t>7</w:t>
            </w:r>
          </w:p>
        </w:tc>
        <w:tc>
          <w:tcPr>
            <w:tcW w:w="60" w:type="dxa"/>
            <w:vAlign w:val="bottom"/>
            <w:tcBorders>
              <w:top w:val="single" w:sz="8" w:color="auto"/>
            </w:tcBorders>
          </w:tcPr>
          <w:p>
            <w:pPr>
              <w:spacing w:after="0"/>
              <w:rPr>
                <w:sz w:val="17"/>
                <w:szCs w:val="17"/>
                <w:color w:val="auto"/>
              </w:rPr>
            </w:pPr>
          </w:p>
        </w:tc>
      </w:tr>
      <w:tr>
        <w:trPr>
          <w:trHeight w:val="368"/>
        </w:trPr>
        <w:tc>
          <w:tcPr>
            <w:tcW w:w="580" w:type="dxa"/>
            <w:vAlign w:val="bottom"/>
          </w:tcPr>
          <w:p>
            <w:pPr>
              <w:spacing w:after="0"/>
              <w:rPr>
                <w:sz w:val="24"/>
                <w:szCs w:val="24"/>
                <w:color w:val="auto"/>
              </w:rPr>
            </w:pPr>
          </w:p>
        </w:tc>
        <w:tc>
          <w:tcPr>
            <w:tcW w:w="4360" w:type="dxa"/>
            <w:vAlign w:val="bottom"/>
          </w:tcPr>
          <w:p>
            <w:pPr>
              <w:ind w:left="340"/>
              <w:spacing w:after="0"/>
              <w:rPr>
                <w:sz w:val="20"/>
                <w:szCs w:val="20"/>
                <w:color w:val="auto"/>
              </w:rPr>
            </w:pPr>
            <w:r>
              <w:rPr>
                <w:rFonts w:ascii="Arial" w:cs="Arial" w:eastAsia="Arial" w:hAnsi="Arial"/>
                <w:sz w:val="16"/>
                <w:szCs w:val="16"/>
                <w:b w:val="1"/>
                <w:bCs w:val="1"/>
                <w:color w:val="auto"/>
              </w:rPr>
              <w:t>Equity Companies</w:t>
            </w:r>
          </w:p>
        </w:tc>
        <w:tc>
          <w:tcPr>
            <w:tcW w:w="3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4360" w:type="dxa"/>
            <w:vAlign w:val="bottom"/>
          </w:tcPr>
          <w:p>
            <w:pPr>
              <w:ind w:left="700"/>
              <w:spacing w:after="0"/>
              <w:rPr>
                <w:sz w:val="20"/>
                <w:szCs w:val="20"/>
                <w:color w:val="auto"/>
              </w:rPr>
            </w:pPr>
            <w:r>
              <w:rPr>
                <w:rFonts w:ascii="Arial" w:cs="Arial" w:eastAsia="Arial" w:hAnsi="Arial"/>
                <w:sz w:val="16"/>
                <w:szCs w:val="16"/>
                <w:color w:val="auto"/>
              </w:rPr>
              <w:t>United States</w:t>
            </w:r>
          </w:p>
        </w:tc>
        <w:tc>
          <w:tcPr>
            <w:tcW w:w="4660" w:type="dxa"/>
            <w:vAlign w:val="bottom"/>
            <w:gridSpan w:val="2"/>
          </w:tcPr>
          <w:p>
            <w:pPr>
              <w:jc w:val="right"/>
              <w:ind w:right="498"/>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360" w:type="dxa"/>
            <w:vAlign w:val="bottom"/>
          </w:tcPr>
          <w:p>
            <w:pPr>
              <w:ind w:left="700"/>
              <w:spacing w:after="0"/>
              <w:rPr>
                <w:sz w:val="20"/>
                <w:szCs w:val="20"/>
                <w:color w:val="auto"/>
              </w:rPr>
            </w:pPr>
            <w:r>
              <w:rPr>
                <w:rFonts w:ascii="Arial" w:cs="Arial" w:eastAsia="Arial" w:hAnsi="Arial"/>
                <w:sz w:val="16"/>
                <w:szCs w:val="16"/>
                <w:color w:val="auto"/>
              </w:rPr>
              <w:t>Europe</w:t>
            </w:r>
          </w:p>
        </w:tc>
        <w:tc>
          <w:tcPr>
            <w:tcW w:w="4660" w:type="dxa"/>
            <w:vAlign w:val="bottom"/>
            <w:gridSpan w:val="2"/>
          </w:tcPr>
          <w:p>
            <w:pPr>
              <w:jc w:val="right"/>
              <w:ind w:right="498"/>
              <w:spacing w:after="0"/>
              <w:rPr>
                <w:sz w:val="20"/>
                <w:szCs w:val="20"/>
                <w:color w:val="auto"/>
              </w:rPr>
            </w:pPr>
            <w:r>
              <w:rPr>
                <w:rFonts w:ascii="Arial" w:cs="Arial" w:eastAsia="Arial" w:hAnsi="Arial"/>
                <w:sz w:val="16"/>
                <w:szCs w:val="16"/>
                <w:color w:val="auto"/>
              </w:rPr>
              <w:t>1</w:t>
            </w:r>
          </w:p>
        </w:tc>
        <w:tc>
          <w:tcPr>
            <w:tcW w:w="1860" w:type="dxa"/>
            <w:vAlign w:val="bottom"/>
          </w:tcPr>
          <w:p>
            <w:pPr>
              <w:jc w:val="right"/>
              <w:ind w:right="879"/>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7"/>
                <w:szCs w:val="17"/>
                <w:color w:val="auto"/>
              </w:rPr>
            </w:pPr>
          </w:p>
        </w:tc>
      </w:tr>
      <w:tr>
        <w:trPr>
          <w:trHeight w:val="208"/>
        </w:trPr>
        <w:tc>
          <w:tcPr>
            <w:tcW w:w="580" w:type="dxa"/>
            <w:vAlign w:val="bottom"/>
          </w:tcPr>
          <w:p>
            <w:pPr>
              <w:spacing w:after="0"/>
              <w:rPr>
                <w:sz w:val="18"/>
                <w:szCs w:val="18"/>
                <w:color w:val="auto"/>
              </w:rPr>
            </w:pPr>
          </w:p>
        </w:tc>
        <w:tc>
          <w:tcPr>
            <w:tcW w:w="4360" w:type="dxa"/>
            <w:vAlign w:val="bottom"/>
          </w:tcPr>
          <w:p>
            <w:pPr>
              <w:ind w:left="700"/>
              <w:spacing w:after="0"/>
              <w:rPr>
                <w:sz w:val="20"/>
                <w:szCs w:val="20"/>
                <w:color w:val="auto"/>
              </w:rPr>
            </w:pPr>
            <w:r>
              <w:rPr>
                <w:rFonts w:ascii="Arial" w:cs="Arial" w:eastAsia="Arial" w:hAnsi="Arial"/>
                <w:sz w:val="16"/>
                <w:szCs w:val="16"/>
                <w:color w:val="auto"/>
              </w:rPr>
              <w:t>Asia</w:t>
            </w:r>
          </w:p>
        </w:tc>
        <w:tc>
          <w:tcPr>
            <w:tcW w:w="4660" w:type="dxa"/>
            <w:vAlign w:val="bottom"/>
            <w:gridSpan w:val="2"/>
          </w:tcPr>
          <w:p>
            <w:pPr>
              <w:jc w:val="right"/>
              <w:ind w:right="498"/>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189"/>
        </w:trPr>
        <w:tc>
          <w:tcPr>
            <w:tcW w:w="580" w:type="dxa"/>
            <w:vAlign w:val="bottom"/>
          </w:tcPr>
          <w:p>
            <w:pPr>
              <w:spacing w:after="0"/>
              <w:rPr>
                <w:sz w:val="16"/>
                <w:szCs w:val="16"/>
                <w:color w:val="auto"/>
              </w:rPr>
            </w:pPr>
          </w:p>
        </w:tc>
        <w:tc>
          <w:tcPr>
            <w:tcW w:w="4360" w:type="dxa"/>
            <w:vAlign w:val="bottom"/>
          </w:tcPr>
          <w:p>
            <w:pPr>
              <w:ind w:left="1040"/>
              <w:spacing w:after="0"/>
              <w:rPr>
                <w:sz w:val="20"/>
                <w:szCs w:val="20"/>
                <w:color w:val="auto"/>
              </w:rPr>
            </w:pPr>
            <w:r>
              <w:rPr>
                <w:rFonts w:ascii="Arial" w:cs="Arial" w:eastAsia="Arial" w:hAnsi="Arial"/>
                <w:sz w:val="16"/>
                <w:szCs w:val="16"/>
                <w:color w:val="auto"/>
              </w:rPr>
              <w:t>Total Equity Companies</w:t>
            </w:r>
          </w:p>
        </w:tc>
        <w:tc>
          <w:tcPr>
            <w:tcW w:w="332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6"/>
                <w:szCs w:val="16"/>
                <w:color w:val="auto"/>
              </w:rPr>
              <w:t>1</w:t>
            </w:r>
          </w:p>
        </w:tc>
        <w:tc>
          <w:tcPr>
            <w:tcW w:w="18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color w:val="auto"/>
              </w:rPr>
              <w:t>1</w:t>
            </w:r>
          </w:p>
        </w:tc>
        <w:tc>
          <w:tcPr>
            <w:tcW w:w="60" w:type="dxa"/>
            <w:vAlign w:val="bottom"/>
            <w:tcBorders>
              <w:top w:val="single" w:sz="8" w:color="auto"/>
              <w:bottom w:val="single" w:sz="8" w:color="auto"/>
            </w:tcBorders>
          </w:tcPr>
          <w:p>
            <w:pPr>
              <w:spacing w:after="0"/>
              <w:rPr>
                <w:sz w:val="16"/>
                <w:szCs w:val="16"/>
                <w:color w:val="auto"/>
              </w:rPr>
            </w:pPr>
          </w:p>
        </w:tc>
      </w:tr>
      <w:tr>
        <w:trPr>
          <w:trHeight w:val="188"/>
        </w:trPr>
        <w:tc>
          <w:tcPr>
            <w:tcW w:w="580" w:type="dxa"/>
            <w:vAlign w:val="bottom"/>
          </w:tcPr>
          <w:p>
            <w:pPr>
              <w:spacing w:after="0"/>
              <w:rPr>
                <w:sz w:val="16"/>
                <w:szCs w:val="16"/>
                <w:color w:val="auto"/>
              </w:rPr>
            </w:pPr>
          </w:p>
        </w:tc>
        <w:tc>
          <w:tcPr>
            <w:tcW w:w="4360" w:type="dxa"/>
            <w:vAlign w:val="bottom"/>
          </w:tcPr>
          <w:p>
            <w:pPr>
              <w:spacing w:after="0"/>
              <w:rPr>
                <w:sz w:val="20"/>
                <w:szCs w:val="20"/>
                <w:color w:val="auto"/>
              </w:rPr>
            </w:pPr>
            <w:r>
              <w:rPr>
                <w:rFonts w:ascii="Arial" w:cs="Arial" w:eastAsia="Arial" w:hAnsi="Arial"/>
                <w:sz w:val="16"/>
                <w:szCs w:val="16"/>
                <w:b w:val="1"/>
                <w:bCs w:val="1"/>
                <w:color w:val="auto"/>
              </w:rPr>
              <w:t>Total dry development wells drilled</w:t>
            </w:r>
          </w:p>
        </w:tc>
        <w:tc>
          <w:tcPr>
            <w:tcW w:w="3320" w:type="dxa"/>
            <w:vAlign w:val="bottom"/>
          </w:tcPr>
          <w:p>
            <w:pPr>
              <w:spacing w:after="0"/>
              <w:rPr>
                <w:sz w:val="16"/>
                <w:szCs w:val="16"/>
                <w:color w:val="auto"/>
              </w:rPr>
            </w:pPr>
          </w:p>
        </w:tc>
        <w:tc>
          <w:tcPr>
            <w:tcW w:w="13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color w:val="auto"/>
              </w:rPr>
              <w:t>11</w:t>
            </w: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rPr>
              <w:t>8</w:t>
            </w:r>
          </w:p>
        </w:tc>
        <w:tc>
          <w:tcPr>
            <w:tcW w:w="60" w:type="dxa"/>
            <w:vAlign w:val="bottom"/>
            <w:tcBorders>
              <w:bottom w:val="single" w:sz="8" w:color="auto"/>
            </w:tcBorders>
          </w:tcPr>
          <w:p>
            <w:pPr>
              <w:spacing w:after="0"/>
              <w:rPr>
                <w:sz w:val="16"/>
                <w:szCs w:val="16"/>
                <w:color w:val="auto"/>
              </w:rPr>
            </w:pPr>
          </w:p>
        </w:tc>
      </w:tr>
      <w:tr>
        <w:trPr>
          <w:trHeight w:val="383"/>
        </w:trPr>
        <w:tc>
          <w:tcPr>
            <w:tcW w:w="580" w:type="dxa"/>
            <w:vAlign w:val="bottom"/>
          </w:tcPr>
          <w:p>
            <w:pPr>
              <w:spacing w:after="0"/>
              <w:rPr>
                <w:sz w:val="24"/>
                <w:szCs w:val="24"/>
                <w:color w:val="auto"/>
              </w:rPr>
            </w:pPr>
          </w:p>
        </w:tc>
        <w:tc>
          <w:tcPr>
            <w:tcW w:w="4360" w:type="dxa"/>
            <w:vAlign w:val="bottom"/>
          </w:tcPr>
          <w:p>
            <w:pPr>
              <w:ind w:left="340"/>
              <w:spacing w:after="0"/>
              <w:rPr>
                <w:sz w:val="20"/>
                <w:szCs w:val="20"/>
                <w:color w:val="auto"/>
              </w:rPr>
            </w:pPr>
            <w:r>
              <w:rPr>
                <w:rFonts w:ascii="Arial" w:cs="Arial" w:eastAsia="Arial" w:hAnsi="Arial"/>
                <w:sz w:val="16"/>
                <w:szCs w:val="16"/>
                <w:b w:val="1"/>
                <w:bCs w:val="1"/>
                <w:color w:val="auto"/>
              </w:rPr>
              <w:t>Total number of net wells drilled</w:t>
            </w:r>
          </w:p>
        </w:tc>
        <w:tc>
          <w:tcPr>
            <w:tcW w:w="4660" w:type="dxa"/>
            <w:vAlign w:val="bottom"/>
            <w:gridSpan w:val="2"/>
          </w:tcPr>
          <w:p>
            <w:pPr>
              <w:jc w:val="right"/>
              <w:ind w:right="498"/>
              <w:spacing w:after="0"/>
              <w:rPr>
                <w:sz w:val="20"/>
                <w:szCs w:val="20"/>
                <w:color w:val="auto"/>
              </w:rPr>
            </w:pPr>
            <w:r>
              <w:rPr>
                <w:rFonts w:ascii="Arial" w:cs="Arial" w:eastAsia="Arial" w:hAnsi="Arial"/>
                <w:sz w:val="16"/>
                <w:szCs w:val="16"/>
                <w:color w:val="auto"/>
              </w:rPr>
              <w:t>1,344</w:t>
            </w:r>
          </w:p>
        </w:tc>
        <w:tc>
          <w:tcPr>
            <w:tcW w:w="1860" w:type="dxa"/>
            <w:vAlign w:val="bottom"/>
          </w:tcPr>
          <w:p>
            <w:pPr>
              <w:jc w:val="right"/>
              <w:ind w:right="879"/>
              <w:spacing w:after="0"/>
              <w:rPr>
                <w:sz w:val="20"/>
                <w:szCs w:val="20"/>
                <w:color w:val="auto"/>
              </w:rPr>
            </w:pPr>
            <w:r>
              <w:rPr>
                <w:rFonts w:ascii="Arial" w:cs="Arial" w:eastAsia="Arial" w:hAnsi="Arial"/>
                <w:sz w:val="16"/>
                <w:szCs w:val="16"/>
                <w:color w:val="auto"/>
              </w:rPr>
              <w:t>1,405</w:t>
            </w:r>
          </w:p>
        </w:tc>
        <w:tc>
          <w:tcPr>
            <w:tcW w:w="60" w:type="dxa"/>
            <w:vAlign w:val="bottom"/>
          </w:tcPr>
          <w:p>
            <w:pPr>
              <w:spacing w:after="0"/>
              <w:rPr>
                <w:sz w:val="24"/>
                <w:szCs w:val="24"/>
                <w:color w:val="auto"/>
              </w:rPr>
            </w:pPr>
          </w:p>
        </w:tc>
      </w:tr>
      <w:tr>
        <w:trPr>
          <w:trHeight w:val="213"/>
        </w:trPr>
        <w:tc>
          <w:tcPr>
            <w:tcW w:w="5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3320" w:type="dxa"/>
            <w:vAlign w:val="bottom"/>
          </w:tcPr>
          <w:p>
            <w:pPr>
              <w:jc w:val="right"/>
              <w:ind w:right="1819"/>
              <w:spacing w:after="0"/>
              <w:rPr>
                <w:sz w:val="20"/>
                <w:szCs w:val="20"/>
                <w:color w:val="auto"/>
              </w:rPr>
            </w:pPr>
            <w:r>
              <w:rPr>
                <w:rFonts w:ascii="Arial" w:cs="Arial" w:eastAsia="Arial" w:hAnsi="Arial"/>
                <w:sz w:val="16"/>
                <w:szCs w:val="16"/>
                <w:color w:val="auto"/>
              </w:rPr>
              <w:t>12</w:t>
            </w:r>
          </w:p>
        </w:tc>
        <w:tc>
          <w:tcPr>
            <w:tcW w:w="134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r>
      <w:tr>
        <w:trPr>
          <w:trHeight w:val="745"/>
        </w:trPr>
        <w:tc>
          <w:tcPr>
            <w:tcW w:w="580" w:type="dxa"/>
            <w:vAlign w:val="bottom"/>
            <w:tcBorders>
              <w:bottom w:val="single" w:sz="8" w:color="808080"/>
            </w:tcBorders>
          </w:tcPr>
          <w:p>
            <w:pPr>
              <w:spacing w:after="0"/>
              <w:rPr>
                <w:sz w:val="24"/>
                <w:szCs w:val="24"/>
                <w:color w:val="auto"/>
              </w:rPr>
            </w:pPr>
          </w:p>
        </w:tc>
        <w:tc>
          <w:tcPr>
            <w:tcW w:w="436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671" w:right="1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B. Exploratory and Development Activities Regarding Oil and Gas Resources Extracted by Mining Technologies</w:t>
      </w:r>
    </w:p>
    <w:p>
      <w:pPr>
        <w:spacing w:after="0" w:line="8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b w:val="1"/>
          <w:bCs w:val="1"/>
          <w:color w:val="auto"/>
        </w:rPr>
        <w:t xml:space="preserve">Syncrude Operations. </w:t>
      </w:r>
      <w:r>
        <w:rPr>
          <w:rFonts w:ascii="Arial" w:cs="Arial" w:eastAsia="Arial" w:hAnsi="Arial"/>
          <w:sz w:val="16"/>
          <w:szCs w:val="16"/>
          <w:color w:val="auto"/>
        </w:rPr>
        <w:t>Syncrude is a joint venture established to recover shallow deposits of oil sands using open-pit mining methods to extract the crude bitumen, a</w:t>
      </w:r>
      <w:r>
        <w:rPr>
          <w:rFonts w:ascii="Arial" w:cs="Arial" w:eastAsia="Arial" w:hAnsi="Arial"/>
          <w:sz w:val="16"/>
          <w:szCs w:val="16"/>
          <w:b w:val="1"/>
          <w:bCs w:val="1"/>
          <w:color w:val="auto"/>
        </w:rPr>
        <w:t xml:space="preserve"> </w:t>
      </w:r>
      <w:r>
        <w:rPr>
          <w:rFonts w:ascii="Arial" w:cs="Arial" w:eastAsia="Arial" w:hAnsi="Arial"/>
          <w:sz w:val="16"/>
          <w:szCs w:val="16"/>
          <w:color w:val="auto"/>
        </w:rPr>
        <w:t>upgrade it to produce a high-quality, light (32 degrees API), sweet, synthetic crude oil. Imperial Oil Limited is the owner of a 25 percent interest in the joint venture. Mobil Corporation has a 69.6 percent interest in Imperial Oil Limited. In 2014, the company’s share of net production of synthetic crude oil was about 60 thousand bar day and share of net acreage was about 63 thousand acres in the Athabasca oil sands deposit.</w:t>
      </w:r>
    </w:p>
    <w:p>
      <w:pPr>
        <w:spacing w:after="0" w:line="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b w:val="1"/>
          <w:bCs w:val="1"/>
          <w:color w:val="auto"/>
        </w:rPr>
        <w:t xml:space="preserve">Kearl Project. </w:t>
      </w:r>
      <w:r>
        <w:rPr>
          <w:rFonts w:ascii="Arial" w:cs="Arial" w:eastAsia="Arial" w:hAnsi="Arial"/>
          <w:sz w:val="16"/>
          <w:szCs w:val="16"/>
          <w:color w:val="auto"/>
        </w:rPr>
        <w:t>The Kearl project is a joint venture established to recover shallow deposits of oil sands using open-pit mining methods to extract the crude bitumen. I</w:t>
      </w:r>
      <w:r>
        <w:rPr>
          <w:rFonts w:ascii="Arial" w:cs="Arial" w:eastAsia="Arial" w:hAnsi="Arial"/>
          <w:sz w:val="16"/>
          <w:szCs w:val="16"/>
          <w:b w:val="1"/>
          <w:bCs w:val="1"/>
          <w:color w:val="auto"/>
        </w:rPr>
        <w:t xml:space="preserve"> </w:t>
      </w:r>
      <w:r>
        <w:rPr>
          <w:rFonts w:ascii="Arial" w:cs="Arial" w:eastAsia="Arial" w:hAnsi="Arial"/>
          <w:sz w:val="16"/>
          <w:szCs w:val="16"/>
          <w:color w:val="auto"/>
        </w:rPr>
        <w:t>Oil Limited holds a 70.96 percent interest in the joint venture and ExxonMobil Canada Properties holds the other 29.04 percent. Exxon Mobil Corporation has a 69.6 interest in Imperial Oil Limited and a 100 percent interest in ExxonMobil Canada Properties. Kearl is comprised of six oil sands leases covering about 48 thousand the Athabasca oil sands deposit.</w:t>
      </w:r>
    </w:p>
    <w:p>
      <w:pPr>
        <w:spacing w:after="0" w:line="43" w:lineRule="exact"/>
        <w:rPr>
          <w:sz w:val="20"/>
          <w:szCs w:val="20"/>
          <w:color w:val="auto"/>
        </w:rPr>
      </w:pPr>
    </w:p>
    <w:p>
      <w:pPr>
        <w:jc w:val="both"/>
        <w:ind w:firstLine="200"/>
        <w:spacing w:after="0" w:line="263" w:lineRule="auto"/>
        <w:rPr>
          <w:sz w:val="20"/>
          <w:szCs w:val="20"/>
          <w:color w:val="auto"/>
        </w:rPr>
      </w:pPr>
      <w:r>
        <w:rPr>
          <w:rFonts w:ascii="Arial" w:cs="Arial" w:eastAsia="Arial" w:hAnsi="Arial"/>
          <w:sz w:val="16"/>
          <w:szCs w:val="16"/>
          <w:color w:val="auto"/>
        </w:rPr>
        <w:t>The Kearl project is located approximately 40 miles north of Fort McMurray, Alberta, Canada. Bitumen is extracted from oil sands produced from open-pit operations, and processed through a bitumen extraction and froth treatment train. The product, a blend of bitumen and diluent, is shipped to our refineries and to oth parties. Diluent is natural gas condensate or other light hydrocarbons added to the crude bitumen to facilitate transportation by pipeline. During 2014, average net pro at Kearl was 66 thousand barrels per day. The Kearl Expansion project was essentially complete at the end of 2014, and the commissioning of facilities comme preparation for start-up.</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Present Activities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Wells Drilling</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5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Year-End 2014</w:t>
            </w:r>
          </w:p>
        </w:tc>
        <w:tc>
          <w:tcPr>
            <w:tcW w:w="1040" w:type="dxa"/>
            <w:vAlign w:val="bottom"/>
          </w:tcPr>
          <w:p>
            <w:pPr>
              <w:spacing w:after="0"/>
              <w:rPr>
                <w:sz w:val="14"/>
                <w:szCs w:val="14"/>
                <w:color w:val="auto"/>
              </w:rPr>
            </w:pPr>
          </w:p>
        </w:tc>
        <w:tc>
          <w:tcPr>
            <w:tcW w:w="1860" w:type="dxa"/>
            <w:vAlign w:val="bottom"/>
          </w:tcPr>
          <w:p>
            <w:pPr>
              <w:jc w:val="right"/>
              <w:ind w:right="41"/>
              <w:spacing w:after="0"/>
              <w:rPr>
                <w:sz w:val="20"/>
                <w:szCs w:val="20"/>
                <w:color w:val="auto"/>
              </w:rPr>
            </w:pPr>
            <w:r>
              <w:rPr>
                <w:rFonts w:ascii="Arial" w:cs="Arial" w:eastAsia="Arial" w:hAnsi="Arial"/>
                <w:sz w:val="13"/>
                <w:szCs w:val="13"/>
                <w:b w:val="1"/>
                <w:bCs w:val="1"/>
                <w:color w:val="auto"/>
              </w:rPr>
              <w:t>Year-End 2013</w:t>
            </w:r>
          </w:p>
        </w:tc>
      </w:tr>
      <w:tr>
        <w:trPr>
          <w:trHeight w:val="23"/>
        </w:trPr>
        <w:tc>
          <w:tcPr>
            <w:tcW w:w="65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171"/>
        </w:trPr>
        <w:tc>
          <w:tcPr>
            <w:tcW w:w="65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861"/>
              <w:spacing w:after="0"/>
              <w:rPr>
                <w:sz w:val="20"/>
                <w:szCs w:val="20"/>
                <w:color w:val="auto"/>
              </w:rPr>
            </w:pPr>
            <w:r>
              <w:rPr>
                <w:rFonts w:ascii="Arial" w:cs="Arial" w:eastAsia="Arial" w:hAnsi="Arial"/>
                <w:sz w:val="13"/>
                <w:szCs w:val="13"/>
                <w:b w:val="1"/>
                <w:bCs w:val="1"/>
                <w:color w:val="auto"/>
              </w:rPr>
              <w:t>Gross</w:t>
            </w:r>
          </w:p>
        </w:tc>
        <w:tc>
          <w:tcPr>
            <w:tcW w:w="1040" w:type="dxa"/>
            <w:vAlign w:val="bottom"/>
            <w:tcBorders>
              <w:bottom w:val="single" w:sz="8" w:color="auto"/>
            </w:tcBorders>
          </w:tcPr>
          <w:p>
            <w:pPr>
              <w:jc w:val="right"/>
              <w:ind w:right="700"/>
              <w:spacing w:after="0"/>
              <w:rPr>
                <w:sz w:val="20"/>
                <w:szCs w:val="20"/>
                <w:color w:val="auto"/>
              </w:rPr>
            </w:pPr>
            <w:r>
              <w:rPr>
                <w:rFonts w:ascii="Arial" w:cs="Arial" w:eastAsia="Arial" w:hAnsi="Arial"/>
                <w:sz w:val="13"/>
                <w:szCs w:val="13"/>
                <w:b w:val="1"/>
                <w:bCs w:val="1"/>
                <w:color w:val="auto"/>
              </w:rPr>
              <w:t>Net</w:t>
            </w:r>
          </w:p>
        </w:tc>
        <w:tc>
          <w:tcPr>
            <w:tcW w:w="1860" w:type="dxa"/>
            <w:vAlign w:val="bottom"/>
            <w:tcBorders>
              <w:bottom w:val="single" w:sz="8" w:color="auto"/>
            </w:tcBorders>
          </w:tcPr>
          <w:p>
            <w:pPr>
              <w:jc w:val="right"/>
              <w:ind w:right="901"/>
              <w:spacing w:after="0"/>
              <w:rPr>
                <w:sz w:val="20"/>
                <w:szCs w:val="20"/>
                <w:color w:val="auto"/>
              </w:rPr>
            </w:pPr>
            <w:r>
              <w:rPr>
                <w:rFonts w:ascii="Arial" w:cs="Arial" w:eastAsia="Arial" w:hAnsi="Arial"/>
                <w:sz w:val="13"/>
                <w:szCs w:val="13"/>
                <w:b w:val="1"/>
                <w:bCs w:val="1"/>
                <w:color w:val="auto"/>
              </w:rPr>
              <w:t>Gross</w:t>
            </w:r>
          </w:p>
        </w:tc>
      </w:tr>
      <w:tr>
        <w:trPr>
          <w:trHeight w:val="177"/>
        </w:trPr>
        <w:tc>
          <w:tcPr>
            <w:tcW w:w="6540" w:type="dxa"/>
            <w:vAlign w:val="bottom"/>
          </w:tcPr>
          <w:p>
            <w:pPr>
              <w:spacing w:after="0" w:line="178" w:lineRule="exact"/>
              <w:rPr>
                <w:sz w:val="20"/>
                <w:szCs w:val="20"/>
                <w:color w:val="auto"/>
              </w:rPr>
            </w:pPr>
            <w:r>
              <w:rPr>
                <w:rFonts w:ascii="Arial" w:cs="Arial" w:eastAsia="Arial" w:hAnsi="Arial"/>
                <w:sz w:val="16"/>
                <w:szCs w:val="16"/>
                <w:b w:val="1"/>
                <w:bCs w:val="1"/>
                <w:color w:val="auto"/>
              </w:rPr>
              <w:t>Wells Drilling</w:t>
            </w:r>
          </w:p>
        </w:tc>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00"/>
        </w:trPr>
        <w:tc>
          <w:tcPr>
            <w:tcW w:w="6540" w:type="dxa"/>
            <w:vAlign w:val="bottom"/>
          </w:tcPr>
          <w:p>
            <w:pPr>
              <w:ind w:left="240"/>
              <w:spacing w:after="0"/>
              <w:rPr>
                <w:sz w:val="20"/>
                <w:szCs w:val="20"/>
                <w:color w:val="auto"/>
              </w:rPr>
            </w:pPr>
            <w:r>
              <w:rPr>
                <w:rFonts w:ascii="Arial" w:cs="Arial" w:eastAsia="Arial" w:hAnsi="Arial"/>
                <w:sz w:val="16"/>
                <w:szCs w:val="16"/>
                <w:b w:val="1"/>
                <w:bCs w:val="1"/>
                <w:color w:val="auto"/>
              </w:rPr>
              <w:t>Consolidated Subsidiaries</w:t>
            </w: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6540" w:type="dxa"/>
            <w:vAlign w:val="bottom"/>
          </w:tcPr>
          <w:p>
            <w:pPr>
              <w:ind w:left="480"/>
              <w:spacing w:after="0"/>
              <w:rPr>
                <w:sz w:val="20"/>
                <w:szCs w:val="20"/>
                <w:color w:val="auto"/>
              </w:rPr>
            </w:pPr>
            <w:r>
              <w:rPr>
                <w:rFonts w:ascii="Arial" w:cs="Arial" w:eastAsia="Arial" w:hAnsi="Arial"/>
                <w:sz w:val="16"/>
                <w:szCs w:val="16"/>
                <w:color w:val="auto"/>
              </w:rPr>
              <w:t>United States</w:t>
            </w:r>
          </w:p>
        </w:tc>
        <w:tc>
          <w:tcPr>
            <w:tcW w:w="1500" w:type="dxa"/>
            <w:vAlign w:val="bottom"/>
          </w:tcPr>
          <w:p>
            <w:pPr>
              <w:jc w:val="right"/>
              <w:ind w:right="661"/>
              <w:spacing w:after="0"/>
              <w:rPr>
                <w:sz w:val="20"/>
                <w:szCs w:val="20"/>
                <w:color w:val="auto"/>
              </w:rPr>
            </w:pPr>
            <w:r>
              <w:rPr>
                <w:rFonts w:ascii="Arial" w:cs="Arial" w:eastAsia="Arial" w:hAnsi="Arial"/>
                <w:sz w:val="16"/>
                <w:szCs w:val="16"/>
                <w:color w:val="auto"/>
              </w:rPr>
              <w:t>1,120</w:t>
            </w:r>
          </w:p>
        </w:tc>
        <w:tc>
          <w:tcPr>
            <w:tcW w:w="1040" w:type="dxa"/>
            <w:vAlign w:val="bottom"/>
          </w:tcPr>
          <w:p>
            <w:pPr>
              <w:jc w:val="right"/>
              <w:ind w:right="460"/>
              <w:spacing w:after="0"/>
              <w:rPr>
                <w:sz w:val="20"/>
                <w:szCs w:val="20"/>
                <w:color w:val="auto"/>
              </w:rPr>
            </w:pPr>
            <w:r>
              <w:rPr>
                <w:rFonts w:ascii="Arial" w:cs="Arial" w:eastAsia="Arial" w:hAnsi="Arial"/>
                <w:sz w:val="16"/>
                <w:szCs w:val="16"/>
                <w:color w:val="auto"/>
              </w:rPr>
              <w:t>442</w:t>
            </w:r>
          </w:p>
        </w:tc>
        <w:tc>
          <w:tcPr>
            <w:tcW w:w="1860" w:type="dxa"/>
            <w:vAlign w:val="bottom"/>
          </w:tcPr>
          <w:p>
            <w:pPr>
              <w:jc w:val="right"/>
              <w:ind w:right="721"/>
              <w:spacing w:after="0"/>
              <w:rPr>
                <w:sz w:val="20"/>
                <w:szCs w:val="20"/>
                <w:color w:val="auto"/>
              </w:rPr>
            </w:pPr>
            <w:r>
              <w:rPr>
                <w:rFonts w:ascii="Arial" w:cs="Arial" w:eastAsia="Arial" w:hAnsi="Arial"/>
                <w:sz w:val="16"/>
                <w:szCs w:val="16"/>
                <w:color w:val="auto"/>
              </w:rPr>
              <w:t>1,199</w:t>
            </w:r>
          </w:p>
        </w:tc>
      </w:tr>
      <w:tr>
        <w:trPr>
          <w:trHeight w:val="196"/>
        </w:trPr>
        <w:tc>
          <w:tcPr>
            <w:tcW w:w="6540" w:type="dxa"/>
            <w:vAlign w:val="bottom"/>
          </w:tcPr>
          <w:p>
            <w:pPr>
              <w:ind w:left="480"/>
              <w:spacing w:after="0"/>
              <w:rPr>
                <w:sz w:val="20"/>
                <w:szCs w:val="20"/>
                <w:color w:val="auto"/>
              </w:rPr>
            </w:pPr>
            <w:r>
              <w:rPr>
                <w:rFonts w:ascii="Arial" w:cs="Arial" w:eastAsia="Arial" w:hAnsi="Arial"/>
                <w:sz w:val="16"/>
                <w:szCs w:val="16"/>
                <w:color w:val="auto"/>
              </w:rPr>
              <w:t>Canada/South America</w:t>
            </w:r>
          </w:p>
        </w:tc>
        <w:tc>
          <w:tcPr>
            <w:tcW w:w="1500" w:type="dxa"/>
            <w:vAlign w:val="bottom"/>
          </w:tcPr>
          <w:p>
            <w:pPr>
              <w:jc w:val="right"/>
              <w:ind w:right="661"/>
              <w:spacing w:after="0"/>
              <w:rPr>
                <w:sz w:val="20"/>
                <w:szCs w:val="20"/>
                <w:color w:val="auto"/>
              </w:rPr>
            </w:pPr>
            <w:r>
              <w:rPr>
                <w:rFonts w:ascii="Arial" w:cs="Arial" w:eastAsia="Arial" w:hAnsi="Arial"/>
                <w:sz w:val="16"/>
                <w:szCs w:val="16"/>
                <w:color w:val="auto"/>
              </w:rPr>
              <w:t>35</w:t>
            </w:r>
          </w:p>
        </w:tc>
        <w:tc>
          <w:tcPr>
            <w:tcW w:w="1040" w:type="dxa"/>
            <w:vAlign w:val="bottom"/>
          </w:tcPr>
          <w:p>
            <w:pPr>
              <w:jc w:val="right"/>
              <w:ind w:right="460"/>
              <w:spacing w:after="0"/>
              <w:rPr>
                <w:sz w:val="20"/>
                <w:szCs w:val="20"/>
                <w:color w:val="auto"/>
              </w:rPr>
            </w:pPr>
            <w:r>
              <w:rPr>
                <w:rFonts w:ascii="Arial" w:cs="Arial" w:eastAsia="Arial" w:hAnsi="Arial"/>
                <w:sz w:val="16"/>
                <w:szCs w:val="16"/>
                <w:color w:val="auto"/>
              </w:rPr>
              <w:t>29</w:t>
            </w:r>
          </w:p>
        </w:tc>
        <w:tc>
          <w:tcPr>
            <w:tcW w:w="1860" w:type="dxa"/>
            <w:vAlign w:val="bottom"/>
          </w:tcPr>
          <w:p>
            <w:pPr>
              <w:jc w:val="right"/>
              <w:ind w:right="721"/>
              <w:spacing w:after="0"/>
              <w:rPr>
                <w:sz w:val="20"/>
                <w:szCs w:val="20"/>
                <w:color w:val="auto"/>
              </w:rPr>
            </w:pPr>
            <w:r>
              <w:rPr>
                <w:rFonts w:ascii="Arial" w:cs="Arial" w:eastAsia="Arial" w:hAnsi="Arial"/>
                <w:sz w:val="16"/>
                <w:szCs w:val="16"/>
                <w:color w:val="auto"/>
              </w:rPr>
              <w:t>107</w:t>
            </w:r>
          </w:p>
        </w:tc>
      </w:tr>
      <w:tr>
        <w:trPr>
          <w:trHeight w:val="196"/>
        </w:trPr>
        <w:tc>
          <w:tcPr>
            <w:tcW w:w="6540" w:type="dxa"/>
            <w:vAlign w:val="bottom"/>
          </w:tcPr>
          <w:p>
            <w:pPr>
              <w:ind w:left="480"/>
              <w:spacing w:after="0"/>
              <w:rPr>
                <w:sz w:val="20"/>
                <w:szCs w:val="20"/>
                <w:color w:val="auto"/>
              </w:rPr>
            </w:pPr>
            <w:r>
              <w:rPr>
                <w:rFonts w:ascii="Arial" w:cs="Arial" w:eastAsia="Arial" w:hAnsi="Arial"/>
                <w:sz w:val="16"/>
                <w:szCs w:val="16"/>
                <w:color w:val="auto"/>
              </w:rPr>
              <w:t>Europe</w:t>
            </w:r>
          </w:p>
        </w:tc>
        <w:tc>
          <w:tcPr>
            <w:tcW w:w="1500" w:type="dxa"/>
            <w:vAlign w:val="bottom"/>
          </w:tcPr>
          <w:p>
            <w:pPr>
              <w:jc w:val="right"/>
              <w:ind w:right="661"/>
              <w:spacing w:after="0"/>
              <w:rPr>
                <w:sz w:val="20"/>
                <w:szCs w:val="20"/>
                <w:color w:val="auto"/>
              </w:rPr>
            </w:pPr>
            <w:r>
              <w:rPr>
                <w:rFonts w:ascii="Arial" w:cs="Arial" w:eastAsia="Arial" w:hAnsi="Arial"/>
                <w:sz w:val="16"/>
                <w:szCs w:val="16"/>
                <w:color w:val="auto"/>
              </w:rPr>
              <w:t>18</w:t>
            </w:r>
          </w:p>
        </w:tc>
        <w:tc>
          <w:tcPr>
            <w:tcW w:w="1040" w:type="dxa"/>
            <w:vAlign w:val="bottom"/>
          </w:tcPr>
          <w:p>
            <w:pPr>
              <w:jc w:val="right"/>
              <w:ind w:right="460"/>
              <w:spacing w:after="0"/>
              <w:rPr>
                <w:sz w:val="20"/>
                <w:szCs w:val="20"/>
                <w:color w:val="auto"/>
              </w:rPr>
            </w:pPr>
            <w:r>
              <w:rPr>
                <w:rFonts w:ascii="Arial" w:cs="Arial" w:eastAsia="Arial" w:hAnsi="Arial"/>
                <w:sz w:val="16"/>
                <w:szCs w:val="16"/>
                <w:color w:val="auto"/>
              </w:rPr>
              <w:t>8</w:t>
            </w:r>
          </w:p>
        </w:tc>
        <w:tc>
          <w:tcPr>
            <w:tcW w:w="1860" w:type="dxa"/>
            <w:vAlign w:val="bottom"/>
          </w:tcPr>
          <w:p>
            <w:pPr>
              <w:jc w:val="right"/>
              <w:ind w:right="721"/>
              <w:spacing w:after="0"/>
              <w:rPr>
                <w:sz w:val="20"/>
                <w:szCs w:val="20"/>
                <w:color w:val="auto"/>
              </w:rPr>
            </w:pPr>
            <w:r>
              <w:rPr>
                <w:rFonts w:ascii="Arial" w:cs="Arial" w:eastAsia="Arial" w:hAnsi="Arial"/>
                <w:sz w:val="16"/>
                <w:szCs w:val="16"/>
                <w:color w:val="auto"/>
              </w:rPr>
              <w:t>29</w:t>
            </w:r>
          </w:p>
        </w:tc>
      </w:tr>
      <w:tr>
        <w:trPr>
          <w:trHeight w:val="196"/>
        </w:trPr>
        <w:tc>
          <w:tcPr>
            <w:tcW w:w="6540" w:type="dxa"/>
            <w:vAlign w:val="bottom"/>
          </w:tcPr>
          <w:p>
            <w:pPr>
              <w:ind w:left="480"/>
              <w:spacing w:after="0"/>
              <w:rPr>
                <w:sz w:val="20"/>
                <w:szCs w:val="20"/>
                <w:color w:val="auto"/>
              </w:rPr>
            </w:pPr>
            <w:r>
              <w:rPr>
                <w:rFonts w:ascii="Arial" w:cs="Arial" w:eastAsia="Arial" w:hAnsi="Arial"/>
                <w:sz w:val="16"/>
                <w:szCs w:val="16"/>
                <w:color w:val="auto"/>
              </w:rPr>
              <w:t>Africa</w:t>
            </w:r>
          </w:p>
        </w:tc>
        <w:tc>
          <w:tcPr>
            <w:tcW w:w="1500" w:type="dxa"/>
            <w:vAlign w:val="bottom"/>
          </w:tcPr>
          <w:p>
            <w:pPr>
              <w:jc w:val="right"/>
              <w:ind w:right="661"/>
              <w:spacing w:after="0"/>
              <w:rPr>
                <w:sz w:val="20"/>
                <w:szCs w:val="20"/>
                <w:color w:val="auto"/>
              </w:rPr>
            </w:pPr>
            <w:r>
              <w:rPr>
                <w:rFonts w:ascii="Arial" w:cs="Arial" w:eastAsia="Arial" w:hAnsi="Arial"/>
                <w:sz w:val="16"/>
                <w:szCs w:val="16"/>
                <w:color w:val="auto"/>
              </w:rPr>
              <w:t>33</w:t>
            </w:r>
          </w:p>
        </w:tc>
        <w:tc>
          <w:tcPr>
            <w:tcW w:w="1040" w:type="dxa"/>
            <w:vAlign w:val="bottom"/>
          </w:tcPr>
          <w:p>
            <w:pPr>
              <w:jc w:val="right"/>
              <w:ind w:right="460"/>
              <w:spacing w:after="0"/>
              <w:rPr>
                <w:sz w:val="20"/>
                <w:szCs w:val="20"/>
                <w:color w:val="auto"/>
              </w:rPr>
            </w:pPr>
            <w:r>
              <w:rPr>
                <w:rFonts w:ascii="Arial" w:cs="Arial" w:eastAsia="Arial" w:hAnsi="Arial"/>
                <w:sz w:val="16"/>
                <w:szCs w:val="16"/>
                <w:color w:val="auto"/>
              </w:rPr>
              <w:t>12</w:t>
            </w:r>
          </w:p>
        </w:tc>
        <w:tc>
          <w:tcPr>
            <w:tcW w:w="1860" w:type="dxa"/>
            <w:vAlign w:val="bottom"/>
          </w:tcPr>
          <w:p>
            <w:pPr>
              <w:jc w:val="right"/>
              <w:ind w:right="721"/>
              <w:spacing w:after="0"/>
              <w:rPr>
                <w:sz w:val="20"/>
                <w:szCs w:val="20"/>
                <w:color w:val="auto"/>
              </w:rPr>
            </w:pPr>
            <w:r>
              <w:rPr>
                <w:rFonts w:ascii="Arial" w:cs="Arial" w:eastAsia="Arial" w:hAnsi="Arial"/>
                <w:sz w:val="16"/>
                <w:szCs w:val="16"/>
                <w:color w:val="auto"/>
              </w:rPr>
              <w:t>38</w:t>
            </w:r>
          </w:p>
        </w:tc>
      </w:tr>
      <w:tr>
        <w:trPr>
          <w:trHeight w:val="196"/>
        </w:trPr>
        <w:tc>
          <w:tcPr>
            <w:tcW w:w="6540" w:type="dxa"/>
            <w:vAlign w:val="bottom"/>
          </w:tcPr>
          <w:p>
            <w:pPr>
              <w:ind w:left="480"/>
              <w:spacing w:after="0"/>
              <w:rPr>
                <w:sz w:val="20"/>
                <w:szCs w:val="20"/>
                <w:color w:val="auto"/>
              </w:rPr>
            </w:pPr>
            <w:r>
              <w:rPr>
                <w:rFonts w:ascii="Arial" w:cs="Arial" w:eastAsia="Arial" w:hAnsi="Arial"/>
                <w:sz w:val="16"/>
                <w:szCs w:val="16"/>
                <w:color w:val="auto"/>
              </w:rPr>
              <w:t>Asia</w:t>
            </w:r>
          </w:p>
        </w:tc>
        <w:tc>
          <w:tcPr>
            <w:tcW w:w="1500" w:type="dxa"/>
            <w:vAlign w:val="bottom"/>
          </w:tcPr>
          <w:p>
            <w:pPr>
              <w:jc w:val="right"/>
              <w:ind w:right="661"/>
              <w:spacing w:after="0"/>
              <w:rPr>
                <w:sz w:val="20"/>
                <w:szCs w:val="20"/>
                <w:color w:val="auto"/>
              </w:rPr>
            </w:pPr>
            <w:r>
              <w:rPr>
                <w:rFonts w:ascii="Arial" w:cs="Arial" w:eastAsia="Arial" w:hAnsi="Arial"/>
                <w:sz w:val="16"/>
                <w:szCs w:val="16"/>
                <w:color w:val="auto"/>
              </w:rPr>
              <w:t>90</w:t>
            </w:r>
          </w:p>
        </w:tc>
        <w:tc>
          <w:tcPr>
            <w:tcW w:w="1040" w:type="dxa"/>
            <w:vAlign w:val="bottom"/>
          </w:tcPr>
          <w:p>
            <w:pPr>
              <w:jc w:val="right"/>
              <w:ind w:right="460"/>
              <w:spacing w:after="0"/>
              <w:rPr>
                <w:sz w:val="20"/>
                <w:szCs w:val="20"/>
                <w:color w:val="auto"/>
              </w:rPr>
            </w:pPr>
            <w:r>
              <w:rPr>
                <w:rFonts w:ascii="Arial" w:cs="Arial" w:eastAsia="Arial" w:hAnsi="Arial"/>
                <w:sz w:val="16"/>
                <w:szCs w:val="16"/>
                <w:color w:val="auto"/>
              </w:rPr>
              <w:t>26</w:t>
            </w:r>
          </w:p>
        </w:tc>
        <w:tc>
          <w:tcPr>
            <w:tcW w:w="1860" w:type="dxa"/>
            <w:vAlign w:val="bottom"/>
          </w:tcPr>
          <w:p>
            <w:pPr>
              <w:jc w:val="right"/>
              <w:ind w:right="721"/>
              <w:spacing w:after="0"/>
              <w:rPr>
                <w:sz w:val="20"/>
                <w:szCs w:val="20"/>
                <w:color w:val="auto"/>
              </w:rPr>
            </w:pPr>
            <w:r>
              <w:rPr>
                <w:rFonts w:ascii="Arial" w:cs="Arial" w:eastAsia="Arial" w:hAnsi="Arial"/>
                <w:sz w:val="16"/>
                <w:szCs w:val="16"/>
                <w:color w:val="auto"/>
              </w:rPr>
              <w:t>112</w:t>
            </w:r>
          </w:p>
        </w:tc>
      </w:tr>
      <w:tr>
        <w:trPr>
          <w:trHeight w:val="208"/>
        </w:trPr>
        <w:tc>
          <w:tcPr>
            <w:tcW w:w="6540" w:type="dxa"/>
            <w:vAlign w:val="bottom"/>
          </w:tcPr>
          <w:p>
            <w:pPr>
              <w:ind w:left="480"/>
              <w:spacing w:after="0"/>
              <w:rPr>
                <w:sz w:val="20"/>
                <w:szCs w:val="20"/>
                <w:color w:val="auto"/>
              </w:rPr>
            </w:pPr>
            <w:r>
              <w:rPr>
                <w:rFonts w:ascii="Arial" w:cs="Arial" w:eastAsia="Arial" w:hAnsi="Arial"/>
                <w:sz w:val="16"/>
                <w:szCs w:val="16"/>
                <w:color w:val="auto"/>
              </w:rPr>
              <w:t>Australia/Oceania</w:t>
            </w:r>
          </w:p>
        </w:tc>
        <w:tc>
          <w:tcPr>
            <w:tcW w:w="150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color w:val="auto"/>
              </w:rPr>
              <w:t>10</w:t>
            </w: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4</w:t>
            </w:r>
          </w:p>
        </w:tc>
        <w:tc>
          <w:tcPr>
            <w:tcW w:w="1860" w:type="dxa"/>
            <w:vAlign w:val="bottom"/>
            <w:tcBorders>
              <w:bottom w:val="single" w:sz="8" w:color="auto"/>
            </w:tcBorders>
          </w:tcPr>
          <w:p>
            <w:pPr>
              <w:jc w:val="right"/>
              <w:ind w:right="721"/>
              <w:spacing w:after="0"/>
              <w:rPr>
                <w:sz w:val="20"/>
                <w:szCs w:val="20"/>
                <w:color w:val="auto"/>
              </w:rPr>
            </w:pPr>
            <w:r>
              <w:rPr>
                <w:rFonts w:ascii="Arial" w:cs="Arial" w:eastAsia="Arial" w:hAnsi="Arial"/>
                <w:sz w:val="16"/>
                <w:szCs w:val="16"/>
                <w:color w:val="auto"/>
              </w:rPr>
              <w:t>18</w:t>
            </w:r>
          </w:p>
        </w:tc>
      </w:tr>
      <w:tr>
        <w:trPr>
          <w:trHeight w:val="201"/>
        </w:trPr>
        <w:tc>
          <w:tcPr>
            <w:tcW w:w="6540" w:type="dxa"/>
            <w:vAlign w:val="bottom"/>
          </w:tcPr>
          <w:p>
            <w:pPr>
              <w:ind w:left="700"/>
              <w:spacing w:after="0"/>
              <w:rPr>
                <w:sz w:val="20"/>
                <w:szCs w:val="20"/>
                <w:color w:val="auto"/>
              </w:rPr>
            </w:pPr>
            <w:r>
              <w:rPr>
                <w:rFonts w:ascii="Arial" w:cs="Arial" w:eastAsia="Arial" w:hAnsi="Arial"/>
                <w:sz w:val="16"/>
                <w:szCs w:val="16"/>
                <w:color w:val="auto"/>
              </w:rPr>
              <w:t>Total Consolidated Subsidiaries</w:t>
            </w:r>
          </w:p>
        </w:tc>
        <w:tc>
          <w:tcPr>
            <w:tcW w:w="1500" w:type="dxa"/>
            <w:vAlign w:val="bottom"/>
          </w:tcPr>
          <w:p>
            <w:pPr>
              <w:jc w:val="right"/>
              <w:ind w:right="661"/>
              <w:spacing w:after="0"/>
              <w:rPr>
                <w:sz w:val="20"/>
                <w:szCs w:val="20"/>
                <w:color w:val="auto"/>
              </w:rPr>
            </w:pPr>
            <w:r>
              <w:rPr>
                <w:rFonts w:ascii="Arial" w:cs="Arial" w:eastAsia="Arial" w:hAnsi="Arial"/>
                <w:sz w:val="16"/>
                <w:szCs w:val="16"/>
                <w:color w:val="auto"/>
              </w:rPr>
              <w:t>1,306</w:t>
            </w:r>
          </w:p>
        </w:tc>
        <w:tc>
          <w:tcPr>
            <w:tcW w:w="1040" w:type="dxa"/>
            <w:vAlign w:val="bottom"/>
          </w:tcPr>
          <w:p>
            <w:pPr>
              <w:jc w:val="right"/>
              <w:ind w:right="460"/>
              <w:spacing w:after="0"/>
              <w:rPr>
                <w:sz w:val="20"/>
                <w:szCs w:val="20"/>
                <w:color w:val="auto"/>
              </w:rPr>
            </w:pPr>
            <w:r>
              <w:rPr>
                <w:rFonts w:ascii="Arial" w:cs="Arial" w:eastAsia="Arial" w:hAnsi="Arial"/>
                <w:sz w:val="16"/>
                <w:szCs w:val="16"/>
                <w:color w:val="auto"/>
              </w:rPr>
              <w:t>521</w:t>
            </w:r>
          </w:p>
        </w:tc>
        <w:tc>
          <w:tcPr>
            <w:tcW w:w="1860" w:type="dxa"/>
            <w:vAlign w:val="bottom"/>
          </w:tcPr>
          <w:p>
            <w:pPr>
              <w:jc w:val="right"/>
              <w:ind w:right="721"/>
              <w:spacing w:after="0"/>
              <w:rPr>
                <w:sz w:val="20"/>
                <w:szCs w:val="20"/>
                <w:color w:val="auto"/>
              </w:rPr>
            </w:pPr>
            <w:r>
              <w:rPr>
                <w:rFonts w:ascii="Arial" w:cs="Arial" w:eastAsia="Arial" w:hAnsi="Arial"/>
                <w:sz w:val="16"/>
                <w:szCs w:val="16"/>
                <w:color w:val="auto"/>
              </w:rPr>
              <w:t>1,503</w:t>
            </w:r>
          </w:p>
        </w:tc>
      </w:tr>
      <w:tr>
        <w:trPr>
          <w:trHeight w:val="368"/>
        </w:trPr>
        <w:tc>
          <w:tcPr>
            <w:tcW w:w="6540" w:type="dxa"/>
            <w:vAlign w:val="bottom"/>
          </w:tcPr>
          <w:p>
            <w:pPr>
              <w:ind w:left="240"/>
              <w:spacing w:after="0"/>
              <w:rPr>
                <w:sz w:val="20"/>
                <w:szCs w:val="20"/>
                <w:color w:val="auto"/>
              </w:rPr>
            </w:pPr>
            <w:r>
              <w:rPr>
                <w:rFonts w:ascii="Arial" w:cs="Arial" w:eastAsia="Arial" w:hAnsi="Arial"/>
                <w:sz w:val="16"/>
                <w:szCs w:val="16"/>
                <w:b w:val="1"/>
                <w:bCs w:val="1"/>
                <w:color w:val="auto"/>
              </w:rPr>
              <w:t>Equity Companies</w:t>
            </w: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96"/>
        </w:trPr>
        <w:tc>
          <w:tcPr>
            <w:tcW w:w="6540" w:type="dxa"/>
            <w:vAlign w:val="bottom"/>
          </w:tcPr>
          <w:p>
            <w:pPr>
              <w:ind w:left="480"/>
              <w:spacing w:after="0"/>
              <w:rPr>
                <w:sz w:val="20"/>
                <w:szCs w:val="20"/>
                <w:color w:val="auto"/>
              </w:rPr>
            </w:pPr>
            <w:r>
              <w:rPr>
                <w:rFonts w:ascii="Arial" w:cs="Arial" w:eastAsia="Arial" w:hAnsi="Arial"/>
                <w:sz w:val="16"/>
                <w:szCs w:val="16"/>
                <w:color w:val="auto"/>
              </w:rPr>
              <w:t>United States</w:t>
            </w:r>
          </w:p>
        </w:tc>
        <w:tc>
          <w:tcPr>
            <w:tcW w:w="1500" w:type="dxa"/>
            <w:vAlign w:val="bottom"/>
          </w:tcPr>
          <w:p>
            <w:pPr>
              <w:jc w:val="right"/>
              <w:ind w:right="661"/>
              <w:spacing w:after="0"/>
              <w:rPr>
                <w:sz w:val="20"/>
                <w:szCs w:val="20"/>
                <w:color w:val="auto"/>
              </w:rPr>
            </w:pPr>
            <w:r>
              <w:rPr>
                <w:rFonts w:ascii="Arial" w:cs="Arial" w:eastAsia="Arial" w:hAnsi="Arial"/>
                <w:sz w:val="16"/>
                <w:szCs w:val="16"/>
                <w:color w:val="auto"/>
              </w:rPr>
              <w:t>31</w:t>
            </w:r>
          </w:p>
        </w:tc>
        <w:tc>
          <w:tcPr>
            <w:tcW w:w="1040" w:type="dxa"/>
            <w:vAlign w:val="bottom"/>
          </w:tcPr>
          <w:p>
            <w:pPr>
              <w:jc w:val="right"/>
              <w:ind w:right="460"/>
              <w:spacing w:after="0"/>
              <w:rPr>
                <w:sz w:val="20"/>
                <w:szCs w:val="20"/>
                <w:color w:val="auto"/>
              </w:rPr>
            </w:pPr>
            <w:r>
              <w:rPr>
                <w:rFonts w:ascii="Arial" w:cs="Arial" w:eastAsia="Arial" w:hAnsi="Arial"/>
                <w:sz w:val="16"/>
                <w:szCs w:val="16"/>
                <w:color w:val="auto"/>
              </w:rPr>
              <w:t>6</w:t>
            </w:r>
          </w:p>
        </w:tc>
        <w:tc>
          <w:tcPr>
            <w:tcW w:w="1860" w:type="dxa"/>
            <w:vAlign w:val="bottom"/>
          </w:tcPr>
          <w:p>
            <w:pPr>
              <w:jc w:val="right"/>
              <w:ind w:right="721"/>
              <w:spacing w:after="0"/>
              <w:rPr>
                <w:sz w:val="20"/>
                <w:szCs w:val="20"/>
                <w:color w:val="auto"/>
              </w:rPr>
            </w:pPr>
            <w:r>
              <w:rPr>
                <w:rFonts w:ascii="Arial" w:cs="Arial" w:eastAsia="Arial" w:hAnsi="Arial"/>
                <w:sz w:val="16"/>
                <w:szCs w:val="16"/>
                <w:color w:val="auto"/>
              </w:rPr>
              <w:t>9</w:t>
            </w:r>
          </w:p>
        </w:tc>
      </w:tr>
      <w:tr>
        <w:trPr>
          <w:trHeight w:val="196"/>
        </w:trPr>
        <w:tc>
          <w:tcPr>
            <w:tcW w:w="6540" w:type="dxa"/>
            <w:vAlign w:val="bottom"/>
          </w:tcPr>
          <w:p>
            <w:pPr>
              <w:ind w:left="480"/>
              <w:spacing w:after="0"/>
              <w:rPr>
                <w:sz w:val="20"/>
                <w:szCs w:val="20"/>
                <w:color w:val="auto"/>
              </w:rPr>
            </w:pPr>
            <w:r>
              <w:rPr>
                <w:rFonts w:ascii="Arial" w:cs="Arial" w:eastAsia="Arial" w:hAnsi="Arial"/>
                <w:sz w:val="16"/>
                <w:szCs w:val="16"/>
                <w:color w:val="auto"/>
              </w:rPr>
              <w:t>Europe</w:t>
            </w:r>
          </w:p>
        </w:tc>
        <w:tc>
          <w:tcPr>
            <w:tcW w:w="1500" w:type="dxa"/>
            <w:vAlign w:val="bottom"/>
          </w:tcPr>
          <w:p>
            <w:pPr>
              <w:jc w:val="right"/>
              <w:ind w:right="661"/>
              <w:spacing w:after="0"/>
              <w:rPr>
                <w:sz w:val="20"/>
                <w:szCs w:val="20"/>
                <w:color w:val="auto"/>
              </w:rPr>
            </w:pPr>
            <w:r>
              <w:rPr>
                <w:rFonts w:ascii="Arial" w:cs="Arial" w:eastAsia="Arial" w:hAnsi="Arial"/>
                <w:sz w:val="16"/>
                <w:szCs w:val="16"/>
                <w:color w:val="auto"/>
              </w:rPr>
              <w:t>4</w:t>
            </w:r>
          </w:p>
        </w:tc>
        <w:tc>
          <w:tcPr>
            <w:tcW w:w="1040" w:type="dxa"/>
            <w:vAlign w:val="bottom"/>
          </w:tcPr>
          <w:p>
            <w:pPr>
              <w:jc w:val="right"/>
              <w:ind w:right="460"/>
              <w:spacing w:after="0"/>
              <w:rPr>
                <w:sz w:val="20"/>
                <w:szCs w:val="20"/>
                <w:color w:val="auto"/>
              </w:rPr>
            </w:pPr>
            <w:r>
              <w:rPr>
                <w:rFonts w:ascii="Arial" w:cs="Arial" w:eastAsia="Arial" w:hAnsi="Arial"/>
                <w:sz w:val="16"/>
                <w:szCs w:val="16"/>
                <w:color w:val="auto"/>
              </w:rPr>
              <w:t>1</w:t>
            </w:r>
          </w:p>
        </w:tc>
        <w:tc>
          <w:tcPr>
            <w:tcW w:w="1860" w:type="dxa"/>
            <w:vAlign w:val="bottom"/>
          </w:tcPr>
          <w:p>
            <w:pPr>
              <w:jc w:val="right"/>
              <w:ind w:right="721"/>
              <w:spacing w:after="0"/>
              <w:rPr>
                <w:sz w:val="20"/>
                <w:szCs w:val="20"/>
                <w:color w:val="auto"/>
              </w:rPr>
            </w:pPr>
            <w:r>
              <w:rPr>
                <w:rFonts w:ascii="Arial" w:cs="Arial" w:eastAsia="Arial" w:hAnsi="Arial"/>
                <w:sz w:val="16"/>
                <w:szCs w:val="16"/>
                <w:color w:val="auto"/>
              </w:rPr>
              <w:t>8</w:t>
            </w:r>
          </w:p>
        </w:tc>
      </w:tr>
      <w:tr>
        <w:trPr>
          <w:trHeight w:val="208"/>
        </w:trPr>
        <w:tc>
          <w:tcPr>
            <w:tcW w:w="6540" w:type="dxa"/>
            <w:vAlign w:val="bottom"/>
          </w:tcPr>
          <w:p>
            <w:pPr>
              <w:ind w:left="480"/>
              <w:spacing w:after="0"/>
              <w:rPr>
                <w:sz w:val="20"/>
                <w:szCs w:val="20"/>
                <w:color w:val="auto"/>
              </w:rPr>
            </w:pPr>
            <w:r>
              <w:rPr>
                <w:rFonts w:ascii="Arial" w:cs="Arial" w:eastAsia="Arial" w:hAnsi="Arial"/>
                <w:sz w:val="16"/>
                <w:szCs w:val="16"/>
                <w:color w:val="auto"/>
              </w:rPr>
              <w:t>Asia</w:t>
            </w:r>
          </w:p>
        </w:tc>
        <w:tc>
          <w:tcPr>
            <w:tcW w:w="150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color w:val="auto"/>
              </w:rPr>
              <w:t>1</w:t>
            </w: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tcPr>
          <w:p>
            <w:pPr>
              <w:jc w:val="right"/>
              <w:ind w:right="721"/>
              <w:spacing w:after="0"/>
              <w:rPr>
                <w:sz w:val="20"/>
                <w:szCs w:val="20"/>
                <w:color w:val="auto"/>
              </w:rPr>
            </w:pPr>
            <w:r>
              <w:rPr>
                <w:rFonts w:ascii="Arial" w:cs="Arial" w:eastAsia="Arial" w:hAnsi="Arial"/>
                <w:sz w:val="16"/>
                <w:szCs w:val="16"/>
                <w:color w:val="auto"/>
              </w:rPr>
              <w:t>11</w:t>
            </w:r>
          </w:p>
        </w:tc>
      </w:tr>
      <w:tr>
        <w:trPr>
          <w:trHeight w:val="189"/>
        </w:trPr>
        <w:tc>
          <w:tcPr>
            <w:tcW w:w="6540" w:type="dxa"/>
            <w:vAlign w:val="bottom"/>
          </w:tcPr>
          <w:p>
            <w:pPr>
              <w:ind w:left="700"/>
              <w:spacing w:after="0"/>
              <w:rPr>
                <w:sz w:val="20"/>
                <w:szCs w:val="20"/>
                <w:color w:val="auto"/>
              </w:rPr>
            </w:pPr>
            <w:r>
              <w:rPr>
                <w:rFonts w:ascii="Arial" w:cs="Arial" w:eastAsia="Arial" w:hAnsi="Arial"/>
                <w:sz w:val="16"/>
                <w:szCs w:val="16"/>
                <w:color w:val="auto"/>
              </w:rPr>
              <w:t>Total Equity Companies</w:t>
            </w:r>
          </w:p>
        </w:tc>
        <w:tc>
          <w:tcPr>
            <w:tcW w:w="150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color w:val="auto"/>
              </w:rPr>
              <w:t>36</w:t>
            </w: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7</w:t>
            </w:r>
          </w:p>
        </w:tc>
        <w:tc>
          <w:tcPr>
            <w:tcW w:w="1860" w:type="dxa"/>
            <w:vAlign w:val="bottom"/>
            <w:tcBorders>
              <w:bottom w:val="single" w:sz="8" w:color="auto"/>
            </w:tcBorders>
          </w:tcPr>
          <w:p>
            <w:pPr>
              <w:jc w:val="right"/>
              <w:ind w:right="721"/>
              <w:spacing w:after="0"/>
              <w:rPr>
                <w:sz w:val="20"/>
                <w:szCs w:val="20"/>
                <w:color w:val="auto"/>
              </w:rPr>
            </w:pPr>
            <w:r>
              <w:rPr>
                <w:rFonts w:ascii="Arial" w:cs="Arial" w:eastAsia="Arial" w:hAnsi="Arial"/>
                <w:sz w:val="16"/>
                <w:szCs w:val="16"/>
                <w:color w:val="auto"/>
              </w:rPr>
              <w:t>28</w:t>
            </w:r>
          </w:p>
        </w:tc>
      </w:tr>
      <w:tr>
        <w:trPr>
          <w:trHeight w:val="188"/>
        </w:trPr>
        <w:tc>
          <w:tcPr>
            <w:tcW w:w="6540" w:type="dxa"/>
            <w:vAlign w:val="bottom"/>
          </w:tcPr>
          <w:p>
            <w:pPr>
              <w:spacing w:after="0"/>
              <w:rPr>
                <w:sz w:val="20"/>
                <w:szCs w:val="20"/>
                <w:color w:val="auto"/>
              </w:rPr>
            </w:pPr>
            <w:r>
              <w:rPr>
                <w:rFonts w:ascii="Arial" w:cs="Arial" w:eastAsia="Arial" w:hAnsi="Arial"/>
                <w:sz w:val="16"/>
                <w:szCs w:val="16"/>
                <w:b w:val="1"/>
                <w:bCs w:val="1"/>
                <w:color w:val="auto"/>
              </w:rPr>
              <w:t>Total gross and net wells drilling</w:t>
            </w:r>
          </w:p>
        </w:tc>
        <w:tc>
          <w:tcPr>
            <w:tcW w:w="150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color w:val="auto"/>
              </w:rPr>
              <w:t>1,342</w:t>
            </w: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528</w:t>
            </w:r>
          </w:p>
        </w:tc>
        <w:tc>
          <w:tcPr>
            <w:tcW w:w="1860" w:type="dxa"/>
            <w:vAlign w:val="bottom"/>
            <w:tcBorders>
              <w:bottom w:val="single" w:sz="8" w:color="auto"/>
            </w:tcBorders>
          </w:tcPr>
          <w:p>
            <w:pPr>
              <w:jc w:val="right"/>
              <w:ind w:right="721"/>
              <w:spacing w:after="0"/>
              <w:rPr>
                <w:sz w:val="20"/>
                <w:szCs w:val="20"/>
                <w:color w:val="auto"/>
              </w:rPr>
            </w:pPr>
            <w:r>
              <w:rPr>
                <w:rFonts w:ascii="Arial" w:cs="Arial" w:eastAsia="Arial" w:hAnsi="Arial"/>
                <w:sz w:val="16"/>
                <w:szCs w:val="16"/>
                <w:color w:val="auto"/>
              </w:rPr>
              <w:t>1,531</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Review of Principal Ongoing Activities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UNITED STATES</w:t>
      </w:r>
    </w:p>
    <w:p>
      <w:pPr>
        <w:spacing w:after="0" w:line="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ExxonMobil’s year-end 2014 acreage holdings totaled 14.6 million net acres, of which 1.7 million net acres were offshore. ExxonMobil was active in areas onsh offshore in the lower 48 states and in Alaska.</w:t>
      </w:r>
    </w:p>
    <w:p>
      <w:pPr>
        <w:spacing w:after="0" w:line="27" w:lineRule="exact"/>
        <w:rPr>
          <w:sz w:val="20"/>
          <w:szCs w:val="20"/>
          <w:color w:val="auto"/>
        </w:rPr>
      </w:pPr>
    </w:p>
    <w:p>
      <w:pPr>
        <w:jc w:val="both"/>
        <w:ind w:firstLine="200"/>
        <w:spacing w:after="0" w:line="289" w:lineRule="auto"/>
        <w:rPr>
          <w:sz w:val="20"/>
          <w:szCs w:val="20"/>
          <w:color w:val="auto"/>
        </w:rPr>
      </w:pPr>
      <w:r>
        <w:rPr>
          <w:rFonts w:ascii="Arial" w:cs="Arial" w:eastAsia="Arial" w:hAnsi="Arial"/>
          <w:sz w:val="15"/>
          <w:szCs w:val="15"/>
          <w:color w:val="auto"/>
        </w:rPr>
        <w:t>During the year, 1,048.3 net exploration and development wells were completed in the inland lower 48 states. Development activities focused on liquids-rich oppor in the onshore U.S., primarily in the Permian Basin of West Texas and New Mexico, the Bakken oil play in North Dakota and Montana, and the Woodford and Caney in the Ardmore and Marietta basins of Oklahoma. In addition, gas development activities continued in the Marcellus Shale of Pennsylvania and West Virginia, the Utic of Ohio, the Haynesville Shale of Texas and Louisiana, the Barnett Shale of North Texas, and the Fayetteville Shale of Arkansas.</w:t>
      </w:r>
    </w:p>
    <w:p>
      <w:pPr>
        <w:spacing w:after="0" w:line="27" w:lineRule="exact"/>
        <w:rPr>
          <w:sz w:val="20"/>
          <w:szCs w:val="20"/>
          <w:color w:val="auto"/>
        </w:rPr>
      </w:pPr>
    </w:p>
    <w:p>
      <w:pPr>
        <w:jc w:val="both"/>
        <w:ind w:firstLine="200"/>
        <w:spacing w:after="0" w:line="271" w:lineRule="auto"/>
        <w:rPr>
          <w:sz w:val="20"/>
          <w:szCs w:val="20"/>
          <w:color w:val="auto"/>
        </w:rPr>
      </w:pPr>
      <w:r>
        <w:rPr>
          <w:rFonts w:ascii="Arial" w:cs="Arial" w:eastAsia="Arial" w:hAnsi="Arial"/>
          <w:sz w:val="16"/>
          <w:szCs w:val="16"/>
          <w:color w:val="auto"/>
        </w:rPr>
        <w:t>ExxonMobil’s net acreage in the Gulf of Mexico at year-end 2014 was 1.5 million acres. A total of 2.6 net exploration and development wells were completed du year. Development activities were completed on the deepwater Hadrian South project and the non-operated Lucius project. ExxonMobil continued development activ the Heidelberg and Julia Phase 1 projects. Offshore California 5.0 net development wells were completed.</w:t>
      </w:r>
    </w:p>
    <w:p>
      <w:pPr>
        <w:spacing w:after="0" w:line="63"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650" w:right="139" w:bottom="1440" w:gutter="0" w:footer="0" w:header="0"/>
        </w:sectPr>
      </w:pPr>
    </w:p>
    <w:bookmarkStart w:id="15" w:name="page16"/>
    <w:bookmarkEnd w:id="15"/>
    <w:p>
      <w:pPr>
        <w:jc w:val="both"/>
        <w:ind w:firstLine="200"/>
        <w:spacing w:after="0" w:line="286" w:lineRule="auto"/>
        <w:rPr>
          <w:sz w:val="20"/>
          <w:szCs w:val="20"/>
          <w:color w:val="auto"/>
        </w:rPr>
      </w:pPr>
      <w:r>
        <w:rPr>
          <w:rFonts w:ascii="Arial" w:cs="Arial" w:eastAsia="Arial" w:hAnsi="Arial"/>
          <w:sz w:val="16"/>
          <w:szCs w:val="16"/>
          <w:color w:val="auto"/>
        </w:rPr>
        <w:t>Participation in Alaska production and development continued with a total of 18.3 net development wells completed. Development activities continued on th Thomson project.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CANADA / SOUTH AMERICA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Canada</w:t>
      </w:r>
    </w:p>
    <w:p>
      <w:pPr>
        <w:spacing w:after="0" w:line="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Oil and Gas Operations: </w:t>
      </w:r>
      <w:r>
        <w:rPr>
          <w:rFonts w:ascii="Arial" w:cs="Arial" w:eastAsia="Arial" w:hAnsi="Arial"/>
          <w:sz w:val="16"/>
          <w:szCs w:val="16"/>
          <w:color w:val="auto"/>
        </w:rPr>
        <w:t>ExxonMobil’s year-end 2014 acreage holdings totaled 5.4 million net acres, of which 1.0 million net acres were offshore. A total of 8</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wells were completed during the year.</w:t>
      </w:r>
    </w:p>
    <w:p>
      <w:pPr>
        <w:spacing w:after="0" w:line="2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i w:val="1"/>
          <w:iCs w:val="1"/>
          <w:color w:val="auto"/>
        </w:rPr>
        <w:t xml:space="preserve">In Situ Bitumen Operations: </w:t>
      </w:r>
      <w:r>
        <w:rPr>
          <w:rFonts w:ascii="Arial" w:cs="Arial" w:eastAsia="Arial" w:hAnsi="Arial"/>
          <w:sz w:val="16"/>
          <w:szCs w:val="16"/>
          <w:color w:val="auto"/>
        </w:rPr>
        <w:t>ExxonMobil’s year-end 2014 in situ bitumen acreage holdings totaled 0.7 million net onshore acres. A total of 90.0 net development we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completed during the year.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Argentina</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ExxonMobil’s net acreage totaled 0.9 million onshore acres at year-end 2014, and there were 4.6 net exploration and development wells completed during the year.</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Germany</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A total of 4.9 million net onshore acres were held by ExxonMobil at year-end 2014, with 2.6 net exploration and development wells completed during the year.</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Netherlands</w:t>
      </w:r>
    </w:p>
    <w:p>
      <w:pPr>
        <w:spacing w:after="0" w:line="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ExxonMobil’s net interest in licenses totaled approximately 1.5 million acres at year-end 2014, of which 1.2 million acres were onshore. A total of 5.1 net explorat development wells were completed during the year.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Norway</w:t>
      </w:r>
    </w:p>
    <w:p>
      <w:pPr>
        <w:spacing w:after="0" w:line="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ExxonMobil’s net interest in licenses at year-end 2014 totaled approximately 0.4 million acres, all offshore. A total of 4.9 net exploration and development wel completed in 2014.</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United Kingdom</w:t>
      </w:r>
    </w:p>
    <w:p>
      <w:pPr>
        <w:spacing w:after="0" w:line="8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ExxonMobil’s net interest in licenses at year-end 2014 totaled approximately 0.6 million acres, all offshore. A total of 2.1 net development wells were completed du year.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AFRICA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Angola</w:t>
      </w:r>
    </w:p>
    <w:p>
      <w:pPr>
        <w:spacing w:after="0" w:line="8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ExxonMobil’s net acreage totaled 0.4 million offshore acres at year-end 2014, with 6.7 net exploration and development wells completed during the year. On Bl development activities continued at Kizomba Satellites Phase 2. The Kaombo project on Block 32 was funded in 2014. The Cravo-Lirio-Orquidea-Violeta project, on t operated Block 17, started up in 2014.</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ExxonMobil’s net year-end 2014 acreage holdings consisted of 46 thousand onshore acres, with 30.0 net development wells completed during the year.</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Equatorial Guinea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ExxonMobil’s acreage totaled 0.1 million net offshore acres at year-end 2014, with 1.5 net development wells completed during the year.</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Nigeria</w:t>
      </w:r>
    </w:p>
    <w:p>
      <w:pPr>
        <w:spacing w:after="0" w:line="8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ExxonMobil’s net acreage totaled 0.8 million offshore acres at year-end 2014, with 3.6 net exploration and development wells completed during the year. I ExxonMobil continued development drilling on the deepwater Usan and Erha North Phase 2 projects. Satellite Field Development Phase 1 development drilli completed, and the Bonga Northwest deepwater project started up in 2014.</w:t>
      </w:r>
    </w:p>
    <w:p>
      <w:pPr>
        <w:spacing w:after="0" w:line="1"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654" w:right="1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i w:val="1"/>
          <w:iCs w:val="1"/>
          <w:color w:val="auto"/>
        </w:rPr>
        <w:t>ASIA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Azerbaijan</w:t>
      </w:r>
    </w:p>
    <w:p>
      <w:pPr>
        <w:spacing w:after="0" w:line="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At year-end 2014, ExxonMobil’s net acreage totaled 9 thousand offshore acres. A total of 0.9 net development wells were completed during the year. The Chirag Oil was completed, and the sixth producing platform, West Chirag, started up in 2014.</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Indonesia</w:t>
      </w:r>
    </w:p>
    <w:p>
      <w:pPr>
        <w:spacing w:after="0" w:line="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At year-end 2014, ExxonMobil had 1.7 million net acres, 1.3 million net acres offshore and 0.4 million net acres onshore, with 7.7 net development wells completed the year.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Iraq</w:t>
      </w:r>
    </w:p>
    <w:p>
      <w:pPr>
        <w:spacing w:after="0" w:line="8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At year-end 2014, ExxonMobil’s onshore acreage was 0.7 million net acres. A total of 3.0 net development wells were completed at the West Qurna Phase I oil field the year. Field rehabilitation activities continued during 2014 and across the life of this project will include drilling of new wells, working over of existing we optimization and debottlenecking of existing facilities. In the Kurdistan Region of Iraq, ExxonMobil continued its seismic program and exploration drilling until op were temporarily suspended due to security concerns in the region.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Kazakhstan</w:t>
      </w:r>
    </w:p>
    <w:p>
      <w:pPr>
        <w:spacing w:after="0" w:line="8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ExxonMobil’s net acreage totaled 0.1 million acres onshore and 0.2 million acres offshore at year-end 2014. A total of 1.2 net development wells were completed 2014. Following a brief production period in 2013, Kashagan operations were suspended due to a leak in the onshore section of the gas pipeline. Working with our p activities are under way to replace both the oil and gas pipelines.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Malaysia</w:t>
      </w:r>
    </w:p>
    <w:p>
      <w:pPr>
        <w:spacing w:after="0" w:line="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ExxonMobil has interests in production sharing contracts covering 0.2 million net acres offshore at year-end 2014. During the year, a total of 4.5 net development wel completed. The Tapis Enhanced Oil Recovery and Damar projects started up in 2014.</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Qatar</w:t>
      </w:r>
    </w:p>
    <w:p>
      <w:pPr>
        <w:spacing w:after="0" w:line="86" w:lineRule="exact"/>
        <w:rPr>
          <w:sz w:val="20"/>
          <w:szCs w:val="20"/>
          <w:color w:val="auto"/>
        </w:rPr>
      </w:pPr>
    </w:p>
    <w:p>
      <w:pPr>
        <w:jc w:val="both"/>
        <w:ind w:right="60"/>
        <w:spacing w:after="0" w:line="271" w:lineRule="auto"/>
        <w:rPr>
          <w:sz w:val="20"/>
          <w:szCs w:val="20"/>
          <w:color w:val="auto"/>
        </w:rPr>
      </w:pPr>
      <w:r>
        <w:rPr>
          <w:rFonts w:ascii="Arial" w:cs="Arial" w:eastAsia="Arial" w:hAnsi="Arial"/>
          <w:sz w:val="16"/>
          <w:szCs w:val="16"/>
          <w:color w:val="auto"/>
        </w:rPr>
        <w:t>Through our joint ventures with Qatar Petroleum, ExxonMobil’s net acreage totaled 65 thousand acres offshore at year-end 2014. During the year, a total of development wells were completed. ExxonMobil participated in 61.8 million tonnes per year gross liquefied natural gas capacity and 2.0 billion cubic feet per day of gas capacity at year end. Development activities continued on the Barzan project.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Republic of Yemen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ExxonMobil’s net acreage in the Republic of Yemen production sharing areas totaled 10 thousand acres onshore at year-end 2014.</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Russia</w:t>
      </w:r>
    </w:p>
    <w:p>
      <w:pPr>
        <w:spacing w:after="0" w:line="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ExxonMobil’s net acreage holdings in Sakhalin at year-end 2014 were 85 thousand acres, all offshore. A total of 1.2 net development wells were completed. Devel activities continued on the Arkutun-Dagi project, and the Odoptu Stage 2 project was funded in 2014.</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At year-end 2014, ExxonMobil’s net acreage in the Rosneft joint venture agreements for the Kara, Laptev, Chukchi and Black Seas was 63.6 million acres, all o</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ExxonMobil and Rosneft formed a joint venture to evaluate the development of tight-oil reserves in western Siberia in 2013. Refer to the relevant portion of “Note 7:</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Company Information” of the Financial Section of this report for additional information on the Corporation’s participation in Rosneft joint venture activities.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Thailand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ExxonMobil’s net onshore acreage in Thailand concessions totaled 21 thousand acres at year-end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874" w:right="139" w:bottom="1440" w:gutter="0" w:footer="0" w:header="0"/>
        </w:sectPr>
      </w:pPr>
    </w:p>
    <w:bookmarkStart w:id="17" w:name="page18"/>
    <w:bookmarkEnd w:id="17"/>
    <w:p>
      <w:pPr>
        <w:spacing w:after="0"/>
        <w:rPr>
          <w:sz w:val="20"/>
          <w:szCs w:val="20"/>
          <w:color w:val="auto"/>
        </w:rPr>
      </w:pPr>
      <w:r>
        <w:rPr>
          <w:rFonts w:ascii="Arial" w:cs="Arial" w:eastAsia="Arial" w:hAnsi="Arial"/>
          <w:sz w:val="16"/>
          <w:szCs w:val="16"/>
          <w:i w:val="1"/>
          <w:iCs w:val="1"/>
          <w:color w:val="auto"/>
        </w:rPr>
        <w:t>United Arab Emirates</w:t>
      </w:r>
    </w:p>
    <w:p>
      <w:pPr>
        <w:spacing w:after="0" w:line="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ExxonMobil’s net acreage in the Abu Dhabi offshore Upper Zakum oil concession was 81 thousand acres at year-end 2014. During the year, a total of 1.7 net devel wells were completed. Development activities continued on the Upper Zakum 750 project.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ExxonMobil’s onshore oil concession expired in January 2014.</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AUSTRALIA / OCEANIA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Australia</w:t>
      </w:r>
    </w:p>
    <w:p>
      <w:pPr>
        <w:spacing w:after="0" w:line="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ExxonMobil’s year-end 2014 acreage holdings totaled 1.7 million net acres, of which 1.6 million net acres were offshore. During the year, a total of 3.8 net explorat development wells were completed. Construction activities continued on the Gas Conditioning Plant at Longford.</w:t>
      </w:r>
    </w:p>
    <w:p>
      <w:pPr>
        <w:spacing w:after="0" w:line="27" w:lineRule="exact"/>
        <w:rPr>
          <w:sz w:val="20"/>
          <w:szCs w:val="20"/>
          <w:color w:val="auto"/>
        </w:rPr>
      </w:pPr>
    </w:p>
    <w:p>
      <w:pPr>
        <w:jc w:val="both"/>
        <w:ind w:firstLine="200"/>
        <w:spacing w:after="0" w:line="271" w:lineRule="auto"/>
        <w:rPr>
          <w:sz w:val="20"/>
          <w:szCs w:val="20"/>
          <w:color w:val="auto"/>
        </w:rPr>
      </w:pPr>
      <w:r>
        <w:rPr>
          <w:rFonts w:ascii="Arial" w:cs="Arial" w:eastAsia="Arial" w:hAnsi="Arial"/>
          <w:sz w:val="16"/>
          <w:szCs w:val="16"/>
          <w:color w:val="auto"/>
        </w:rPr>
        <w:t>Project construction activity for the co-venturer operated Gorgon liquefied natural gas (LNG) project progressed in 2014. The project consists of a subsea infrastruc offshore production and transportation of the gas, a 15.6 million tonnes per year LNG facility and a 280 million cubic feet per day domestic gas plant located on Island, Western Australia.</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Papua New Guinea</w:t>
      </w:r>
    </w:p>
    <w:p>
      <w:pPr>
        <w:spacing w:after="0" w:line="8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 total of 1.1 million net onshore acres were held by ExxonMobil at year-end 2014, with 1.6 net development wells completed during the year. The Papua New Guinea LNG project started up in 2014. The PNG LNG integrated development includes gas production and processing facilities in the southern PNG Highlands, a 6.9 million per year LNG facility near Port Moresby and approximately 434 miles of onshore and offshore pipelines.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WORLDWIDE EXPLORATION</w:t>
      </w:r>
    </w:p>
    <w:p>
      <w:pPr>
        <w:spacing w:after="0" w:line="8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At year-end 2014, exploration activities were under way in several areas in which ExxonMobil has no established production operations and thus are not included a total of 33.4 million net acres were held at year-end 2014 and 3.8 net exploration wells were completed during the year in these countries.</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Delivery Commitments</w:t>
      </w:r>
    </w:p>
    <w:p>
      <w:pPr>
        <w:spacing w:after="0" w:line="41"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ExxonMobil sells crude oil and natural gas from its producing operations under a variety of contractual obligations, some of which may specify the delivery of a fi determinable quantity for periods longer than one year. ExxonMobil also enters into natural gas sales contracts where the source of the natural gas used to fulfill the c can be a combination of our own production and the spot market. Worldwide, we are contractually committed to deliver approximately 18 million barrels of oil an billion cubic feet of natural gas for the period from 2015 through 2017. We expect to fulfill the majority of these delivery commitments with production from our developed reserves. Any remaining commitments will be fulfilled with production from our proved undeveloped reserves and spot market purchases as necessary.</w:t>
      </w:r>
    </w:p>
    <w:p>
      <w:pPr>
        <w:spacing w:after="0" w:line="2"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850" w:right="139" w:bottom="1440" w:gutter="0" w:footer="0" w:header="0"/>
        </w:sectPr>
      </w:pPr>
    </w:p>
    <w:bookmarkStart w:id="18" w:name="page19"/>
    <w:bookmarkEnd w:id="18"/>
    <w:p>
      <w:pPr>
        <w:ind w:right="6940" w:firstLine="6"/>
        <w:spacing w:after="0" w:line="387" w:lineRule="auto"/>
        <w:tabs>
          <w:tab w:leader="none" w:pos="163"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Oil and Gas Properties, Wells, Operations and Acreage A. Gross and Net Productive Wells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40" w:type="dxa"/>
            <w:vAlign w:val="bottom"/>
            <w:gridSpan w:val="2"/>
          </w:tcPr>
          <w:p>
            <w:pPr>
              <w:jc w:val="right"/>
              <w:ind w:right="661"/>
              <w:spacing w:after="0"/>
              <w:rPr>
                <w:sz w:val="20"/>
                <w:szCs w:val="20"/>
                <w:color w:val="auto"/>
              </w:rPr>
            </w:pPr>
            <w:r>
              <w:rPr>
                <w:rFonts w:ascii="Arial" w:cs="Arial" w:eastAsia="Arial" w:hAnsi="Arial"/>
                <w:sz w:val="13"/>
                <w:szCs w:val="13"/>
                <w:b w:val="1"/>
                <w:bCs w:val="1"/>
                <w:color w:val="auto"/>
              </w:rPr>
              <w:t>Year-End 2014</w:t>
            </w: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gridSpan w:val="2"/>
          </w:tcPr>
          <w:p>
            <w:pPr>
              <w:jc w:val="right"/>
              <w:ind w:right="641"/>
              <w:spacing w:after="0"/>
              <w:rPr>
                <w:sz w:val="20"/>
                <w:szCs w:val="20"/>
                <w:color w:val="auto"/>
              </w:rPr>
            </w:pPr>
            <w:r>
              <w:rPr>
                <w:rFonts w:ascii="Arial" w:cs="Arial" w:eastAsia="Arial" w:hAnsi="Arial"/>
                <w:sz w:val="13"/>
                <w:szCs w:val="13"/>
                <w:b w:val="1"/>
                <w:bCs w:val="1"/>
                <w:color w:val="auto"/>
              </w:rPr>
              <w:t>Year-End 2013</w:t>
            </w:r>
          </w:p>
        </w:tc>
        <w:tc>
          <w:tcPr>
            <w:tcW w:w="180" w:type="dxa"/>
            <w:vAlign w:val="bottom"/>
          </w:tcPr>
          <w:p>
            <w:pPr>
              <w:spacing w:after="0"/>
              <w:rPr>
                <w:sz w:val="14"/>
                <w:szCs w:val="14"/>
                <w:color w:val="auto"/>
              </w:rPr>
            </w:pPr>
          </w:p>
        </w:tc>
      </w:tr>
      <w:tr>
        <w:trPr>
          <w:trHeight w:val="23"/>
        </w:trPr>
        <w:tc>
          <w:tcPr>
            <w:tcW w:w="39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71"/>
        </w:trPr>
        <w:tc>
          <w:tcPr>
            <w:tcW w:w="3920" w:type="dxa"/>
            <w:vAlign w:val="bottom"/>
          </w:tcPr>
          <w:p>
            <w:pPr>
              <w:spacing w:after="0"/>
              <w:rPr>
                <w:sz w:val="14"/>
                <w:szCs w:val="14"/>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b w:val="1"/>
                <w:bCs w:val="1"/>
                <w:color w:val="auto"/>
              </w:rPr>
              <w:t>Oil</w:t>
            </w:r>
          </w:p>
        </w:tc>
        <w:tc>
          <w:tcPr>
            <w:tcW w:w="8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b w:val="1"/>
                <w:bCs w:val="1"/>
                <w:color w:val="auto"/>
              </w:rPr>
              <w:t>Gas</w:t>
            </w:r>
          </w:p>
        </w:tc>
        <w:tc>
          <w:tcPr>
            <w:tcW w:w="9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b w:val="1"/>
                <w:bCs w:val="1"/>
                <w:color w:val="auto"/>
              </w:rPr>
              <w:t>Oil</w:t>
            </w:r>
          </w:p>
        </w:tc>
        <w:tc>
          <w:tcPr>
            <w:tcW w:w="8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b w:val="1"/>
                <w:bCs w:val="1"/>
                <w:color w:val="auto"/>
              </w:rPr>
              <w:t>Gas</w:t>
            </w:r>
          </w:p>
        </w:tc>
        <w:tc>
          <w:tcPr>
            <w:tcW w:w="180" w:type="dxa"/>
            <w:vAlign w:val="bottom"/>
            <w:tcBorders>
              <w:bottom w:val="single" w:sz="8" w:color="auto"/>
            </w:tcBorders>
          </w:tcPr>
          <w:p>
            <w:pPr>
              <w:spacing w:after="0"/>
              <w:rPr>
                <w:sz w:val="14"/>
                <w:szCs w:val="14"/>
                <w:color w:val="auto"/>
              </w:rPr>
            </w:pPr>
          </w:p>
        </w:tc>
      </w:tr>
      <w:tr>
        <w:trPr>
          <w:trHeight w:val="176"/>
        </w:trPr>
        <w:tc>
          <w:tcPr>
            <w:tcW w:w="39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Gross</w:t>
            </w:r>
          </w:p>
        </w:tc>
        <w:tc>
          <w:tcPr>
            <w:tcW w:w="820" w:type="dxa"/>
            <w:vAlign w:val="bottom"/>
            <w:tcBorders>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Net</w:t>
            </w: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Gross</w:t>
            </w:r>
          </w:p>
        </w:tc>
        <w:tc>
          <w:tcPr>
            <w:tcW w:w="92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Net</w:t>
            </w: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Gross</w:t>
            </w:r>
          </w:p>
        </w:tc>
        <w:tc>
          <w:tcPr>
            <w:tcW w:w="800" w:type="dxa"/>
            <w:vAlign w:val="bottom"/>
            <w:tcBorders>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Net</w:t>
            </w: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Gross</w:t>
            </w:r>
          </w:p>
        </w:tc>
        <w:tc>
          <w:tcPr>
            <w:tcW w:w="180" w:type="dxa"/>
            <w:vAlign w:val="bottom"/>
            <w:tcBorders>
              <w:bottom w:val="single" w:sz="8" w:color="auto"/>
            </w:tcBorders>
          </w:tcPr>
          <w:p>
            <w:pPr>
              <w:ind w:left="120"/>
              <w:spacing w:after="0"/>
              <w:rPr>
                <w:sz w:val="20"/>
                <w:szCs w:val="20"/>
                <w:color w:val="auto"/>
              </w:rPr>
            </w:pPr>
            <w:r>
              <w:rPr>
                <w:rFonts w:ascii="Arial" w:cs="Arial" w:eastAsia="Arial" w:hAnsi="Arial"/>
                <w:sz w:val="7"/>
                <w:szCs w:val="7"/>
                <w:b w:val="1"/>
                <w:bCs w:val="1"/>
                <w:color w:val="auto"/>
                <w:w w:val="78"/>
              </w:rPr>
              <w:t>N</w:t>
            </w:r>
          </w:p>
        </w:tc>
      </w:tr>
      <w:tr>
        <w:trPr>
          <w:trHeight w:val="177"/>
        </w:trPr>
        <w:tc>
          <w:tcPr>
            <w:tcW w:w="3920" w:type="dxa"/>
            <w:vAlign w:val="bottom"/>
          </w:tcPr>
          <w:p>
            <w:pPr>
              <w:spacing w:after="0" w:line="178" w:lineRule="exact"/>
              <w:rPr>
                <w:sz w:val="20"/>
                <w:szCs w:val="20"/>
                <w:color w:val="auto"/>
              </w:rPr>
            </w:pPr>
            <w:r>
              <w:rPr>
                <w:rFonts w:ascii="Arial" w:cs="Arial" w:eastAsia="Arial" w:hAnsi="Arial"/>
                <w:sz w:val="16"/>
                <w:szCs w:val="16"/>
                <w:b w:val="1"/>
                <w:bCs w:val="1"/>
                <w:color w:val="auto"/>
              </w:rPr>
              <w:t>Gross and Net Productive Wells</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0"/>
        </w:trPr>
        <w:tc>
          <w:tcPr>
            <w:tcW w:w="3920" w:type="dxa"/>
            <w:vAlign w:val="bottom"/>
          </w:tcPr>
          <w:p>
            <w:pPr>
              <w:ind w:left="240"/>
              <w:spacing w:after="0"/>
              <w:rPr>
                <w:sz w:val="20"/>
                <w:szCs w:val="20"/>
                <w:color w:val="auto"/>
              </w:rPr>
            </w:pPr>
            <w:r>
              <w:rPr>
                <w:rFonts w:ascii="Arial" w:cs="Arial" w:eastAsia="Arial" w:hAnsi="Arial"/>
                <w:sz w:val="16"/>
                <w:szCs w:val="16"/>
                <w:b w:val="1"/>
                <w:bCs w:val="1"/>
                <w:color w:val="auto"/>
              </w:rPr>
              <w:t>Consolidated Subsidiaries</w:t>
            </w: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3920" w:type="dxa"/>
            <w:vAlign w:val="bottom"/>
          </w:tcPr>
          <w:p>
            <w:pPr>
              <w:ind w:left="480"/>
              <w:spacing w:after="0"/>
              <w:rPr>
                <w:sz w:val="20"/>
                <w:szCs w:val="20"/>
                <w:color w:val="auto"/>
              </w:rPr>
            </w:pPr>
            <w:r>
              <w:rPr>
                <w:rFonts w:ascii="Arial" w:cs="Arial" w:eastAsia="Arial" w:hAnsi="Arial"/>
                <w:sz w:val="16"/>
                <w:szCs w:val="16"/>
                <w:color w:val="auto"/>
              </w:rPr>
              <w:t>United States</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24,242</w:t>
            </w: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9,249</w:t>
            </w:r>
          </w:p>
        </w:tc>
        <w:tc>
          <w:tcPr>
            <w:tcW w:w="1020" w:type="dxa"/>
            <w:vAlign w:val="bottom"/>
          </w:tcPr>
          <w:p>
            <w:pPr>
              <w:jc w:val="right"/>
              <w:ind w:right="201"/>
              <w:spacing w:after="0"/>
              <w:rPr>
                <w:sz w:val="20"/>
                <w:szCs w:val="20"/>
                <w:color w:val="auto"/>
              </w:rPr>
            </w:pPr>
            <w:r>
              <w:rPr>
                <w:rFonts w:ascii="Arial" w:cs="Arial" w:eastAsia="Arial" w:hAnsi="Arial"/>
                <w:sz w:val="16"/>
                <w:szCs w:val="16"/>
                <w:color w:val="auto"/>
              </w:rPr>
              <w:t>36,095</w:t>
            </w:r>
          </w:p>
        </w:tc>
        <w:tc>
          <w:tcPr>
            <w:tcW w:w="920" w:type="dxa"/>
            <w:vAlign w:val="bottom"/>
          </w:tcPr>
          <w:p>
            <w:pPr>
              <w:jc w:val="right"/>
              <w:ind w:right="200"/>
              <w:spacing w:after="0"/>
              <w:rPr>
                <w:sz w:val="20"/>
                <w:szCs w:val="20"/>
                <w:color w:val="auto"/>
              </w:rPr>
            </w:pPr>
            <w:r>
              <w:rPr>
                <w:rFonts w:ascii="Arial" w:cs="Arial" w:eastAsia="Arial" w:hAnsi="Arial"/>
                <w:sz w:val="16"/>
                <w:szCs w:val="16"/>
                <w:color w:val="auto"/>
              </w:rPr>
              <w:t>21,571</w:t>
            </w:r>
          </w:p>
        </w:tc>
        <w:tc>
          <w:tcPr>
            <w:tcW w:w="1120" w:type="dxa"/>
            <w:vAlign w:val="bottom"/>
          </w:tcPr>
          <w:p>
            <w:pPr>
              <w:jc w:val="right"/>
              <w:ind w:right="201"/>
              <w:spacing w:after="0"/>
              <w:rPr>
                <w:sz w:val="20"/>
                <w:szCs w:val="20"/>
                <w:color w:val="auto"/>
              </w:rPr>
            </w:pPr>
            <w:r>
              <w:rPr>
                <w:rFonts w:ascii="Arial" w:cs="Arial" w:eastAsia="Arial" w:hAnsi="Arial"/>
                <w:sz w:val="16"/>
                <w:szCs w:val="16"/>
                <w:color w:val="auto"/>
              </w:rPr>
              <w:t>23,395</w:t>
            </w: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8,487</w:t>
            </w:r>
          </w:p>
        </w:tc>
        <w:tc>
          <w:tcPr>
            <w:tcW w:w="1020" w:type="dxa"/>
            <w:vAlign w:val="bottom"/>
          </w:tcPr>
          <w:p>
            <w:pPr>
              <w:jc w:val="right"/>
              <w:ind w:right="201"/>
              <w:spacing w:after="0"/>
              <w:rPr>
                <w:sz w:val="20"/>
                <w:szCs w:val="20"/>
                <w:color w:val="auto"/>
              </w:rPr>
            </w:pPr>
            <w:r>
              <w:rPr>
                <w:rFonts w:ascii="Arial" w:cs="Arial" w:eastAsia="Arial" w:hAnsi="Arial"/>
                <w:sz w:val="16"/>
                <w:szCs w:val="16"/>
                <w:color w:val="auto"/>
              </w:rPr>
              <w:t>38,392</w:t>
            </w:r>
          </w:p>
        </w:tc>
        <w:tc>
          <w:tcPr>
            <w:tcW w:w="180" w:type="dxa"/>
            <w:vAlign w:val="bottom"/>
          </w:tcPr>
          <w:p>
            <w:pPr>
              <w:spacing w:after="0"/>
              <w:rPr>
                <w:sz w:val="17"/>
                <w:szCs w:val="17"/>
                <w:color w:val="auto"/>
              </w:rPr>
            </w:pPr>
          </w:p>
        </w:tc>
      </w:tr>
      <w:tr>
        <w:trPr>
          <w:trHeight w:val="196"/>
        </w:trPr>
        <w:tc>
          <w:tcPr>
            <w:tcW w:w="3920" w:type="dxa"/>
            <w:vAlign w:val="bottom"/>
          </w:tcPr>
          <w:p>
            <w:pPr>
              <w:ind w:left="480"/>
              <w:spacing w:after="0"/>
              <w:rPr>
                <w:sz w:val="20"/>
                <w:szCs w:val="20"/>
                <w:color w:val="auto"/>
              </w:rPr>
            </w:pPr>
            <w:r>
              <w:rPr>
                <w:rFonts w:ascii="Arial" w:cs="Arial" w:eastAsia="Arial" w:hAnsi="Arial"/>
                <w:sz w:val="16"/>
                <w:szCs w:val="16"/>
                <w:color w:val="auto"/>
              </w:rPr>
              <w:t>Canada/South America</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5,012</w:t>
            </w: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4,659</w:t>
            </w:r>
          </w:p>
        </w:tc>
        <w:tc>
          <w:tcPr>
            <w:tcW w:w="1020" w:type="dxa"/>
            <w:vAlign w:val="bottom"/>
          </w:tcPr>
          <w:p>
            <w:pPr>
              <w:jc w:val="right"/>
              <w:ind w:right="201"/>
              <w:spacing w:after="0"/>
              <w:rPr>
                <w:sz w:val="20"/>
                <w:szCs w:val="20"/>
                <w:color w:val="auto"/>
              </w:rPr>
            </w:pPr>
            <w:r>
              <w:rPr>
                <w:rFonts w:ascii="Arial" w:cs="Arial" w:eastAsia="Arial" w:hAnsi="Arial"/>
                <w:sz w:val="16"/>
                <w:szCs w:val="16"/>
                <w:color w:val="auto"/>
              </w:rPr>
              <w:t>4,577</w:t>
            </w:r>
          </w:p>
        </w:tc>
        <w:tc>
          <w:tcPr>
            <w:tcW w:w="920" w:type="dxa"/>
            <w:vAlign w:val="bottom"/>
          </w:tcPr>
          <w:p>
            <w:pPr>
              <w:jc w:val="right"/>
              <w:ind w:right="200"/>
              <w:spacing w:after="0"/>
              <w:rPr>
                <w:sz w:val="20"/>
                <w:szCs w:val="20"/>
                <w:color w:val="auto"/>
              </w:rPr>
            </w:pPr>
            <w:r>
              <w:rPr>
                <w:rFonts w:ascii="Arial" w:cs="Arial" w:eastAsia="Arial" w:hAnsi="Arial"/>
                <w:sz w:val="16"/>
                <w:szCs w:val="16"/>
                <w:color w:val="auto"/>
              </w:rPr>
              <w:t>1,782</w:t>
            </w:r>
          </w:p>
        </w:tc>
        <w:tc>
          <w:tcPr>
            <w:tcW w:w="1120" w:type="dxa"/>
            <w:vAlign w:val="bottom"/>
          </w:tcPr>
          <w:p>
            <w:pPr>
              <w:jc w:val="right"/>
              <w:ind w:right="201"/>
              <w:spacing w:after="0"/>
              <w:rPr>
                <w:sz w:val="20"/>
                <w:szCs w:val="20"/>
                <w:color w:val="auto"/>
              </w:rPr>
            </w:pPr>
            <w:r>
              <w:rPr>
                <w:rFonts w:ascii="Arial" w:cs="Arial" w:eastAsia="Arial" w:hAnsi="Arial"/>
                <w:sz w:val="16"/>
                <w:szCs w:val="16"/>
                <w:color w:val="auto"/>
              </w:rPr>
              <w:t>5,486</w:t>
            </w: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4,990</w:t>
            </w:r>
          </w:p>
        </w:tc>
        <w:tc>
          <w:tcPr>
            <w:tcW w:w="1020" w:type="dxa"/>
            <w:vAlign w:val="bottom"/>
          </w:tcPr>
          <w:p>
            <w:pPr>
              <w:jc w:val="right"/>
              <w:ind w:right="201"/>
              <w:spacing w:after="0"/>
              <w:rPr>
                <w:sz w:val="20"/>
                <w:szCs w:val="20"/>
                <w:color w:val="auto"/>
              </w:rPr>
            </w:pPr>
            <w:r>
              <w:rPr>
                <w:rFonts w:ascii="Arial" w:cs="Arial" w:eastAsia="Arial" w:hAnsi="Arial"/>
                <w:sz w:val="16"/>
                <w:szCs w:val="16"/>
                <w:color w:val="auto"/>
              </w:rPr>
              <w:t>4,478</w:t>
            </w:r>
          </w:p>
        </w:tc>
        <w:tc>
          <w:tcPr>
            <w:tcW w:w="180" w:type="dxa"/>
            <w:vAlign w:val="bottom"/>
          </w:tcPr>
          <w:p>
            <w:pPr>
              <w:spacing w:after="0"/>
              <w:rPr>
                <w:sz w:val="17"/>
                <w:szCs w:val="17"/>
                <w:color w:val="auto"/>
              </w:rPr>
            </w:pPr>
          </w:p>
        </w:tc>
      </w:tr>
      <w:tr>
        <w:trPr>
          <w:trHeight w:val="196"/>
        </w:trPr>
        <w:tc>
          <w:tcPr>
            <w:tcW w:w="3920" w:type="dxa"/>
            <w:vAlign w:val="bottom"/>
          </w:tcPr>
          <w:p>
            <w:pPr>
              <w:ind w:left="480"/>
              <w:spacing w:after="0"/>
              <w:rPr>
                <w:sz w:val="20"/>
                <w:szCs w:val="20"/>
                <w:color w:val="auto"/>
              </w:rPr>
            </w:pPr>
            <w:r>
              <w:rPr>
                <w:rFonts w:ascii="Arial" w:cs="Arial" w:eastAsia="Arial" w:hAnsi="Arial"/>
                <w:sz w:val="16"/>
                <w:szCs w:val="16"/>
                <w:color w:val="auto"/>
              </w:rPr>
              <w:t>Europe</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1,215</w:t>
            </w: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347</w:t>
            </w:r>
          </w:p>
        </w:tc>
        <w:tc>
          <w:tcPr>
            <w:tcW w:w="1020" w:type="dxa"/>
            <w:vAlign w:val="bottom"/>
          </w:tcPr>
          <w:p>
            <w:pPr>
              <w:jc w:val="right"/>
              <w:ind w:right="201"/>
              <w:spacing w:after="0"/>
              <w:rPr>
                <w:sz w:val="20"/>
                <w:szCs w:val="20"/>
                <w:color w:val="auto"/>
              </w:rPr>
            </w:pPr>
            <w:r>
              <w:rPr>
                <w:rFonts w:ascii="Arial" w:cs="Arial" w:eastAsia="Arial" w:hAnsi="Arial"/>
                <w:sz w:val="16"/>
                <w:szCs w:val="16"/>
                <w:color w:val="auto"/>
              </w:rPr>
              <w:t>642</w:t>
            </w:r>
          </w:p>
        </w:tc>
        <w:tc>
          <w:tcPr>
            <w:tcW w:w="920" w:type="dxa"/>
            <w:vAlign w:val="bottom"/>
          </w:tcPr>
          <w:p>
            <w:pPr>
              <w:jc w:val="right"/>
              <w:ind w:right="200"/>
              <w:spacing w:after="0"/>
              <w:rPr>
                <w:sz w:val="20"/>
                <w:szCs w:val="20"/>
                <w:color w:val="auto"/>
              </w:rPr>
            </w:pPr>
            <w:r>
              <w:rPr>
                <w:rFonts w:ascii="Arial" w:cs="Arial" w:eastAsia="Arial" w:hAnsi="Arial"/>
                <w:sz w:val="16"/>
                <w:szCs w:val="16"/>
                <w:color w:val="auto"/>
              </w:rPr>
              <w:t>259</w:t>
            </w:r>
          </w:p>
        </w:tc>
        <w:tc>
          <w:tcPr>
            <w:tcW w:w="1120" w:type="dxa"/>
            <w:vAlign w:val="bottom"/>
          </w:tcPr>
          <w:p>
            <w:pPr>
              <w:jc w:val="right"/>
              <w:ind w:right="201"/>
              <w:spacing w:after="0"/>
              <w:rPr>
                <w:sz w:val="20"/>
                <w:szCs w:val="20"/>
                <w:color w:val="auto"/>
              </w:rPr>
            </w:pPr>
            <w:r>
              <w:rPr>
                <w:rFonts w:ascii="Arial" w:cs="Arial" w:eastAsia="Arial" w:hAnsi="Arial"/>
                <w:sz w:val="16"/>
                <w:szCs w:val="16"/>
                <w:color w:val="auto"/>
              </w:rPr>
              <w:t>1,254</w:t>
            </w: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352</w:t>
            </w:r>
          </w:p>
        </w:tc>
        <w:tc>
          <w:tcPr>
            <w:tcW w:w="1020" w:type="dxa"/>
            <w:vAlign w:val="bottom"/>
          </w:tcPr>
          <w:p>
            <w:pPr>
              <w:jc w:val="right"/>
              <w:ind w:right="201"/>
              <w:spacing w:after="0"/>
              <w:rPr>
                <w:sz w:val="20"/>
                <w:szCs w:val="20"/>
                <w:color w:val="auto"/>
              </w:rPr>
            </w:pPr>
            <w:r>
              <w:rPr>
                <w:rFonts w:ascii="Arial" w:cs="Arial" w:eastAsia="Arial" w:hAnsi="Arial"/>
                <w:sz w:val="16"/>
                <w:szCs w:val="16"/>
                <w:color w:val="auto"/>
              </w:rPr>
              <w:t>649</w:t>
            </w:r>
          </w:p>
        </w:tc>
        <w:tc>
          <w:tcPr>
            <w:tcW w:w="180" w:type="dxa"/>
            <w:vAlign w:val="bottom"/>
          </w:tcPr>
          <w:p>
            <w:pPr>
              <w:spacing w:after="0"/>
              <w:rPr>
                <w:sz w:val="17"/>
                <w:szCs w:val="17"/>
                <w:color w:val="auto"/>
              </w:rPr>
            </w:pPr>
          </w:p>
        </w:tc>
      </w:tr>
      <w:tr>
        <w:trPr>
          <w:trHeight w:val="196"/>
        </w:trPr>
        <w:tc>
          <w:tcPr>
            <w:tcW w:w="3920" w:type="dxa"/>
            <w:vAlign w:val="bottom"/>
          </w:tcPr>
          <w:p>
            <w:pPr>
              <w:ind w:left="480"/>
              <w:spacing w:after="0"/>
              <w:rPr>
                <w:sz w:val="20"/>
                <w:szCs w:val="20"/>
                <w:color w:val="auto"/>
              </w:rPr>
            </w:pPr>
            <w:r>
              <w:rPr>
                <w:rFonts w:ascii="Arial" w:cs="Arial" w:eastAsia="Arial" w:hAnsi="Arial"/>
                <w:sz w:val="16"/>
                <w:szCs w:val="16"/>
                <w:color w:val="auto"/>
              </w:rPr>
              <w:t>Africa</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1,299</w:t>
            </w: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513</w:t>
            </w:r>
          </w:p>
        </w:tc>
        <w:tc>
          <w:tcPr>
            <w:tcW w:w="1020" w:type="dxa"/>
            <w:vAlign w:val="bottom"/>
          </w:tcPr>
          <w:p>
            <w:pPr>
              <w:jc w:val="right"/>
              <w:ind w:right="201"/>
              <w:spacing w:after="0"/>
              <w:rPr>
                <w:sz w:val="20"/>
                <w:szCs w:val="20"/>
                <w:color w:val="auto"/>
              </w:rPr>
            </w:pPr>
            <w:r>
              <w:rPr>
                <w:rFonts w:ascii="Arial" w:cs="Arial" w:eastAsia="Arial" w:hAnsi="Arial"/>
                <w:sz w:val="16"/>
                <w:szCs w:val="16"/>
                <w:color w:val="auto"/>
              </w:rPr>
              <w:t>19</w:t>
            </w:r>
          </w:p>
        </w:tc>
        <w:tc>
          <w:tcPr>
            <w:tcW w:w="920" w:type="dxa"/>
            <w:vAlign w:val="bottom"/>
          </w:tcPr>
          <w:p>
            <w:pPr>
              <w:jc w:val="right"/>
              <w:ind w:right="200"/>
              <w:spacing w:after="0"/>
              <w:rPr>
                <w:sz w:val="20"/>
                <w:szCs w:val="20"/>
                <w:color w:val="auto"/>
              </w:rPr>
            </w:pPr>
            <w:r>
              <w:rPr>
                <w:rFonts w:ascii="Arial" w:cs="Arial" w:eastAsia="Arial" w:hAnsi="Arial"/>
                <w:sz w:val="16"/>
                <w:szCs w:val="16"/>
                <w:color w:val="auto"/>
              </w:rPr>
              <w:t>8</w:t>
            </w:r>
          </w:p>
        </w:tc>
        <w:tc>
          <w:tcPr>
            <w:tcW w:w="1120" w:type="dxa"/>
            <w:vAlign w:val="bottom"/>
          </w:tcPr>
          <w:p>
            <w:pPr>
              <w:jc w:val="right"/>
              <w:ind w:right="201"/>
              <w:spacing w:after="0"/>
              <w:rPr>
                <w:sz w:val="20"/>
                <w:szCs w:val="20"/>
                <w:color w:val="auto"/>
              </w:rPr>
            </w:pPr>
            <w:r>
              <w:rPr>
                <w:rFonts w:ascii="Arial" w:cs="Arial" w:eastAsia="Arial" w:hAnsi="Arial"/>
                <w:sz w:val="16"/>
                <w:szCs w:val="16"/>
                <w:color w:val="auto"/>
              </w:rPr>
              <w:t>1,186</w:t>
            </w: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472</w:t>
            </w:r>
          </w:p>
        </w:tc>
        <w:tc>
          <w:tcPr>
            <w:tcW w:w="1020" w:type="dxa"/>
            <w:vAlign w:val="bottom"/>
          </w:tcPr>
          <w:p>
            <w:pPr>
              <w:jc w:val="right"/>
              <w:ind w:right="201"/>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7"/>
                <w:szCs w:val="17"/>
                <w:color w:val="auto"/>
              </w:rPr>
            </w:pPr>
          </w:p>
        </w:tc>
      </w:tr>
      <w:tr>
        <w:trPr>
          <w:trHeight w:val="196"/>
        </w:trPr>
        <w:tc>
          <w:tcPr>
            <w:tcW w:w="3920" w:type="dxa"/>
            <w:vAlign w:val="bottom"/>
          </w:tcPr>
          <w:p>
            <w:pPr>
              <w:ind w:left="480"/>
              <w:spacing w:after="0"/>
              <w:rPr>
                <w:sz w:val="20"/>
                <w:szCs w:val="20"/>
                <w:color w:val="auto"/>
              </w:rPr>
            </w:pPr>
            <w:r>
              <w:rPr>
                <w:rFonts w:ascii="Arial" w:cs="Arial" w:eastAsia="Arial" w:hAnsi="Arial"/>
                <w:sz w:val="16"/>
                <w:szCs w:val="16"/>
                <w:color w:val="auto"/>
              </w:rPr>
              <w:t>Asia</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804</w:t>
            </w: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267</w:t>
            </w:r>
          </w:p>
        </w:tc>
        <w:tc>
          <w:tcPr>
            <w:tcW w:w="1020" w:type="dxa"/>
            <w:vAlign w:val="bottom"/>
          </w:tcPr>
          <w:p>
            <w:pPr>
              <w:jc w:val="right"/>
              <w:ind w:right="201"/>
              <w:spacing w:after="0"/>
              <w:rPr>
                <w:sz w:val="20"/>
                <w:szCs w:val="20"/>
                <w:color w:val="auto"/>
              </w:rPr>
            </w:pPr>
            <w:r>
              <w:rPr>
                <w:rFonts w:ascii="Arial" w:cs="Arial" w:eastAsia="Arial" w:hAnsi="Arial"/>
                <w:sz w:val="16"/>
                <w:szCs w:val="16"/>
                <w:color w:val="auto"/>
              </w:rPr>
              <w:t>207</w:t>
            </w:r>
          </w:p>
        </w:tc>
        <w:tc>
          <w:tcPr>
            <w:tcW w:w="920" w:type="dxa"/>
            <w:vAlign w:val="bottom"/>
          </w:tcPr>
          <w:p>
            <w:pPr>
              <w:jc w:val="right"/>
              <w:ind w:right="200"/>
              <w:spacing w:after="0"/>
              <w:rPr>
                <w:sz w:val="20"/>
                <w:szCs w:val="20"/>
                <w:color w:val="auto"/>
              </w:rPr>
            </w:pPr>
            <w:r>
              <w:rPr>
                <w:rFonts w:ascii="Arial" w:cs="Arial" w:eastAsia="Arial" w:hAnsi="Arial"/>
                <w:sz w:val="16"/>
                <w:szCs w:val="16"/>
                <w:color w:val="auto"/>
              </w:rPr>
              <w:t>150</w:t>
            </w:r>
          </w:p>
        </w:tc>
        <w:tc>
          <w:tcPr>
            <w:tcW w:w="1120" w:type="dxa"/>
            <w:vAlign w:val="bottom"/>
          </w:tcPr>
          <w:p>
            <w:pPr>
              <w:jc w:val="right"/>
              <w:ind w:right="201"/>
              <w:spacing w:after="0"/>
              <w:rPr>
                <w:sz w:val="20"/>
                <w:szCs w:val="20"/>
                <w:color w:val="auto"/>
              </w:rPr>
            </w:pPr>
            <w:r>
              <w:rPr>
                <w:rFonts w:ascii="Arial" w:cs="Arial" w:eastAsia="Arial" w:hAnsi="Arial"/>
                <w:sz w:val="16"/>
                <w:szCs w:val="16"/>
                <w:color w:val="auto"/>
              </w:rPr>
              <w:t>756</w:t>
            </w: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270</w:t>
            </w:r>
          </w:p>
        </w:tc>
        <w:tc>
          <w:tcPr>
            <w:tcW w:w="1020" w:type="dxa"/>
            <w:vAlign w:val="bottom"/>
          </w:tcPr>
          <w:p>
            <w:pPr>
              <w:jc w:val="right"/>
              <w:ind w:right="201"/>
              <w:spacing w:after="0"/>
              <w:rPr>
                <w:sz w:val="20"/>
                <w:szCs w:val="20"/>
                <w:color w:val="auto"/>
              </w:rPr>
            </w:pPr>
            <w:r>
              <w:rPr>
                <w:rFonts w:ascii="Arial" w:cs="Arial" w:eastAsia="Arial" w:hAnsi="Arial"/>
                <w:sz w:val="16"/>
                <w:szCs w:val="16"/>
                <w:color w:val="auto"/>
              </w:rPr>
              <w:t>207</w:t>
            </w:r>
          </w:p>
        </w:tc>
        <w:tc>
          <w:tcPr>
            <w:tcW w:w="180" w:type="dxa"/>
            <w:vAlign w:val="bottom"/>
          </w:tcPr>
          <w:p>
            <w:pPr>
              <w:spacing w:after="0"/>
              <w:rPr>
                <w:sz w:val="17"/>
                <w:szCs w:val="17"/>
                <w:color w:val="auto"/>
              </w:rPr>
            </w:pPr>
          </w:p>
        </w:tc>
      </w:tr>
      <w:tr>
        <w:trPr>
          <w:trHeight w:val="208"/>
        </w:trPr>
        <w:tc>
          <w:tcPr>
            <w:tcW w:w="3920" w:type="dxa"/>
            <w:vAlign w:val="bottom"/>
          </w:tcPr>
          <w:p>
            <w:pPr>
              <w:ind w:left="480"/>
              <w:spacing w:after="0"/>
              <w:rPr>
                <w:sz w:val="20"/>
                <w:szCs w:val="20"/>
                <w:color w:val="auto"/>
              </w:rPr>
            </w:pPr>
            <w:r>
              <w:rPr>
                <w:rFonts w:ascii="Arial" w:cs="Arial" w:eastAsia="Arial" w:hAnsi="Arial"/>
                <w:sz w:val="16"/>
                <w:szCs w:val="16"/>
                <w:color w:val="auto"/>
              </w:rPr>
              <w:t>Australia/Oceania</w:t>
            </w:r>
          </w:p>
        </w:tc>
        <w:tc>
          <w:tcPr>
            <w:tcW w:w="11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669</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157</w:t>
            </w:r>
          </w:p>
        </w:tc>
        <w:tc>
          <w:tcPr>
            <w:tcW w:w="10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43</w:t>
            </w: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21</w:t>
            </w:r>
          </w:p>
        </w:tc>
        <w:tc>
          <w:tcPr>
            <w:tcW w:w="11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661</w:t>
            </w: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147</w:t>
            </w:r>
          </w:p>
        </w:tc>
        <w:tc>
          <w:tcPr>
            <w:tcW w:w="10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38</w:t>
            </w:r>
          </w:p>
        </w:tc>
        <w:tc>
          <w:tcPr>
            <w:tcW w:w="180" w:type="dxa"/>
            <w:vAlign w:val="bottom"/>
            <w:tcBorders>
              <w:bottom w:val="single" w:sz="8" w:color="auto"/>
            </w:tcBorders>
          </w:tcPr>
          <w:p>
            <w:pPr>
              <w:spacing w:after="0"/>
              <w:rPr>
                <w:sz w:val="18"/>
                <w:szCs w:val="18"/>
                <w:color w:val="auto"/>
              </w:rPr>
            </w:pPr>
          </w:p>
        </w:tc>
      </w:tr>
      <w:tr>
        <w:trPr>
          <w:trHeight w:val="201"/>
        </w:trPr>
        <w:tc>
          <w:tcPr>
            <w:tcW w:w="3920" w:type="dxa"/>
            <w:vAlign w:val="bottom"/>
          </w:tcPr>
          <w:p>
            <w:pPr>
              <w:ind w:left="700"/>
              <w:spacing w:after="0"/>
              <w:rPr>
                <w:sz w:val="20"/>
                <w:szCs w:val="20"/>
                <w:color w:val="auto"/>
              </w:rPr>
            </w:pPr>
            <w:r>
              <w:rPr>
                <w:rFonts w:ascii="Arial" w:cs="Arial" w:eastAsia="Arial" w:hAnsi="Arial"/>
                <w:sz w:val="16"/>
                <w:szCs w:val="16"/>
                <w:color w:val="auto"/>
              </w:rPr>
              <w:t>Total Consolidated Subsidiaries</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33,241</w:t>
            </w: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15,192</w:t>
            </w:r>
          </w:p>
        </w:tc>
        <w:tc>
          <w:tcPr>
            <w:tcW w:w="1020" w:type="dxa"/>
            <w:vAlign w:val="bottom"/>
          </w:tcPr>
          <w:p>
            <w:pPr>
              <w:jc w:val="right"/>
              <w:ind w:right="201"/>
              <w:spacing w:after="0"/>
              <w:rPr>
                <w:sz w:val="20"/>
                <w:szCs w:val="20"/>
                <w:color w:val="auto"/>
              </w:rPr>
            </w:pPr>
            <w:r>
              <w:rPr>
                <w:rFonts w:ascii="Arial" w:cs="Arial" w:eastAsia="Arial" w:hAnsi="Arial"/>
                <w:sz w:val="16"/>
                <w:szCs w:val="16"/>
                <w:color w:val="auto"/>
              </w:rPr>
              <w:t>41,583</w:t>
            </w:r>
          </w:p>
        </w:tc>
        <w:tc>
          <w:tcPr>
            <w:tcW w:w="920" w:type="dxa"/>
            <w:vAlign w:val="bottom"/>
          </w:tcPr>
          <w:p>
            <w:pPr>
              <w:jc w:val="right"/>
              <w:ind w:right="200"/>
              <w:spacing w:after="0"/>
              <w:rPr>
                <w:sz w:val="20"/>
                <w:szCs w:val="20"/>
                <w:color w:val="auto"/>
              </w:rPr>
            </w:pPr>
            <w:r>
              <w:rPr>
                <w:rFonts w:ascii="Arial" w:cs="Arial" w:eastAsia="Arial" w:hAnsi="Arial"/>
                <w:sz w:val="16"/>
                <w:szCs w:val="16"/>
                <w:color w:val="auto"/>
              </w:rPr>
              <w:t>23,791</w:t>
            </w:r>
          </w:p>
        </w:tc>
        <w:tc>
          <w:tcPr>
            <w:tcW w:w="1120" w:type="dxa"/>
            <w:vAlign w:val="bottom"/>
          </w:tcPr>
          <w:p>
            <w:pPr>
              <w:jc w:val="right"/>
              <w:ind w:right="201"/>
              <w:spacing w:after="0"/>
              <w:rPr>
                <w:sz w:val="20"/>
                <w:szCs w:val="20"/>
                <w:color w:val="auto"/>
              </w:rPr>
            </w:pPr>
            <w:r>
              <w:rPr>
                <w:rFonts w:ascii="Arial" w:cs="Arial" w:eastAsia="Arial" w:hAnsi="Arial"/>
                <w:sz w:val="16"/>
                <w:szCs w:val="16"/>
                <w:color w:val="auto"/>
              </w:rPr>
              <w:t>32,738</w:t>
            </w: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14,718</w:t>
            </w:r>
          </w:p>
        </w:tc>
        <w:tc>
          <w:tcPr>
            <w:tcW w:w="1020" w:type="dxa"/>
            <w:vAlign w:val="bottom"/>
          </w:tcPr>
          <w:p>
            <w:pPr>
              <w:jc w:val="right"/>
              <w:ind w:right="201"/>
              <w:spacing w:after="0"/>
              <w:rPr>
                <w:sz w:val="20"/>
                <w:szCs w:val="20"/>
                <w:color w:val="auto"/>
              </w:rPr>
            </w:pPr>
            <w:r>
              <w:rPr>
                <w:rFonts w:ascii="Arial" w:cs="Arial" w:eastAsia="Arial" w:hAnsi="Arial"/>
                <w:sz w:val="16"/>
                <w:szCs w:val="16"/>
                <w:color w:val="auto"/>
              </w:rPr>
              <w:t>43,780</w:t>
            </w:r>
          </w:p>
        </w:tc>
        <w:tc>
          <w:tcPr>
            <w:tcW w:w="180" w:type="dxa"/>
            <w:vAlign w:val="bottom"/>
          </w:tcPr>
          <w:p>
            <w:pPr>
              <w:spacing w:after="0"/>
              <w:rPr>
                <w:sz w:val="17"/>
                <w:szCs w:val="17"/>
                <w:color w:val="auto"/>
              </w:rPr>
            </w:pPr>
          </w:p>
        </w:tc>
      </w:tr>
      <w:tr>
        <w:trPr>
          <w:trHeight w:val="368"/>
        </w:trPr>
        <w:tc>
          <w:tcPr>
            <w:tcW w:w="3920" w:type="dxa"/>
            <w:vAlign w:val="bottom"/>
          </w:tcPr>
          <w:p>
            <w:pPr>
              <w:ind w:left="240"/>
              <w:spacing w:after="0"/>
              <w:rPr>
                <w:sz w:val="20"/>
                <w:szCs w:val="20"/>
                <w:color w:val="auto"/>
              </w:rPr>
            </w:pPr>
            <w:r>
              <w:rPr>
                <w:rFonts w:ascii="Arial" w:cs="Arial" w:eastAsia="Arial" w:hAnsi="Arial"/>
                <w:sz w:val="16"/>
                <w:szCs w:val="16"/>
                <w:b w:val="1"/>
                <w:bCs w:val="1"/>
                <w:color w:val="auto"/>
              </w:rPr>
              <w:t>Equity Companies</w:t>
            </w: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3920" w:type="dxa"/>
            <w:vAlign w:val="bottom"/>
          </w:tcPr>
          <w:p>
            <w:pPr>
              <w:ind w:left="480"/>
              <w:spacing w:after="0"/>
              <w:rPr>
                <w:sz w:val="20"/>
                <w:szCs w:val="20"/>
                <w:color w:val="auto"/>
              </w:rPr>
            </w:pPr>
            <w:r>
              <w:rPr>
                <w:rFonts w:ascii="Arial" w:cs="Arial" w:eastAsia="Arial" w:hAnsi="Arial"/>
                <w:sz w:val="16"/>
                <w:szCs w:val="16"/>
                <w:color w:val="auto"/>
              </w:rPr>
              <w:t>United States</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14,571</w:t>
            </w: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5,605</w:t>
            </w:r>
          </w:p>
        </w:tc>
        <w:tc>
          <w:tcPr>
            <w:tcW w:w="1020" w:type="dxa"/>
            <w:vAlign w:val="bottom"/>
          </w:tcPr>
          <w:p>
            <w:pPr>
              <w:jc w:val="right"/>
              <w:ind w:right="201"/>
              <w:spacing w:after="0"/>
              <w:rPr>
                <w:sz w:val="20"/>
                <w:szCs w:val="20"/>
                <w:color w:val="auto"/>
              </w:rPr>
            </w:pPr>
            <w:r>
              <w:rPr>
                <w:rFonts w:ascii="Arial" w:cs="Arial" w:eastAsia="Arial" w:hAnsi="Arial"/>
                <w:sz w:val="16"/>
                <w:szCs w:val="16"/>
                <w:color w:val="auto"/>
              </w:rPr>
              <w:t>4,365</w:t>
            </w:r>
          </w:p>
        </w:tc>
        <w:tc>
          <w:tcPr>
            <w:tcW w:w="920" w:type="dxa"/>
            <w:vAlign w:val="bottom"/>
          </w:tcPr>
          <w:p>
            <w:pPr>
              <w:jc w:val="right"/>
              <w:ind w:right="200"/>
              <w:spacing w:after="0"/>
              <w:rPr>
                <w:sz w:val="20"/>
                <w:szCs w:val="20"/>
                <w:color w:val="auto"/>
              </w:rPr>
            </w:pPr>
            <w:r>
              <w:rPr>
                <w:rFonts w:ascii="Arial" w:cs="Arial" w:eastAsia="Arial" w:hAnsi="Arial"/>
                <w:sz w:val="16"/>
                <w:szCs w:val="16"/>
                <w:color w:val="auto"/>
              </w:rPr>
              <w:t>494</w:t>
            </w:r>
          </w:p>
        </w:tc>
        <w:tc>
          <w:tcPr>
            <w:tcW w:w="1120" w:type="dxa"/>
            <w:vAlign w:val="bottom"/>
          </w:tcPr>
          <w:p>
            <w:pPr>
              <w:jc w:val="right"/>
              <w:ind w:right="201"/>
              <w:spacing w:after="0"/>
              <w:rPr>
                <w:sz w:val="20"/>
                <w:szCs w:val="20"/>
                <w:color w:val="auto"/>
              </w:rPr>
            </w:pPr>
            <w:r>
              <w:rPr>
                <w:rFonts w:ascii="Arial" w:cs="Arial" w:eastAsia="Arial" w:hAnsi="Arial"/>
                <w:sz w:val="16"/>
                <w:szCs w:val="16"/>
                <w:color w:val="auto"/>
              </w:rPr>
              <w:t>14,362</w:t>
            </w: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5,529</w:t>
            </w:r>
          </w:p>
        </w:tc>
        <w:tc>
          <w:tcPr>
            <w:tcW w:w="1020" w:type="dxa"/>
            <w:vAlign w:val="bottom"/>
          </w:tcPr>
          <w:p>
            <w:pPr>
              <w:jc w:val="right"/>
              <w:ind w:right="201"/>
              <w:spacing w:after="0"/>
              <w:rPr>
                <w:sz w:val="20"/>
                <w:szCs w:val="20"/>
                <w:color w:val="auto"/>
              </w:rPr>
            </w:pPr>
            <w:r>
              <w:rPr>
                <w:rFonts w:ascii="Arial" w:cs="Arial" w:eastAsia="Arial" w:hAnsi="Arial"/>
                <w:sz w:val="16"/>
                <w:szCs w:val="16"/>
                <w:color w:val="auto"/>
              </w:rPr>
              <w:t>4,369</w:t>
            </w:r>
          </w:p>
        </w:tc>
        <w:tc>
          <w:tcPr>
            <w:tcW w:w="180" w:type="dxa"/>
            <w:vAlign w:val="bottom"/>
          </w:tcPr>
          <w:p>
            <w:pPr>
              <w:spacing w:after="0"/>
              <w:rPr>
                <w:sz w:val="17"/>
                <w:szCs w:val="17"/>
                <w:color w:val="auto"/>
              </w:rPr>
            </w:pPr>
          </w:p>
        </w:tc>
      </w:tr>
      <w:tr>
        <w:trPr>
          <w:trHeight w:val="196"/>
        </w:trPr>
        <w:tc>
          <w:tcPr>
            <w:tcW w:w="3920" w:type="dxa"/>
            <w:vAlign w:val="bottom"/>
          </w:tcPr>
          <w:p>
            <w:pPr>
              <w:ind w:left="480"/>
              <w:spacing w:after="0"/>
              <w:rPr>
                <w:sz w:val="20"/>
                <w:szCs w:val="20"/>
                <w:color w:val="auto"/>
              </w:rPr>
            </w:pPr>
            <w:r>
              <w:rPr>
                <w:rFonts w:ascii="Arial" w:cs="Arial" w:eastAsia="Arial" w:hAnsi="Arial"/>
                <w:sz w:val="16"/>
                <w:szCs w:val="16"/>
                <w:color w:val="auto"/>
              </w:rPr>
              <w:t>Europe</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57</w:t>
            </w: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20</w:t>
            </w:r>
          </w:p>
        </w:tc>
        <w:tc>
          <w:tcPr>
            <w:tcW w:w="1020" w:type="dxa"/>
            <w:vAlign w:val="bottom"/>
          </w:tcPr>
          <w:p>
            <w:pPr>
              <w:jc w:val="right"/>
              <w:ind w:right="201"/>
              <w:spacing w:after="0"/>
              <w:rPr>
                <w:sz w:val="20"/>
                <w:szCs w:val="20"/>
                <w:color w:val="auto"/>
              </w:rPr>
            </w:pPr>
            <w:r>
              <w:rPr>
                <w:rFonts w:ascii="Arial" w:cs="Arial" w:eastAsia="Arial" w:hAnsi="Arial"/>
                <w:sz w:val="16"/>
                <w:szCs w:val="16"/>
                <w:color w:val="auto"/>
              </w:rPr>
              <w:t>567</w:t>
            </w:r>
          </w:p>
        </w:tc>
        <w:tc>
          <w:tcPr>
            <w:tcW w:w="920" w:type="dxa"/>
            <w:vAlign w:val="bottom"/>
          </w:tcPr>
          <w:p>
            <w:pPr>
              <w:jc w:val="right"/>
              <w:ind w:right="200"/>
              <w:spacing w:after="0"/>
              <w:rPr>
                <w:sz w:val="20"/>
                <w:szCs w:val="20"/>
                <w:color w:val="auto"/>
              </w:rPr>
            </w:pPr>
            <w:r>
              <w:rPr>
                <w:rFonts w:ascii="Arial" w:cs="Arial" w:eastAsia="Arial" w:hAnsi="Arial"/>
                <w:sz w:val="16"/>
                <w:szCs w:val="16"/>
                <w:color w:val="auto"/>
              </w:rPr>
              <w:t>179</w:t>
            </w:r>
          </w:p>
        </w:tc>
        <w:tc>
          <w:tcPr>
            <w:tcW w:w="1120" w:type="dxa"/>
            <w:vAlign w:val="bottom"/>
          </w:tcPr>
          <w:p>
            <w:pPr>
              <w:jc w:val="right"/>
              <w:ind w:right="201"/>
              <w:spacing w:after="0"/>
              <w:rPr>
                <w:sz w:val="20"/>
                <w:szCs w:val="20"/>
                <w:color w:val="auto"/>
              </w:rPr>
            </w:pPr>
            <w:r>
              <w:rPr>
                <w:rFonts w:ascii="Arial" w:cs="Arial" w:eastAsia="Arial" w:hAnsi="Arial"/>
                <w:sz w:val="16"/>
                <w:szCs w:val="16"/>
                <w:color w:val="auto"/>
              </w:rPr>
              <w:t>49</w:t>
            </w: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17</w:t>
            </w:r>
          </w:p>
        </w:tc>
        <w:tc>
          <w:tcPr>
            <w:tcW w:w="1020" w:type="dxa"/>
            <w:vAlign w:val="bottom"/>
          </w:tcPr>
          <w:p>
            <w:pPr>
              <w:jc w:val="right"/>
              <w:ind w:right="201"/>
              <w:spacing w:after="0"/>
              <w:rPr>
                <w:sz w:val="20"/>
                <w:szCs w:val="20"/>
                <w:color w:val="auto"/>
              </w:rPr>
            </w:pPr>
            <w:r>
              <w:rPr>
                <w:rFonts w:ascii="Arial" w:cs="Arial" w:eastAsia="Arial" w:hAnsi="Arial"/>
                <w:sz w:val="16"/>
                <w:szCs w:val="16"/>
                <w:color w:val="auto"/>
              </w:rPr>
              <w:t>555</w:t>
            </w:r>
          </w:p>
        </w:tc>
        <w:tc>
          <w:tcPr>
            <w:tcW w:w="180" w:type="dxa"/>
            <w:vAlign w:val="bottom"/>
          </w:tcPr>
          <w:p>
            <w:pPr>
              <w:spacing w:after="0"/>
              <w:rPr>
                <w:sz w:val="17"/>
                <w:szCs w:val="17"/>
                <w:color w:val="auto"/>
              </w:rPr>
            </w:pPr>
          </w:p>
        </w:tc>
      </w:tr>
      <w:tr>
        <w:trPr>
          <w:trHeight w:val="208"/>
        </w:trPr>
        <w:tc>
          <w:tcPr>
            <w:tcW w:w="3920" w:type="dxa"/>
            <w:vAlign w:val="bottom"/>
          </w:tcPr>
          <w:p>
            <w:pPr>
              <w:ind w:left="480"/>
              <w:spacing w:after="0"/>
              <w:rPr>
                <w:sz w:val="20"/>
                <w:szCs w:val="20"/>
                <w:color w:val="auto"/>
              </w:rPr>
            </w:pPr>
            <w:r>
              <w:rPr>
                <w:rFonts w:ascii="Arial" w:cs="Arial" w:eastAsia="Arial" w:hAnsi="Arial"/>
                <w:sz w:val="16"/>
                <w:szCs w:val="16"/>
                <w:color w:val="auto"/>
              </w:rPr>
              <w:t>Asia</w:t>
            </w:r>
          </w:p>
        </w:tc>
        <w:tc>
          <w:tcPr>
            <w:tcW w:w="11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110</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27</w:t>
            </w:r>
          </w:p>
        </w:tc>
        <w:tc>
          <w:tcPr>
            <w:tcW w:w="10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125</w:t>
            </w: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30</w:t>
            </w:r>
          </w:p>
        </w:tc>
        <w:tc>
          <w:tcPr>
            <w:tcW w:w="11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1,329</w:t>
            </w: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143</w:t>
            </w:r>
          </w:p>
        </w:tc>
        <w:tc>
          <w:tcPr>
            <w:tcW w:w="10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122</w:t>
            </w:r>
          </w:p>
        </w:tc>
        <w:tc>
          <w:tcPr>
            <w:tcW w:w="180" w:type="dxa"/>
            <w:vAlign w:val="bottom"/>
            <w:tcBorders>
              <w:bottom w:val="single" w:sz="8" w:color="auto"/>
            </w:tcBorders>
          </w:tcPr>
          <w:p>
            <w:pPr>
              <w:spacing w:after="0"/>
              <w:rPr>
                <w:sz w:val="18"/>
                <w:szCs w:val="18"/>
                <w:color w:val="auto"/>
              </w:rPr>
            </w:pPr>
          </w:p>
        </w:tc>
      </w:tr>
      <w:tr>
        <w:trPr>
          <w:trHeight w:val="189"/>
        </w:trPr>
        <w:tc>
          <w:tcPr>
            <w:tcW w:w="3920" w:type="dxa"/>
            <w:vAlign w:val="bottom"/>
          </w:tcPr>
          <w:p>
            <w:pPr>
              <w:ind w:left="700"/>
              <w:spacing w:after="0"/>
              <w:rPr>
                <w:sz w:val="20"/>
                <w:szCs w:val="20"/>
                <w:color w:val="auto"/>
              </w:rPr>
            </w:pPr>
            <w:r>
              <w:rPr>
                <w:rFonts w:ascii="Arial" w:cs="Arial" w:eastAsia="Arial" w:hAnsi="Arial"/>
                <w:sz w:val="16"/>
                <w:szCs w:val="16"/>
                <w:color w:val="auto"/>
              </w:rPr>
              <w:t>Total Equity Companies</w:t>
            </w:r>
          </w:p>
        </w:tc>
        <w:tc>
          <w:tcPr>
            <w:tcW w:w="11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14,738</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5,652</w:t>
            </w:r>
          </w:p>
        </w:tc>
        <w:tc>
          <w:tcPr>
            <w:tcW w:w="10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5,057</w:t>
            </w: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703</w:t>
            </w:r>
          </w:p>
        </w:tc>
        <w:tc>
          <w:tcPr>
            <w:tcW w:w="11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15,740</w:t>
            </w: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5,689</w:t>
            </w:r>
          </w:p>
        </w:tc>
        <w:tc>
          <w:tcPr>
            <w:tcW w:w="10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5,046</w:t>
            </w:r>
          </w:p>
        </w:tc>
        <w:tc>
          <w:tcPr>
            <w:tcW w:w="180" w:type="dxa"/>
            <w:vAlign w:val="bottom"/>
            <w:tcBorders>
              <w:bottom w:val="single" w:sz="8" w:color="auto"/>
            </w:tcBorders>
          </w:tcPr>
          <w:p>
            <w:pPr>
              <w:spacing w:after="0"/>
              <w:rPr>
                <w:sz w:val="16"/>
                <w:szCs w:val="16"/>
                <w:color w:val="auto"/>
              </w:rPr>
            </w:pPr>
          </w:p>
        </w:tc>
      </w:tr>
      <w:tr>
        <w:trPr>
          <w:trHeight w:val="188"/>
        </w:trPr>
        <w:tc>
          <w:tcPr>
            <w:tcW w:w="3920" w:type="dxa"/>
            <w:vAlign w:val="bottom"/>
          </w:tcPr>
          <w:p>
            <w:pPr>
              <w:spacing w:after="0"/>
              <w:rPr>
                <w:sz w:val="20"/>
                <w:szCs w:val="20"/>
                <w:color w:val="auto"/>
              </w:rPr>
            </w:pPr>
            <w:r>
              <w:rPr>
                <w:rFonts w:ascii="Arial" w:cs="Arial" w:eastAsia="Arial" w:hAnsi="Arial"/>
                <w:sz w:val="16"/>
                <w:szCs w:val="16"/>
                <w:b w:val="1"/>
                <w:bCs w:val="1"/>
                <w:color w:val="auto"/>
              </w:rPr>
              <w:t>Total gross and net productive wells</w:t>
            </w:r>
          </w:p>
        </w:tc>
        <w:tc>
          <w:tcPr>
            <w:tcW w:w="11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47,979</w:t>
            </w: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20,844</w:t>
            </w:r>
          </w:p>
        </w:tc>
        <w:tc>
          <w:tcPr>
            <w:tcW w:w="10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46,640</w:t>
            </w: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24,494</w:t>
            </w:r>
          </w:p>
        </w:tc>
        <w:tc>
          <w:tcPr>
            <w:tcW w:w="11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48,478</w:t>
            </w: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20,407</w:t>
            </w:r>
          </w:p>
        </w:tc>
        <w:tc>
          <w:tcPr>
            <w:tcW w:w="10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48,826</w:t>
            </w:r>
          </w:p>
        </w:tc>
        <w:tc>
          <w:tcPr>
            <w:tcW w:w="180" w:type="dxa"/>
            <w:vAlign w:val="bottom"/>
            <w:tcBorders>
              <w:bottom w:val="single" w:sz="8" w:color="auto"/>
            </w:tcBorders>
          </w:tcPr>
          <w:p>
            <w:pPr>
              <w:spacing w:after="0"/>
              <w:rPr>
                <w:sz w:val="16"/>
                <w:szCs w:val="16"/>
                <w:color w:val="auto"/>
              </w:rPr>
            </w:pPr>
          </w:p>
        </w:tc>
      </w:tr>
    </w:tbl>
    <w:p>
      <w:pPr>
        <w:spacing w:after="0" w:line="33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There were 35,446 gross and 29,870 net operated wells at year-end 2014 and 37,661 gross and 31,823 net operated wells at year-end 2013. The number of wells with completions was 1,219 gross in 2014 and 1,531 gross in 2013.</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4"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650" w:right="1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B. Gross and Net Developed Acreage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3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b w:val="1"/>
                <w:bCs w:val="1"/>
                <w:color w:val="auto"/>
              </w:rPr>
              <w:t>Year-End 2014</w:t>
            </w:r>
          </w:p>
        </w:tc>
        <w:tc>
          <w:tcPr>
            <w:tcW w:w="16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Year-End 2013</w:t>
            </w:r>
          </w:p>
        </w:tc>
        <w:tc>
          <w:tcPr>
            <w:tcW w:w="100" w:type="dxa"/>
            <w:vAlign w:val="bottom"/>
          </w:tcPr>
          <w:p>
            <w:pPr>
              <w:spacing w:after="0"/>
              <w:rPr>
                <w:sz w:val="14"/>
                <w:szCs w:val="14"/>
                <w:color w:val="auto"/>
              </w:rPr>
            </w:pPr>
          </w:p>
        </w:tc>
      </w:tr>
      <w:tr>
        <w:trPr>
          <w:trHeight w:val="23"/>
        </w:trPr>
        <w:tc>
          <w:tcPr>
            <w:tcW w:w="63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71"/>
        </w:trPr>
        <w:tc>
          <w:tcPr>
            <w:tcW w:w="63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61"/>
              <w:spacing w:after="0"/>
              <w:rPr>
                <w:sz w:val="20"/>
                <w:szCs w:val="20"/>
                <w:color w:val="auto"/>
              </w:rPr>
            </w:pPr>
            <w:r>
              <w:rPr>
                <w:rFonts w:ascii="Arial" w:cs="Arial" w:eastAsia="Arial" w:hAnsi="Arial"/>
                <w:sz w:val="13"/>
                <w:szCs w:val="13"/>
                <w:b w:val="1"/>
                <w:bCs w:val="1"/>
                <w:color w:val="auto"/>
              </w:rPr>
              <w:t>Gross</w:t>
            </w:r>
          </w:p>
        </w:tc>
        <w:tc>
          <w:tcPr>
            <w:tcW w:w="1620" w:type="dxa"/>
            <w:vAlign w:val="bottom"/>
            <w:tcBorders>
              <w:bottom w:val="single" w:sz="8" w:color="auto"/>
            </w:tcBorders>
          </w:tcPr>
          <w:p>
            <w:pPr>
              <w:jc w:val="right"/>
              <w:ind w:right="1281"/>
              <w:spacing w:after="0"/>
              <w:rPr>
                <w:sz w:val="20"/>
                <w:szCs w:val="20"/>
                <w:color w:val="auto"/>
              </w:rPr>
            </w:pPr>
            <w:r>
              <w:rPr>
                <w:rFonts w:ascii="Arial" w:cs="Arial" w:eastAsia="Arial" w:hAnsi="Arial"/>
                <w:sz w:val="13"/>
                <w:szCs w:val="13"/>
                <w:b w:val="1"/>
                <w:bCs w:val="1"/>
                <w:color w:val="auto"/>
              </w:rPr>
              <w:t>Net</w:t>
            </w:r>
          </w:p>
        </w:tc>
        <w:tc>
          <w:tcPr>
            <w:tcW w:w="1340" w:type="dxa"/>
            <w:vAlign w:val="bottom"/>
            <w:tcBorders>
              <w:bottom w:val="single" w:sz="8" w:color="auto"/>
            </w:tcBorders>
          </w:tcPr>
          <w:p>
            <w:pPr>
              <w:jc w:val="right"/>
              <w:ind w:right="861"/>
              <w:spacing w:after="0"/>
              <w:rPr>
                <w:sz w:val="20"/>
                <w:szCs w:val="20"/>
                <w:color w:val="auto"/>
              </w:rPr>
            </w:pPr>
            <w:r>
              <w:rPr>
                <w:rFonts w:ascii="Arial" w:cs="Arial" w:eastAsia="Arial" w:hAnsi="Arial"/>
                <w:sz w:val="13"/>
                <w:szCs w:val="13"/>
                <w:b w:val="1"/>
                <w:bCs w:val="1"/>
                <w:color w:val="auto"/>
              </w:rPr>
              <w:t>Gross</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7"/>
                <w:szCs w:val="7"/>
                <w:b w:val="1"/>
                <w:bCs w:val="1"/>
                <w:color w:val="auto"/>
                <w:w w:val="78"/>
              </w:rPr>
              <w:t>N</w:t>
            </w:r>
          </w:p>
        </w:tc>
      </w:tr>
      <w:tr>
        <w:trPr>
          <w:trHeight w:val="171"/>
        </w:trPr>
        <w:tc>
          <w:tcPr>
            <w:tcW w:w="6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20" w:type="dxa"/>
            <w:vAlign w:val="bottom"/>
          </w:tcPr>
          <w:p>
            <w:pPr>
              <w:jc w:val="right"/>
              <w:ind w:right="21"/>
              <w:spacing w:after="0"/>
              <w:rPr>
                <w:sz w:val="20"/>
                <w:szCs w:val="20"/>
                <w:color w:val="auto"/>
              </w:rPr>
            </w:pPr>
            <w:r>
              <w:rPr>
                <w:rFonts w:ascii="Arial" w:cs="Arial" w:eastAsia="Arial" w:hAnsi="Arial"/>
                <w:sz w:val="13"/>
                <w:szCs w:val="13"/>
                <w:i w:val="1"/>
                <w:iCs w:val="1"/>
                <w:color w:val="auto"/>
              </w:rPr>
              <w:t>(thousands of acres)</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320" w:type="dxa"/>
            <w:vAlign w:val="bottom"/>
          </w:tcPr>
          <w:p>
            <w:pPr>
              <w:spacing w:after="0"/>
              <w:rPr>
                <w:sz w:val="20"/>
                <w:szCs w:val="20"/>
                <w:color w:val="auto"/>
              </w:rPr>
            </w:pPr>
            <w:r>
              <w:rPr>
                <w:rFonts w:ascii="Arial" w:cs="Arial" w:eastAsia="Arial" w:hAnsi="Arial"/>
                <w:sz w:val="16"/>
                <w:szCs w:val="16"/>
                <w:b w:val="1"/>
                <w:bCs w:val="1"/>
                <w:color w:val="auto"/>
              </w:rPr>
              <w:t>Gross and Net Developed Acreage</w:t>
            </w:r>
          </w:p>
        </w:tc>
        <w:tc>
          <w:tcPr>
            <w:tcW w:w="15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6320" w:type="dxa"/>
            <w:vAlign w:val="bottom"/>
          </w:tcPr>
          <w:p>
            <w:pPr>
              <w:ind w:left="240"/>
              <w:spacing w:after="0"/>
              <w:rPr>
                <w:sz w:val="20"/>
                <w:szCs w:val="20"/>
                <w:color w:val="auto"/>
              </w:rPr>
            </w:pPr>
            <w:r>
              <w:rPr>
                <w:rFonts w:ascii="Arial" w:cs="Arial" w:eastAsia="Arial" w:hAnsi="Arial"/>
                <w:sz w:val="16"/>
                <w:szCs w:val="16"/>
                <w:b w:val="1"/>
                <w:bCs w:val="1"/>
                <w:color w:val="auto"/>
              </w:rPr>
              <w:t>Consolidated Subsidiaries</w:t>
            </w:r>
          </w:p>
        </w:tc>
        <w:tc>
          <w:tcPr>
            <w:tcW w:w="15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320" w:type="dxa"/>
            <w:vAlign w:val="bottom"/>
          </w:tcPr>
          <w:p>
            <w:pPr>
              <w:ind w:left="480"/>
              <w:spacing w:after="0"/>
              <w:rPr>
                <w:sz w:val="20"/>
                <w:szCs w:val="20"/>
                <w:color w:val="auto"/>
              </w:rPr>
            </w:pPr>
            <w:r>
              <w:rPr>
                <w:rFonts w:ascii="Arial" w:cs="Arial" w:eastAsia="Arial" w:hAnsi="Arial"/>
                <w:sz w:val="16"/>
                <w:szCs w:val="16"/>
                <w:color w:val="auto"/>
              </w:rPr>
              <w:t>United States</w:t>
            </w:r>
          </w:p>
        </w:tc>
        <w:tc>
          <w:tcPr>
            <w:tcW w:w="1560" w:type="dxa"/>
            <w:vAlign w:val="bottom"/>
          </w:tcPr>
          <w:p>
            <w:pPr>
              <w:jc w:val="right"/>
              <w:ind w:right="621"/>
              <w:spacing w:after="0"/>
              <w:rPr>
                <w:sz w:val="20"/>
                <w:szCs w:val="20"/>
                <w:color w:val="auto"/>
              </w:rPr>
            </w:pPr>
            <w:r>
              <w:rPr>
                <w:rFonts w:ascii="Arial" w:cs="Arial" w:eastAsia="Arial" w:hAnsi="Arial"/>
                <w:sz w:val="16"/>
                <w:szCs w:val="16"/>
                <w:color w:val="auto"/>
              </w:rPr>
              <w:t>14,777</w:t>
            </w:r>
          </w:p>
        </w:tc>
        <w:tc>
          <w:tcPr>
            <w:tcW w:w="1620" w:type="dxa"/>
            <w:vAlign w:val="bottom"/>
          </w:tcPr>
          <w:p>
            <w:pPr>
              <w:jc w:val="right"/>
              <w:ind w:right="981"/>
              <w:spacing w:after="0"/>
              <w:rPr>
                <w:sz w:val="20"/>
                <w:szCs w:val="20"/>
                <w:color w:val="auto"/>
              </w:rPr>
            </w:pPr>
            <w:r>
              <w:rPr>
                <w:rFonts w:ascii="Arial" w:cs="Arial" w:eastAsia="Arial" w:hAnsi="Arial"/>
                <w:sz w:val="16"/>
                <w:szCs w:val="16"/>
                <w:color w:val="auto"/>
              </w:rPr>
              <w:t>9,367</w:t>
            </w:r>
          </w:p>
        </w:tc>
        <w:tc>
          <w:tcPr>
            <w:tcW w:w="1340" w:type="dxa"/>
            <w:vAlign w:val="bottom"/>
          </w:tcPr>
          <w:p>
            <w:pPr>
              <w:jc w:val="right"/>
              <w:ind w:right="601"/>
              <w:spacing w:after="0"/>
              <w:rPr>
                <w:sz w:val="20"/>
                <w:szCs w:val="20"/>
                <w:color w:val="auto"/>
              </w:rPr>
            </w:pPr>
            <w:r>
              <w:rPr>
                <w:rFonts w:ascii="Arial" w:cs="Arial" w:eastAsia="Arial" w:hAnsi="Arial"/>
                <w:sz w:val="16"/>
                <w:szCs w:val="16"/>
                <w:color w:val="auto"/>
              </w:rPr>
              <w:t>16,504</w:t>
            </w:r>
          </w:p>
        </w:tc>
        <w:tc>
          <w:tcPr>
            <w:tcW w:w="100" w:type="dxa"/>
            <w:vAlign w:val="bottom"/>
          </w:tcPr>
          <w:p>
            <w:pPr>
              <w:spacing w:after="0"/>
              <w:rPr>
                <w:sz w:val="17"/>
                <w:szCs w:val="17"/>
                <w:color w:val="auto"/>
              </w:rPr>
            </w:pPr>
          </w:p>
        </w:tc>
      </w:tr>
      <w:tr>
        <w:trPr>
          <w:trHeight w:val="196"/>
        </w:trPr>
        <w:tc>
          <w:tcPr>
            <w:tcW w:w="6320" w:type="dxa"/>
            <w:vAlign w:val="bottom"/>
          </w:tcPr>
          <w:p>
            <w:pPr>
              <w:ind w:left="480"/>
              <w:spacing w:after="0"/>
              <w:rPr>
                <w:sz w:val="20"/>
                <w:szCs w:val="20"/>
                <w:color w:val="auto"/>
              </w:rPr>
            </w:pPr>
            <w:r>
              <w:rPr>
                <w:rFonts w:ascii="Arial" w:cs="Arial" w:eastAsia="Arial" w:hAnsi="Arial"/>
                <w:sz w:val="16"/>
                <w:szCs w:val="16"/>
                <w:color w:val="auto"/>
              </w:rPr>
              <w:t xml:space="preserve">Canada/South America </w:t>
            </w:r>
            <w:r>
              <w:rPr>
                <w:rFonts w:ascii="Arial" w:cs="Arial" w:eastAsia="Arial" w:hAnsi="Arial"/>
                <w:sz w:val="13"/>
                <w:szCs w:val="13"/>
                <w:i w:val="1"/>
                <w:iCs w:val="1"/>
                <w:color w:val="auto"/>
              </w:rPr>
              <w:t>(1)</w:t>
            </w:r>
          </w:p>
        </w:tc>
        <w:tc>
          <w:tcPr>
            <w:tcW w:w="1560" w:type="dxa"/>
            <w:vAlign w:val="bottom"/>
          </w:tcPr>
          <w:p>
            <w:pPr>
              <w:jc w:val="right"/>
              <w:ind w:right="621"/>
              <w:spacing w:after="0"/>
              <w:rPr>
                <w:sz w:val="20"/>
                <w:szCs w:val="20"/>
                <w:color w:val="auto"/>
              </w:rPr>
            </w:pPr>
            <w:r>
              <w:rPr>
                <w:rFonts w:ascii="Arial" w:cs="Arial" w:eastAsia="Arial" w:hAnsi="Arial"/>
                <w:sz w:val="16"/>
                <w:szCs w:val="16"/>
                <w:color w:val="auto"/>
              </w:rPr>
              <w:t>3,515</w:t>
            </w:r>
          </w:p>
        </w:tc>
        <w:tc>
          <w:tcPr>
            <w:tcW w:w="1620" w:type="dxa"/>
            <w:vAlign w:val="bottom"/>
          </w:tcPr>
          <w:p>
            <w:pPr>
              <w:jc w:val="right"/>
              <w:ind w:right="981"/>
              <w:spacing w:after="0"/>
              <w:rPr>
                <w:sz w:val="20"/>
                <w:szCs w:val="20"/>
                <w:color w:val="auto"/>
              </w:rPr>
            </w:pPr>
            <w:r>
              <w:rPr>
                <w:rFonts w:ascii="Arial" w:cs="Arial" w:eastAsia="Arial" w:hAnsi="Arial"/>
                <w:sz w:val="16"/>
                <w:szCs w:val="16"/>
                <w:color w:val="auto"/>
              </w:rPr>
              <w:t>2,242</w:t>
            </w:r>
          </w:p>
        </w:tc>
        <w:tc>
          <w:tcPr>
            <w:tcW w:w="1340" w:type="dxa"/>
            <w:vAlign w:val="bottom"/>
          </w:tcPr>
          <w:p>
            <w:pPr>
              <w:jc w:val="right"/>
              <w:ind w:right="601"/>
              <w:spacing w:after="0"/>
              <w:rPr>
                <w:sz w:val="20"/>
                <w:szCs w:val="20"/>
                <w:color w:val="auto"/>
              </w:rPr>
            </w:pPr>
            <w:r>
              <w:rPr>
                <w:rFonts w:ascii="Arial" w:cs="Arial" w:eastAsia="Arial" w:hAnsi="Arial"/>
                <w:sz w:val="16"/>
                <w:szCs w:val="16"/>
                <w:color w:val="auto"/>
              </w:rPr>
              <w:t>3,413</w:t>
            </w:r>
          </w:p>
        </w:tc>
        <w:tc>
          <w:tcPr>
            <w:tcW w:w="100" w:type="dxa"/>
            <w:vAlign w:val="bottom"/>
          </w:tcPr>
          <w:p>
            <w:pPr>
              <w:spacing w:after="0"/>
              <w:rPr>
                <w:sz w:val="17"/>
                <w:szCs w:val="17"/>
                <w:color w:val="auto"/>
              </w:rPr>
            </w:pPr>
          </w:p>
        </w:tc>
      </w:tr>
      <w:tr>
        <w:trPr>
          <w:trHeight w:val="196"/>
        </w:trPr>
        <w:tc>
          <w:tcPr>
            <w:tcW w:w="6320" w:type="dxa"/>
            <w:vAlign w:val="bottom"/>
          </w:tcPr>
          <w:p>
            <w:pPr>
              <w:ind w:left="480"/>
              <w:spacing w:after="0"/>
              <w:rPr>
                <w:sz w:val="20"/>
                <w:szCs w:val="20"/>
                <w:color w:val="auto"/>
              </w:rPr>
            </w:pPr>
            <w:r>
              <w:rPr>
                <w:rFonts w:ascii="Arial" w:cs="Arial" w:eastAsia="Arial" w:hAnsi="Arial"/>
                <w:sz w:val="16"/>
                <w:szCs w:val="16"/>
                <w:color w:val="auto"/>
              </w:rPr>
              <w:t>Europe</w:t>
            </w:r>
          </w:p>
        </w:tc>
        <w:tc>
          <w:tcPr>
            <w:tcW w:w="1560" w:type="dxa"/>
            <w:vAlign w:val="bottom"/>
          </w:tcPr>
          <w:p>
            <w:pPr>
              <w:jc w:val="right"/>
              <w:ind w:right="621"/>
              <w:spacing w:after="0"/>
              <w:rPr>
                <w:sz w:val="20"/>
                <w:szCs w:val="20"/>
                <w:color w:val="auto"/>
              </w:rPr>
            </w:pPr>
            <w:r>
              <w:rPr>
                <w:rFonts w:ascii="Arial" w:cs="Arial" w:eastAsia="Arial" w:hAnsi="Arial"/>
                <w:sz w:val="16"/>
                <w:szCs w:val="16"/>
                <w:color w:val="auto"/>
              </w:rPr>
              <w:t>3,337</w:t>
            </w:r>
          </w:p>
        </w:tc>
        <w:tc>
          <w:tcPr>
            <w:tcW w:w="1620" w:type="dxa"/>
            <w:vAlign w:val="bottom"/>
          </w:tcPr>
          <w:p>
            <w:pPr>
              <w:jc w:val="right"/>
              <w:ind w:right="981"/>
              <w:spacing w:after="0"/>
              <w:rPr>
                <w:sz w:val="20"/>
                <w:szCs w:val="20"/>
                <w:color w:val="auto"/>
              </w:rPr>
            </w:pPr>
            <w:r>
              <w:rPr>
                <w:rFonts w:ascii="Arial" w:cs="Arial" w:eastAsia="Arial" w:hAnsi="Arial"/>
                <w:sz w:val="16"/>
                <w:szCs w:val="16"/>
                <w:color w:val="auto"/>
              </w:rPr>
              <w:t>1,506</w:t>
            </w:r>
          </w:p>
        </w:tc>
        <w:tc>
          <w:tcPr>
            <w:tcW w:w="1340" w:type="dxa"/>
            <w:vAlign w:val="bottom"/>
          </w:tcPr>
          <w:p>
            <w:pPr>
              <w:jc w:val="right"/>
              <w:ind w:right="601"/>
              <w:spacing w:after="0"/>
              <w:rPr>
                <w:sz w:val="20"/>
                <w:szCs w:val="20"/>
                <w:color w:val="auto"/>
              </w:rPr>
            </w:pPr>
            <w:r>
              <w:rPr>
                <w:rFonts w:ascii="Arial" w:cs="Arial" w:eastAsia="Arial" w:hAnsi="Arial"/>
                <w:sz w:val="16"/>
                <w:szCs w:val="16"/>
                <w:color w:val="auto"/>
              </w:rPr>
              <w:t>3,355</w:t>
            </w:r>
          </w:p>
        </w:tc>
        <w:tc>
          <w:tcPr>
            <w:tcW w:w="100" w:type="dxa"/>
            <w:vAlign w:val="bottom"/>
          </w:tcPr>
          <w:p>
            <w:pPr>
              <w:spacing w:after="0"/>
              <w:rPr>
                <w:sz w:val="17"/>
                <w:szCs w:val="17"/>
                <w:color w:val="auto"/>
              </w:rPr>
            </w:pPr>
          </w:p>
        </w:tc>
      </w:tr>
      <w:tr>
        <w:trPr>
          <w:trHeight w:val="196"/>
        </w:trPr>
        <w:tc>
          <w:tcPr>
            <w:tcW w:w="6320" w:type="dxa"/>
            <w:vAlign w:val="bottom"/>
          </w:tcPr>
          <w:p>
            <w:pPr>
              <w:ind w:left="480"/>
              <w:spacing w:after="0"/>
              <w:rPr>
                <w:sz w:val="20"/>
                <w:szCs w:val="20"/>
                <w:color w:val="auto"/>
              </w:rPr>
            </w:pPr>
            <w:r>
              <w:rPr>
                <w:rFonts w:ascii="Arial" w:cs="Arial" w:eastAsia="Arial" w:hAnsi="Arial"/>
                <w:sz w:val="16"/>
                <w:szCs w:val="16"/>
                <w:color w:val="auto"/>
              </w:rPr>
              <w:t>Africa</w:t>
            </w:r>
          </w:p>
        </w:tc>
        <w:tc>
          <w:tcPr>
            <w:tcW w:w="1560" w:type="dxa"/>
            <w:vAlign w:val="bottom"/>
          </w:tcPr>
          <w:p>
            <w:pPr>
              <w:jc w:val="right"/>
              <w:ind w:right="621"/>
              <w:spacing w:after="0"/>
              <w:rPr>
                <w:sz w:val="20"/>
                <w:szCs w:val="20"/>
                <w:color w:val="auto"/>
              </w:rPr>
            </w:pPr>
            <w:r>
              <w:rPr>
                <w:rFonts w:ascii="Arial" w:cs="Arial" w:eastAsia="Arial" w:hAnsi="Arial"/>
                <w:sz w:val="16"/>
                <w:szCs w:val="16"/>
                <w:color w:val="auto"/>
              </w:rPr>
              <w:t>2,286</w:t>
            </w:r>
          </w:p>
        </w:tc>
        <w:tc>
          <w:tcPr>
            <w:tcW w:w="1620" w:type="dxa"/>
            <w:vAlign w:val="bottom"/>
          </w:tcPr>
          <w:p>
            <w:pPr>
              <w:jc w:val="right"/>
              <w:ind w:right="981"/>
              <w:spacing w:after="0"/>
              <w:rPr>
                <w:sz w:val="20"/>
                <w:szCs w:val="20"/>
                <w:color w:val="auto"/>
              </w:rPr>
            </w:pPr>
            <w:r>
              <w:rPr>
                <w:rFonts w:ascii="Arial" w:cs="Arial" w:eastAsia="Arial" w:hAnsi="Arial"/>
                <w:sz w:val="16"/>
                <w:szCs w:val="16"/>
                <w:color w:val="auto"/>
              </w:rPr>
              <w:t>815</w:t>
            </w:r>
          </w:p>
        </w:tc>
        <w:tc>
          <w:tcPr>
            <w:tcW w:w="1340" w:type="dxa"/>
            <w:vAlign w:val="bottom"/>
          </w:tcPr>
          <w:p>
            <w:pPr>
              <w:jc w:val="right"/>
              <w:ind w:right="601"/>
              <w:spacing w:after="0"/>
              <w:rPr>
                <w:sz w:val="20"/>
                <w:szCs w:val="20"/>
                <w:color w:val="auto"/>
              </w:rPr>
            </w:pPr>
            <w:r>
              <w:rPr>
                <w:rFonts w:ascii="Arial" w:cs="Arial" w:eastAsia="Arial" w:hAnsi="Arial"/>
                <w:sz w:val="16"/>
                <w:szCs w:val="16"/>
                <w:color w:val="auto"/>
              </w:rPr>
              <w:t>2,105</w:t>
            </w:r>
          </w:p>
        </w:tc>
        <w:tc>
          <w:tcPr>
            <w:tcW w:w="100" w:type="dxa"/>
            <w:vAlign w:val="bottom"/>
          </w:tcPr>
          <w:p>
            <w:pPr>
              <w:spacing w:after="0"/>
              <w:rPr>
                <w:sz w:val="17"/>
                <w:szCs w:val="17"/>
                <w:color w:val="auto"/>
              </w:rPr>
            </w:pPr>
          </w:p>
        </w:tc>
      </w:tr>
      <w:tr>
        <w:trPr>
          <w:trHeight w:val="196"/>
        </w:trPr>
        <w:tc>
          <w:tcPr>
            <w:tcW w:w="6320" w:type="dxa"/>
            <w:vAlign w:val="bottom"/>
          </w:tcPr>
          <w:p>
            <w:pPr>
              <w:ind w:left="480"/>
              <w:spacing w:after="0"/>
              <w:rPr>
                <w:sz w:val="20"/>
                <w:szCs w:val="20"/>
                <w:color w:val="auto"/>
              </w:rPr>
            </w:pPr>
            <w:r>
              <w:rPr>
                <w:rFonts w:ascii="Arial" w:cs="Arial" w:eastAsia="Arial" w:hAnsi="Arial"/>
                <w:sz w:val="16"/>
                <w:szCs w:val="16"/>
                <w:color w:val="auto"/>
              </w:rPr>
              <w:t>Asia</w:t>
            </w:r>
          </w:p>
        </w:tc>
        <w:tc>
          <w:tcPr>
            <w:tcW w:w="1560" w:type="dxa"/>
            <w:vAlign w:val="bottom"/>
          </w:tcPr>
          <w:p>
            <w:pPr>
              <w:jc w:val="right"/>
              <w:ind w:right="621"/>
              <w:spacing w:after="0"/>
              <w:rPr>
                <w:sz w:val="20"/>
                <w:szCs w:val="20"/>
                <w:color w:val="auto"/>
              </w:rPr>
            </w:pPr>
            <w:r>
              <w:rPr>
                <w:rFonts w:ascii="Arial" w:cs="Arial" w:eastAsia="Arial" w:hAnsi="Arial"/>
                <w:sz w:val="16"/>
                <w:szCs w:val="16"/>
                <w:color w:val="auto"/>
              </w:rPr>
              <w:t>1,817</w:t>
            </w:r>
          </w:p>
        </w:tc>
        <w:tc>
          <w:tcPr>
            <w:tcW w:w="1620" w:type="dxa"/>
            <w:vAlign w:val="bottom"/>
          </w:tcPr>
          <w:p>
            <w:pPr>
              <w:jc w:val="right"/>
              <w:ind w:right="981"/>
              <w:spacing w:after="0"/>
              <w:rPr>
                <w:sz w:val="20"/>
                <w:szCs w:val="20"/>
                <w:color w:val="auto"/>
              </w:rPr>
            </w:pPr>
            <w:r>
              <w:rPr>
                <w:rFonts w:ascii="Arial" w:cs="Arial" w:eastAsia="Arial" w:hAnsi="Arial"/>
                <w:sz w:val="16"/>
                <w:szCs w:val="16"/>
                <w:color w:val="auto"/>
              </w:rPr>
              <w:t>551</w:t>
            </w:r>
          </w:p>
        </w:tc>
        <w:tc>
          <w:tcPr>
            <w:tcW w:w="1340" w:type="dxa"/>
            <w:vAlign w:val="bottom"/>
          </w:tcPr>
          <w:p>
            <w:pPr>
              <w:jc w:val="right"/>
              <w:ind w:right="601"/>
              <w:spacing w:after="0"/>
              <w:rPr>
                <w:sz w:val="20"/>
                <w:szCs w:val="20"/>
                <w:color w:val="auto"/>
              </w:rPr>
            </w:pPr>
            <w:r>
              <w:rPr>
                <w:rFonts w:ascii="Arial" w:cs="Arial" w:eastAsia="Arial" w:hAnsi="Arial"/>
                <w:sz w:val="16"/>
                <w:szCs w:val="16"/>
                <w:color w:val="auto"/>
              </w:rPr>
              <w:t>1,828</w:t>
            </w:r>
          </w:p>
        </w:tc>
        <w:tc>
          <w:tcPr>
            <w:tcW w:w="100" w:type="dxa"/>
            <w:vAlign w:val="bottom"/>
          </w:tcPr>
          <w:p>
            <w:pPr>
              <w:spacing w:after="0"/>
              <w:rPr>
                <w:sz w:val="17"/>
                <w:szCs w:val="17"/>
                <w:color w:val="auto"/>
              </w:rPr>
            </w:pPr>
          </w:p>
        </w:tc>
      </w:tr>
      <w:tr>
        <w:trPr>
          <w:trHeight w:val="208"/>
        </w:trPr>
        <w:tc>
          <w:tcPr>
            <w:tcW w:w="6320" w:type="dxa"/>
            <w:vAlign w:val="bottom"/>
          </w:tcPr>
          <w:p>
            <w:pPr>
              <w:ind w:left="480"/>
              <w:spacing w:after="0"/>
              <w:rPr>
                <w:sz w:val="20"/>
                <w:szCs w:val="20"/>
                <w:color w:val="auto"/>
              </w:rPr>
            </w:pPr>
            <w:r>
              <w:rPr>
                <w:rFonts w:ascii="Arial" w:cs="Arial" w:eastAsia="Arial" w:hAnsi="Arial"/>
                <w:sz w:val="16"/>
                <w:szCs w:val="16"/>
                <w:color w:val="auto"/>
              </w:rPr>
              <w:t>Australia/Oceania</w:t>
            </w:r>
          </w:p>
        </w:tc>
        <w:tc>
          <w:tcPr>
            <w:tcW w:w="1560" w:type="dxa"/>
            <w:vAlign w:val="bottom"/>
            <w:tcBorders>
              <w:bottom w:val="single" w:sz="8" w:color="auto"/>
            </w:tcBorders>
          </w:tcPr>
          <w:p>
            <w:pPr>
              <w:jc w:val="right"/>
              <w:ind w:right="621"/>
              <w:spacing w:after="0"/>
              <w:rPr>
                <w:sz w:val="20"/>
                <w:szCs w:val="20"/>
                <w:color w:val="auto"/>
              </w:rPr>
            </w:pPr>
            <w:r>
              <w:rPr>
                <w:rFonts w:ascii="Arial" w:cs="Arial" w:eastAsia="Arial" w:hAnsi="Arial"/>
                <w:sz w:val="16"/>
                <w:szCs w:val="16"/>
                <w:color w:val="auto"/>
              </w:rPr>
              <w:t>2,123</w:t>
            </w:r>
          </w:p>
        </w:tc>
        <w:tc>
          <w:tcPr>
            <w:tcW w:w="1620" w:type="dxa"/>
            <w:vAlign w:val="bottom"/>
            <w:tcBorders>
              <w:bottom w:val="single" w:sz="8" w:color="auto"/>
            </w:tcBorders>
          </w:tcPr>
          <w:p>
            <w:pPr>
              <w:jc w:val="right"/>
              <w:ind w:right="981"/>
              <w:spacing w:after="0"/>
              <w:rPr>
                <w:sz w:val="20"/>
                <w:szCs w:val="20"/>
                <w:color w:val="auto"/>
              </w:rPr>
            </w:pPr>
            <w:r>
              <w:rPr>
                <w:rFonts w:ascii="Arial" w:cs="Arial" w:eastAsia="Arial" w:hAnsi="Arial"/>
                <w:sz w:val="16"/>
                <w:szCs w:val="16"/>
                <w:color w:val="auto"/>
              </w:rPr>
              <w:t>758</w:t>
            </w:r>
          </w:p>
        </w:tc>
        <w:tc>
          <w:tcPr>
            <w:tcW w:w="134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color w:val="auto"/>
              </w:rPr>
              <w:t>2,123</w:t>
            </w:r>
          </w:p>
        </w:tc>
        <w:tc>
          <w:tcPr>
            <w:tcW w:w="100" w:type="dxa"/>
            <w:vAlign w:val="bottom"/>
            <w:tcBorders>
              <w:bottom w:val="single" w:sz="8" w:color="auto"/>
            </w:tcBorders>
          </w:tcPr>
          <w:p>
            <w:pPr>
              <w:spacing w:after="0"/>
              <w:rPr>
                <w:sz w:val="18"/>
                <w:szCs w:val="18"/>
                <w:color w:val="auto"/>
              </w:rPr>
            </w:pPr>
          </w:p>
        </w:tc>
      </w:tr>
      <w:tr>
        <w:trPr>
          <w:trHeight w:val="201"/>
        </w:trPr>
        <w:tc>
          <w:tcPr>
            <w:tcW w:w="6320" w:type="dxa"/>
            <w:vAlign w:val="bottom"/>
          </w:tcPr>
          <w:p>
            <w:pPr>
              <w:ind w:left="700"/>
              <w:spacing w:after="0"/>
              <w:rPr>
                <w:sz w:val="20"/>
                <w:szCs w:val="20"/>
                <w:color w:val="auto"/>
              </w:rPr>
            </w:pPr>
            <w:r>
              <w:rPr>
                <w:rFonts w:ascii="Arial" w:cs="Arial" w:eastAsia="Arial" w:hAnsi="Arial"/>
                <w:sz w:val="16"/>
                <w:szCs w:val="16"/>
                <w:color w:val="auto"/>
              </w:rPr>
              <w:t>Total Consolidated Subsidiaries</w:t>
            </w:r>
          </w:p>
        </w:tc>
        <w:tc>
          <w:tcPr>
            <w:tcW w:w="1560" w:type="dxa"/>
            <w:vAlign w:val="bottom"/>
          </w:tcPr>
          <w:p>
            <w:pPr>
              <w:jc w:val="right"/>
              <w:ind w:right="621"/>
              <w:spacing w:after="0"/>
              <w:rPr>
                <w:sz w:val="20"/>
                <w:szCs w:val="20"/>
                <w:color w:val="auto"/>
              </w:rPr>
            </w:pPr>
            <w:r>
              <w:rPr>
                <w:rFonts w:ascii="Arial" w:cs="Arial" w:eastAsia="Arial" w:hAnsi="Arial"/>
                <w:sz w:val="16"/>
                <w:szCs w:val="16"/>
                <w:color w:val="auto"/>
              </w:rPr>
              <w:t>27,855</w:t>
            </w:r>
          </w:p>
        </w:tc>
        <w:tc>
          <w:tcPr>
            <w:tcW w:w="1620" w:type="dxa"/>
            <w:vAlign w:val="bottom"/>
          </w:tcPr>
          <w:p>
            <w:pPr>
              <w:jc w:val="right"/>
              <w:ind w:right="981"/>
              <w:spacing w:after="0"/>
              <w:rPr>
                <w:sz w:val="20"/>
                <w:szCs w:val="20"/>
                <w:color w:val="auto"/>
              </w:rPr>
            </w:pPr>
            <w:r>
              <w:rPr>
                <w:rFonts w:ascii="Arial" w:cs="Arial" w:eastAsia="Arial" w:hAnsi="Arial"/>
                <w:sz w:val="16"/>
                <w:szCs w:val="16"/>
                <w:color w:val="auto"/>
              </w:rPr>
              <w:t>15,239</w:t>
            </w:r>
          </w:p>
        </w:tc>
        <w:tc>
          <w:tcPr>
            <w:tcW w:w="1340" w:type="dxa"/>
            <w:vAlign w:val="bottom"/>
          </w:tcPr>
          <w:p>
            <w:pPr>
              <w:jc w:val="right"/>
              <w:ind w:right="601"/>
              <w:spacing w:after="0"/>
              <w:rPr>
                <w:sz w:val="20"/>
                <w:szCs w:val="20"/>
                <w:color w:val="auto"/>
              </w:rPr>
            </w:pPr>
            <w:r>
              <w:rPr>
                <w:rFonts w:ascii="Arial" w:cs="Arial" w:eastAsia="Arial" w:hAnsi="Arial"/>
                <w:sz w:val="16"/>
                <w:szCs w:val="16"/>
                <w:color w:val="auto"/>
              </w:rPr>
              <w:t>29,328</w:t>
            </w:r>
          </w:p>
        </w:tc>
        <w:tc>
          <w:tcPr>
            <w:tcW w:w="100" w:type="dxa"/>
            <w:vAlign w:val="bottom"/>
          </w:tcPr>
          <w:p>
            <w:pPr>
              <w:spacing w:after="0"/>
              <w:rPr>
                <w:sz w:val="17"/>
                <w:szCs w:val="17"/>
                <w:color w:val="auto"/>
              </w:rPr>
            </w:pPr>
          </w:p>
        </w:tc>
      </w:tr>
      <w:tr>
        <w:trPr>
          <w:trHeight w:val="368"/>
        </w:trPr>
        <w:tc>
          <w:tcPr>
            <w:tcW w:w="6320" w:type="dxa"/>
            <w:vAlign w:val="bottom"/>
          </w:tcPr>
          <w:p>
            <w:pPr>
              <w:ind w:left="240"/>
              <w:spacing w:after="0"/>
              <w:rPr>
                <w:sz w:val="20"/>
                <w:szCs w:val="20"/>
                <w:color w:val="auto"/>
              </w:rPr>
            </w:pPr>
            <w:r>
              <w:rPr>
                <w:rFonts w:ascii="Arial" w:cs="Arial" w:eastAsia="Arial" w:hAnsi="Arial"/>
                <w:sz w:val="16"/>
                <w:szCs w:val="16"/>
                <w:b w:val="1"/>
                <w:bCs w:val="1"/>
                <w:color w:val="auto"/>
              </w:rPr>
              <w:t>Equity Companies</w:t>
            </w:r>
          </w:p>
        </w:tc>
        <w:tc>
          <w:tcPr>
            <w:tcW w:w="1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6320" w:type="dxa"/>
            <w:vAlign w:val="bottom"/>
          </w:tcPr>
          <w:p>
            <w:pPr>
              <w:ind w:left="480"/>
              <w:spacing w:after="0"/>
              <w:rPr>
                <w:sz w:val="20"/>
                <w:szCs w:val="20"/>
                <w:color w:val="auto"/>
              </w:rPr>
            </w:pPr>
            <w:r>
              <w:rPr>
                <w:rFonts w:ascii="Arial" w:cs="Arial" w:eastAsia="Arial" w:hAnsi="Arial"/>
                <w:sz w:val="16"/>
                <w:szCs w:val="16"/>
                <w:color w:val="auto"/>
              </w:rPr>
              <w:t>United States</w:t>
            </w:r>
          </w:p>
        </w:tc>
        <w:tc>
          <w:tcPr>
            <w:tcW w:w="1560" w:type="dxa"/>
            <w:vAlign w:val="bottom"/>
          </w:tcPr>
          <w:p>
            <w:pPr>
              <w:jc w:val="right"/>
              <w:ind w:right="621"/>
              <w:spacing w:after="0"/>
              <w:rPr>
                <w:sz w:val="20"/>
                <w:szCs w:val="20"/>
                <w:color w:val="auto"/>
              </w:rPr>
            </w:pPr>
            <w:r>
              <w:rPr>
                <w:rFonts w:ascii="Arial" w:cs="Arial" w:eastAsia="Arial" w:hAnsi="Arial"/>
                <w:sz w:val="16"/>
                <w:szCs w:val="16"/>
                <w:color w:val="auto"/>
              </w:rPr>
              <w:t>949</w:t>
            </w:r>
          </w:p>
        </w:tc>
        <w:tc>
          <w:tcPr>
            <w:tcW w:w="1620" w:type="dxa"/>
            <w:vAlign w:val="bottom"/>
          </w:tcPr>
          <w:p>
            <w:pPr>
              <w:jc w:val="right"/>
              <w:ind w:right="981"/>
              <w:spacing w:after="0"/>
              <w:rPr>
                <w:sz w:val="20"/>
                <w:szCs w:val="20"/>
                <w:color w:val="auto"/>
              </w:rPr>
            </w:pPr>
            <w:r>
              <w:rPr>
                <w:rFonts w:ascii="Arial" w:cs="Arial" w:eastAsia="Arial" w:hAnsi="Arial"/>
                <w:sz w:val="16"/>
                <w:szCs w:val="16"/>
                <w:color w:val="auto"/>
              </w:rPr>
              <w:t>208</w:t>
            </w:r>
          </w:p>
        </w:tc>
        <w:tc>
          <w:tcPr>
            <w:tcW w:w="1340" w:type="dxa"/>
            <w:vAlign w:val="bottom"/>
          </w:tcPr>
          <w:p>
            <w:pPr>
              <w:jc w:val="right"/>
              <w:ind w:right="601"/>
              <w:spacing w:after="0"/>
              <w:rPr>
                <w:sz w:val="20"/>
                <w:szCs w:val="20"/>
                <w:color w:val="auto"/>
              </w:rPr>
            </w:pPr>
            <w:r>
              <w:rPr>
                <w:rFonts w:ascii="Arial" w:cs="Arial" w:eastAsia="Arial" w:hAnsi="Arial"/>
                <w:sz w:val="16"/>
                <w:szCs w:val="16"/>
                <w:color w:val="auto"/>
              </w:rPr>
              <w:t>968</w:t>
            </w:r>
          </w:p>
        </w:tc>
        <w:tc>
          <w:tcPr>
            <w:tcW w:w="100" w:type="dxa"/>
            <w:vAlign w:val="bottom"/>
          </w:tcPr>
          <w:p>
            <w:pPr>
              <w:spacing w:after="0"/>
              <w:rPr>
                <w:sz w:val="17"/>
                <w:szCs w:val="17"/>
                <w:color w:val="auto"/>
              </w:rPr>
            </w:pPr>
          </w:p>
        </w:tc>
      </w:tr>
      <w:tr>
        <w:trPr>
          <w:trHeight w:val="196"/>
        </w:trPr>
        <w:tc>
          <w:tcPr>
            <w:tcW w:w="6320" w:type="dxa"/>
            <w:vAlign w:val="bottom"/>
          </w:tcPr>
          <w:p>
            <w:pPr>
              <w:ind w:left="480"/>
              <w:spacing w:after="0"/>
              <w:rPr>
                <w:sz w:val="20"/>
                <w:szCs w:val="20"/>
                <w:color w:val="auto"/>
              </w:rPr>
            </w:pPr>
            <w:r>
              <w:rPr>
                <w:rFonts w:ascii="Arial" w:cs="Arial" w:eastAsia="Arial" w:hAnsi="Arial"/>
                <w:sz w:val="16"/>
                <w:szCs w:val="16"/>
                <w:color w:val="auto"/>
              </w:rPr>
              <w:t>Europe</w:t>
            </w:r>
          </w:p>
        </w:tc>
        <w:tc>
          <w:tcPr>
            <w:tcW w:w="1560" w:type="dxa"/>
            <w:vAlign w:val="bottom"/>
          </w:tcPr>
          <w:p>
            <w:pPr>
              <w:jc w:val="right"/>
              <w:ind w:right="621"/>
              <w:spacing w:after="0"/>
              <w:rPr>
                <w:sz w:val="20"/>
                <w:szCs w:val="20"/>
                <w:color w:val="auto"/>
              </w:rPr>
            </w:pPr>
            <w:r>
              <w:rPr>
                <w:rFonts w:ascii="Arial" w:cs="Arial" w:eastAsia="Arial" w:hAnsi="Arial"/>
                <w:sz w:val="16"/>
                <w:szCs w:val="16"/>
                <w:color w:val="auto"/>
              </w:rPr>
              <w:t>4,342</w:t>
            </w:r>
          </w:p>
        </w:tc>
        <w:tc>
          <w:tcPr>
            <w:tcW w:w="1620" w:type="dxa"/>
            <w:vAlign w:val="bottom"/>
          </w:tcPr>
          <w:p>
            <w:pPr>
              <w:jc w:val="right"/>
              <w:ind w:right="981"/>
              <w:spacing w:after="0"/>
              <w:rPr>
                <w:sz w:val="20"/>
                <w:szCs w:val="20"/>
                <w:color w:val="auto"/>
              </w:rPr>
            </w:pPr>
            <w:r>
              <w:rPr>
                <w:rFonts w:ascii="Arial" w:cs="Arial" w:eastAsia="Arial" w:hAnsi="Arial"/>
                <w:sz w:val="16"/>
                <w:szCs w:val="16"/>
                <w:color w:val="auto"/>
              </w:rPr>
              <w:t>1,356</w:t>
            </w:r>
          </w:p>
        </w:tc>
        <w:tc>
          <w:tcPr>
            <w:tcW w:w="1340" w:type="dxa"/>
            <w:vAlign w:val="bottom"/>
          </w:tcPr>
          <w:p>
            <w:pPr>
              <w:jc w:val="right"/>
              <w:ind w:right="601"/>
              <w:spacing w:after="0"/>
              <w:rPr>
                <w:sz w:val="20"/>
                <w:szCs w:val="20"/>
                <w:color w:val="auto"/>
              </w:rPr>
            </w:pPr>
            <w:r>
              <w:rPr>
                <w:rFonts w:ascii="Arial" w:cs="Arial" w:eastAsia="Arial" w:hAnsi="Arial"/>
                <w:sz w:val="16"/>
                <w:szCs w:val="16"/>
                <w:color w:val="auto"/>
              </w:rPr>
              <w:t>4,341</w:t>
            </w:r>
          </w:p>
        </w:tc>
        <w:tc>
          <w:tcPr>
            <w:tcW w:w="100" w:type="dxa"/>
            <w:vAlign w:val="bottom"/>
          </w:tcPr>
          <w:p>
            <w:pPr>
              <w:spacing w:after="0"/>
              <w:rPr>
                <w:sz w:val="17"/>
                <w:szCs w:val="17"/>
                <w:color w:val="auto"/>
              </w:rPr>
            </w:pPr>
          </w:p>
        </w:tc>
      </w:tr>
      <w:tr>
        <w:trPr>
          <w:trHeight w:val="208"/>
        </w:trPr>
        <w:tc>
          <w:tcPr>
            <w:tcW w:w="6320" w:type="dxa"/>
            <w:vAlign w:val="bottom"/>
          </w:tcPr>
          <w:p>
            <w:pPr>
              <w:ind w:left="480"/>
              <w:spacing w:after="0"/>
              <w:rPr>
                <w:sz w:val="20"/>
                <w:szCs w:val="20"/>
                <w:color w:val="auto"/>
              </w:rPr>
            </w:pPr>
            <w:r>
              <w:rPr>
                <w:rFonts w:ascii="Arial" w:cs="Arial" w:eastAsia="Arial" w:hAnsi="Arial"/>
                <w:sz w:val="16"/>
                <w:szCs w:val="16"/>
                <w:color w:val="auto"/>
              </w:rPr>
              <w:t>Asia</w:t>
            </w:r>
          </w:p>
        </w:tc>
        <w:tc>
          <w:tcPr>
            <w:tcW w:w="1560" w:type="dxa"/>
            <w:vAlign w:val="bottom"/>
            <w:tcBorders>
              <w:bottom w:val="single" w:sz="8" w:color="auto"/>
            </w:tcBorders>
          </w:tcPr>
          <w:p>
            <w:pPr>
              <w:jc w:val="right"/>
              <w:ind w:right="621"/>
              <w:spacing w:after="0"/>
              <w:rPr>
                <w:sz w:val="20"/>
                <w:szCs w:val="20"/>
                <w:color w:val="auto"/>
              </w:rPr>
            </w:pPr>
            <w:r>
              <w:rPr>
                <w:rFonts w:ascii="Arial" w:cs="Arial" w:eastAsia="Arial" w:hAnsi="Arial"/>
                <w:sz w:val="16"/>
                <w:szCs w:val="16"/>
                <w:color w:val="auto"/>
              </w:rPr>
              <w:t>628</w:t>
            </w:r>
          </w:p>
        </w:tc>
        <w:tc>
          <w:tcPr>
            <w:tcW w:w="1620" w:type="dxa"/>
            <w:vAlign w:val="bottom"/>
            <w:tcBorders>
              <w:bottom w:val="single" w:sz="8" w:color="auto"/>
            </w:tcBorders>
          </w:tcPr>
          <w:p>
            <w:pPr>
              <w:jc w:val="right"/>
              <w:ind w:right="981"/>
              <w:spacing w:after="0"/>
              <w:rPr>
                <w:sz w:val="20"/>
                <w:szCs w:val="20"/>
                <w:color w:val="auto"/>
              </w:rPr>
            </w:pPr>
            <w:r>
              <w:rPr>
                <w:rFonts w:ascii="Arial" w:cs="Arial" w:eastAsia="Arial" w:hAnsi="Arial"/>
                <w:sz w:val="16"/>
                <w:szCs w:val="16"/>
                <w:color w:val="auto"/>
              </w:rPr>
              <w:t>156</w:t>
            </w:r>
          </w:p>
        </w:tc>
        <w:tc>
          <w:tcPr>
            <w:tcW w:w="134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color w:val="auto"/>
              </w:rPr>
              <w:t>5,731</w:t>
            </w:r>
          </w:p>
        </w:tc>
        <w:tc>
          <w:tcPr>
            <w:tcW w:w="100" w:type="dxa"/>
            <w:vAlign w:val="bottom"/>
            <w:tcBorders>
              <w:bottom w:val="single" w:sz="8" w:color="auto"/>
            </w:tcBorders>
          </w:tcPr>
          <w:p>
            <w:pPr>
              <w:spacing w:after="0"/>
              <w:rPr>
                <w:sz w:val="18"/>
                <w:szCs w:val="18"/>
                <w:color w:val="auto"/>
              </w:rPr>
            </w:pPr>
          </w:p>
        </w:tc>
      </w:tr>
      <w:tr>
        <w:trPr>
          <w:trHeight w:val="189"/>
        </w:trPr>
        <w:tc>
          <w:tcPr>
            <w:tcW w:w="6320" w:type="dxa"/>
            <w:vAlign w:val="bottom"/>
          </w:tcPr>
          <w:p>
            <w:pPr>
              <w:ind w:left="700"/>
              <w:spacing w:after="0"/>
              <w:rPr>
                <w:sz w:val="20"/>
                <w:szCs w:val="20"/>
                <w:color w:val="auto"/>
              </w:rPr>
            </w:pPr>
            <w:r>
              <w:rPr>
                <w:rFonts w:ascii="Arial" w:cs="Arial" w:eastAsia="Arial" w:hAnsi="Arial"/>
                <w:sz w:val="16"/>
                <w:szCs w:val="16"/>
                <w:color w:val="auto"/>
              </w:rPr>
              <w:t>Total Equity Companies</w:t>
            </w:r>
          </w:p>
        </w:tc>
        <w:tc>
          <w:tcPr>
            <w:tcW w:w="1560" w:type="dxa"/>
            <w:vAlign w:val="bottom"/>
            <w:tcBorders>
              <w:bottom w:val="single" w:sz="8" w:color="auto"/>
            </w:tcBorders>
          </w:tcPr>
          <w:p>
            <w:pPr>
              <w:jc w:val="right"/>
              <w:ind w:right="621"/>
              <w:spacing w:after="0"/>
              <w:rPr>
                <w:sz w:val="20"/>
                <w:szCs w:val="20"/>
                <w:color w:val="auto"/>
              </w:rPr>
            </w:pPr>
            <w:r>
              <w:rPr>
                <w:rFonts w:ascii="Arial" w:cs="Arial" w:eastAsia="Arial" w:hAnsi="Arial"/>
                <w:sz w:val="16"/>
                <w:szCs w:val="16"/>
                <w:color w:val="auto"/>
              </w:rPr>
              <w:t>5,919</w:t>
            </w:r>
          </w:p>
        </w:tc>
        <w:tc>
          <w:tcPr>
            <w:tcW w:w="1620" w:type="dxa"/>
            <w:vAlign w:val="bottom"/>
            <w:tcBorders>
              <w:bottom w:val="single" w:sz="8" w:color="auto"/>
            </w:tcBorders>
          </w:tcPr>
          <w:p>
            <w:pPr>
              <w:jc w:val="right"/>
              <w:ind w:right="981"/>
              <w:spacing w:after="0"/>
              <w:rPr>
                <w:sz w:val="20"/>
                <w:szCs w:val="20"/>
                <w:color w:val="auto"/>
              </w:rPr>
            </w:pPr>
            <w:r>
              <w:rPr>
                <w:rFonts w:ascii="Arial" w:cs="Arial" w:eastAsia="Arial" w:hAnsi="Arial"/>
                <w:sz w:val="16"/>
                <w:szCs w:val="16"/>
                <w:color w:val="auto"/>
              </w:rPr>
              <w:t>1,720</w:t>
            </w:r>
          </w:p>
        </w:tc>
        <w:tc>
          <w:tcPr>
            <w:tcW w:w="134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color w:val="auto"/>
              </w:rPr>
              <w:t>11,040</w:t>
            </w:r>
          </w:p>
        </w:tc>
        <w:tc>
          <w:tcPr>
            <w:tcW w:w="100" w:type="dxa"/>
            <w:vAlign w:val="bottom"/>
            <w:tcBorders>
              <w:bottom w:val="single" w:sz="8" w:color="auto"/>
            </w:tcBorders>
          </w:tcPr>
          <w:p>
            <w:pPr>
              <w:spacing w:after="0"/>
              <w:rPr>
                <w:sz w:val="16"/>
                <w:szCs w:val="16"/>
                <w:color w:val="auto"/>
              </w:rPr>
            </w:pPr>
          </w:p>
        </w:tc>
      </w:tr>
      <w:tr>
        <w:trPr>
          <w:trHeight w:val="188"/>
        </w:trPr>
        <w:tc>
          <w:tcPr>
            <w:tcW w:w="6320" w:type="dxa"/>
            <w:vAlign w:val="bottom"/>
          </w:tcPr>
          <w:p>
            <w:pPr>
              <w:spacing w:after="0"/>
              <w:rPr>
                <w:sz w:val="20"/>
                <w:szCs w:val="20"/>
                <w:color w:val="auto"/>
              </w:rPr>
            </w:pPr>
            <w:r>
              <w:rPr>
                <w:rFonts w:ascii="Arial" w:cs="Arial" w:eastAsia="Arial" w:hAnsi="Arial"/>
                <w:sz w:val="16"/>
                <w:szCs w:val="16"/>
                <w:b w:val="1"/>
                <w:bCs w:val="1"/>
                <w:color w:val="auto"/>
              </w:rPr>
              <w:t>Total gross and net developed acreage</w:t>
            </w:r>
          </w:p>
        </w:tc>
        <w:tc>
          <w:tcPr>
            <w:tcW w:w="1560" w:type="dxa"/>
            <w:vAlign w:val="bottom"/>
            <w:tcBorders>
              <w:bottom w:val="single" w:sz="8" w:color="auto"/>
            </w:tcBorders>
          </w:tcPr>
          <w:p>
            <w:pPr>
              <w:jc w:val="right"/>
              <w:ind w:right="621"/>
              <w:spacing w:after="0"/>
              <w:rPr>
                <w:sz w:val="20"/>
                <w:szCs w:val="20"/>
                <w:color w:val="auto"/>
              </w:rPr>
            </w:pPr>
            <w:r>
              <w:rPr>
                <w:rFonts w:ascii="Arial" w:cs="Arial" w:eastAsia="Arial" w:hAnsi="Arial"/>
                <w:sz w:val="16"/>
                <w:szCs w:val="16"/>
                <w:color w:val="auto"/>
              </w:rPr>
              <w:t>33,774</w:t>
            </w:r>
          </w:p>
        </w:tc>
        <w:tc>
          <w:tcPr>
            <w:tcW w:w="1620" w:type="dxa"/>
            <w:vAlign w:val="bottom"/>
            <w:tcBorders>
              <w:bottom w:val="single" w:sz="8" w:color="auto"/>
            </w:tcBorders>
          </w:tcPr>
          <w:p>
            <w:pPr>
              <w:jc w:val="right"/>
              <w:ind w:right="981"/>
              <w:spacing w:after="0"/>
              <w:rPr>
                <w:sz w:val="20"/>
                <w:szCs w:val="20"/>
                <w:color w:val="auto"/>
              </w:rPr>
            </w:pPr>
            <w:r>
              <w:rPr>
                <w:rFonts w:ascii="Arial" w:cs="Arial" w:eastAsia="Arial" w:hAnsi="Arial"/>
                <w:sz w:val="16"/>
                <w:szCs w:val="16"/>
                <w:color w:val="auto"/>
              </w:rPr>
              <w:t>16,959</w:t>
            </w:r>
          </w:p>
        </w:tc>
        <w:tc>
          <w:tcPr>
            <w:tcW w:w="134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color w:val="auto"/>
              </w:rPr>
              <w:t>40,368</w:t>
            </w:r>
          </w:p>
        </w:tc>
        <w:tc>
          <w:tcPr>
            <w:tcW w:w="100" w:type="dxa"/>
            <w:vAlign w:val="bottom"/>
            <w:tcBorders>
              <w:bottom w:val="single" w:sz="8" w:color="auto"/>
            </w:tcBorders>
          </w:tcPr>
          <w:p>
            <w:pPr>
              <w:spacing w:after="0"/>
              <w:rPr>
                <w:sz w:val="16"/>
                <w:szCs w:val="16"/>
                <w:color w:val="auto"/>
              </w:rPr>
            </w:pPr>
          </w:p>
        </w:tc>
      </w:tr>
    </w:tbl>
    <w:p>
      <w:pPr>
        <w:spacing w:after="0" w:line="37" w:lineRule="exact"/>
        <w:rPr>
          <w:sz w:val="20"/>
          <w:szCs w:val="20"/>
          <w:color w:val="auto"/>
        </w:rPr>
      </w:pPr>
    </w:p>
    <w:p>
      <w:pPr>
        <w:ind w:right="440" w:firstLine="6"/>
        <w:spacing w:after="0" w:line="382" w:lineRule="auto"/>
        <w:tabs>
          <w:tab w:leader="none" w:pos="313"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Includes developed acreage in South America of 213 gross and 109 net thousands of acres for 2014 and 214 gross and 109 net thousands of acres for 2013. </w:t>
      </w:r>
      <w:r>
        <w:rPr>
          <w:rFonts w:ascii="Arial" w:cs="Arial" w:eastAsia="Arial" w:hAnsi="Arial"/>
          <w:sz w:val="16"/>
          <w:szCs w:val="16"/>
          <w:color w:val="auto"/>
        </w:rPr>
        <w:t>Separate acreage data for oil and gas are not maintained because, in many instances, both are produced from the same acreage.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 Gross and Net Undeveloped Acreage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3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b w:val="1"/>
                <w:bCs w:val="1"/>
                <w:color w:val="auto"/>
              </w:rPr>
              <w:t>Year-End 2014</w:t>
            </w:r>
          </w:p>
        </w:tc>
        <w:tc>
          <w:tcPr>
            <w:tcW w:w="16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Year-End 2013</w:t>
            </w:r>
          </w:p>
        </w:tc>
        <w:tc>
          <w:tcPr>
            <w:tcW w:w="100" w:type="dxa"/>
            <w:vAlign w:val="bottom"/>
          </w:tcPr>
          <w:p>
            <w:pPr>
              <w:spacing w:after="0"/>
              <w:rPr>
                <w:sz w:val="14"/>
                <w:szCs w:val="14"/>
                <w:color w:val="auto"/>
              </w:rPr>
            </w:pPr>
          </w:p>
        </w:tc>
      </w:tr>
      <w:tr>
        <w:trPr>
          <w:trHeight w:val="23"/>
        </w:trPr>
        <w:tc>
          <w:tcPr>
            <w:tcW w:w="63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71"/>
        </w:trPr>
        <w:tc>
          <w:tcPr>
            <w:tcW w:w="63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61"/>
              <w:spacing w:after="0"/>
              <w:rPr>
                <w:sz w:val="20"/>
                <w:szCs w:val="20"/>
                <w:color w:val="auto"/>
              </w:rPr>
            </w:pPr>
            <w:r>
              <w:rPr>
                <w:rFonts w:ascii="Arial" w:cs="Arial" w:eastAsia="Arial" w:hAnsi="Arial"/>
                <w:sz w:val="13"/>
                <w:szCs w:val="13"/>
                <w:b w:val="1"/>
                <w:bCs w:val="1"/>
                <w:color w:val="auto"/>
              </w:rPr>
              <w:t>Gross</w:t>
            </w:r>
          </w:p>
        </w:tc>
        <w:tc>
          <w:tcPr>
            <w:tcW w:w="1620" w:type="dxa"/>
            <w:vAlign w:val="bottom"/>
            <w:tcBorders>
              <w:bottom w:val="single" w:sz="8" w:color="auto"/>
            </w:tcBorders>
          </w:tcPr>
          <w:p>
            <w:pPr>
              <w:jc w:val="right"/>
              <w:ind w:right="1281"/>
              <w:spacing w:after="0"/>
              <w:rPr>
                <w:sz w:val="20"/>
                <w:szCs w:val="20"/>
                <w:color w:val="auto"/>
              </w:rPr>
            </w:pPr>
            <w:r>
              <w:rPr>
                <w:rFonts w:ascii="Arial" w:cs="Arial" w:eastAsia="Arial" w:hAnsi="Arial"/>
                <w:sz w:val="13"/>
                <w:szCs w:val="13"/>
                <w:b w:val="1"/>
                <w:bCs w:val="1"/>
                <w:color w:val="auto"/>
              </w:rPr>
              <w:t>Net</w:t>
            </w:r>
          </w:p>
        </w:tc>
        <w:tc>
          <w:tcPr>
            <w:tcW w:w="1340" w:type="dxa"/>
            <w:vAlign w:val="bottom"/>
            <w:tcBorders>
              <w:bottom w:val="single" w:sz="8" w:color="auto"/>
            </w:tcBorders>
          </w:tcPr>
          <w:p>
            <w:pPr>
              <w:jc w:val="right"/>
              <w:ind w:right="861"/>
              <w:spacing w:after="0"/>
              <w:rPr>
                <w:sz w:val="20"/>
                <w:szCs w:val="20"/>
                <w:color w:val="auto"/>
              </w:rPr>
            </w:pPr>
            <w:r>
              <w:rPr>
                <w:rFonts w:ascii="Arial" w:cs="Arial" w:eastAsia="Arial" w:hAnsi="Arial"/>
                <w:sz w:val="13"/>
                <w:szCs w:val="13"/>
                <w:b w:val="1"/>
                <w:bCs w:val="1"/>
                <w:color w:val="auto"/>
              </w:rPr>
              <w:t>Gross</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7"/>
                <w:szCs w:val="7"/>
                <w:b w:val="1"/>
                <w:bCs w:val="1"/>
                <w:color w:val="auto"/>
                <w:w w:val="78"/>
              </w:rPr>
              <w:t>N</w:t>
            </w:r>
          </w:p>
        </w:tc>
      </w:tr>
      <w:tr>
        <w:trPr>
          <w:trHeight w:val="171"/>
        </w:trPr>
        <w:tc>
          <w:tcPr>
            <w:tcW w:w="6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20" w:type="dxa"/>
            <w:vAlign w:val="bottom"/>
          </w:tcPr>
          <w:p>
            <w:pPr>
              <w:jc w:val="right"/>
              <w:ind w:right="21"/>
              <w:spacing w:after="0"/>
              <w:rPr>
                <w:sz w:val="20"/>
                <w:szCs w:val="20"/>
                <w:color w:val="auto"/>
              </w:rPr>
            </w:pPr>
            <w:r>
              <w:rPr>
                <w:rFonts w:ascii="Arial" w:cs="Arial" w:eastAsia="Arial" w:hAnsi="Arial"/>
                <w:sz w:val="13"/>
                <w:szCs w:val="13"/>
                <w:i w:val="1"/>
                <w:iCs w:val="1"/>
                <w:color w:val="auto"/>
              </w:rPr>
              <w:t>(thousands of acres)</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320" w:type="dxa"/>
            <w:vAlign w:val="bottom"/>
          </w:tcPr>
          <w:p>
            <w:pPr>
              <w:spacing w:after="0"/>
              <w:rPr>
                <w:sz w:val="20"/>
                <w:szCs w:val="20"/>
                <w:color w:val="auto"/>
              </w:rPr>
            </w:pPr>
            <w:r>
              <w:rPr>
                <w:rFonts w:ascii="Arial" w:cs="Arial" w:eastAsia="Arial" w:hAnsi="Arial"/>
                <w:sz w:val="16"/>
                <w:szCs w:val="16"/>
                <w:b w:val="1"/>
                <w:bCs w:val="1"/>
                <w:color w:val="auto"/>
              </w:rPr>
              <w:t>Gross and Net Undeveloped Acreage</w:t>
            </w:r>
          </w:p>
        </w:tc>
        <w:tc>
          <w:tcPr>
            <w:tcW w:w="15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6320" w:type="dxa"/>
            <w:vAlign w:val="bottom"/>
          </w:tcPr>
          <w:p>
            <w:pPr>
              <w:ind w:left="240"/>
              <w:spacing w:after="0"/>
              <w:rPr>
                <w:sz w:val="20"/>
                <w:szCs w:val="20"/>
                <w:color w:val="auto"/>
              </w:rPr>
            </w:pPr>
            <w:r>
              <w:rPr>
                <w:rFonts w:ascii="Arial" w:cs="Arial" w:eastAsia="Arial" w:hAnsi="Arial"/>
                <w:sz w:val="16"/>
                <w:szCs w:val="16"/>
                <w:b w:val="1"/>
                <w:bCs w:val="1"/>
                <w:color w:val="auto"/>
              </w:rPr>
              <w:t>Consolidated Subsidiaries</w:t>
            </w:r>
          </w:p>
        </w:tc>
        <w:tc>
          <w:tcPr>
            <w:tcW w:w="15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320" w:type="dxa"/>
            <w:vAlign w:val="bottom"/>
          </w:tcPr>
          <w:p>
            <w:pPr>
              <w:ind w:left="480"/>
              <w:spacing w:after="0"/>
              <w:rPr>
                <w:sz w:val="20"/>
                <w:szCs w:val="20"/>
                <w:color w:val="auto"/>
              </w:rPr>
            </w:pPr>
            <w:r>
              <w:rPr>
                <w:rFonts w:ascii="Arial" w:cs="Arial" w:eastAsia="Arial" w:hAnsi="Arial"/>
                <w:sz w:val="16"/>
                <w:szCs w:val="16"/>
                <w:color w:val="auto"/>
              </w:rPr>
              <w:t>United States</w:t>
            </w:r>
          </w:p>
        </w:tc>
        <w:tc>
          <w:tcPr>
            <w:tcW w:w="1560" w:type="dxa"/>
            <w:vAlign w:val="bottom"/>
          </w:tcPr>
          <w:p>
            <w:pPr>
              <w:jc w:val="right"/>
              <w:ind w:right="621"/>
              <w:spacing w:after="0"/>
              <w:rPr>
                <w:sz w:val="20"/>
                <w:szCs w:val="20"/>
                <w:color w:val="auto"/>
              </w:rPr>
            </w:pPr>
            <w:r>
              <w:rPr>
                <w:rFonts w:ascii="Arial" w:cs="Arial" w:eastAsia="Arial" w:hAnsi="Arial"/>
                <w:sz w:val="16"/>
                <w:szCs w:val="16"/>
                <w:color w:val="auto"/>
              </w:rPr>
              <w:t>10,262</w:t>
            </w:r>
          </w:p>
        </w:tc>
        <w:tc>
          <w:tcPr>
            <w:tcW w:w="1620" w:type="dxa"/>
            <w:vAlign w:val="bottom"/>
          </w:tcPr>
          <w:p>
            <w:pPr>
              <w:jc w:val="right"/>
              <w:ind w:right="981"/>
              <w:spacing w:after="0"/>
              <w:rPr>
                <w:sz w:val="20"/>
                <w:szCs w:val="20"/>
                <w:color w:val="auto"/>
              </w:rPr>
            </w:pPr>
            <w:r>
              <w:rPr>
                <w:rFonts w:ascii="Arial" w:cs="Arial" w:eastAsia="Arial" w:hAnsi="Arial"/>
                <w:sz w:val="16"/>
                <w:szCs w:val="16"/>
                <w:color w:val="auto"/>
              </w:rPr>
              <w:t>4,894</w:t>
            </w:r>
          </w:p>
        </w:tc>
        <w:tc>
          <w:tcPr>
            <w:tcW w:w="1340" w:type="dxa"/>
            <w:vAlign w:val="bottom"/>
          </w:tcPr>
          <w:p>
            <w:pPr>
              <w:jc w:val="right"/>
              <w:ind w:right="601"/>
              <w:spacing w:after="0"/>
              <w:rPr>
                <w:sz w:val="20"/>
                <w:szCs w:val="20"/>
                <w:color w:val="auto"/>
              </w:rPr>
            </w:pPr>
            <w:r>
              <w:rPr>
                <w:rFonts w:ascii="Arial" w:cs="Arial" w:eastAsia="Arial" w:hAnsi="Arial"/>
                <w:sz w:val="16"/>
                <w:szCs w:val="16"/>
                <w:color w:val="auto"/>
              </w:rPr>
              <w:t>7,645</w:t>
            </w:r>
          </w:p>
        </w:tc>
        <w:tc>
          <w:tcPr>
            <w:tcW w:w="100" w:type="dxa"/>
            <w:vAlign w:val="bottom"/>
          </w:tcPr>
          <w:p>
            <w:pPr>
              <w:spacing w:after="0"/>
              <w:rPr>
                <w:sz w:val="17"/>
                <w:szCs w:val="17"/>
                <w:color w:val="auto"/>
              </w:rPr>
            </w:pPr>
          </w:p>
        </w:tc>
      </w:tr>
      <w:tr>
        <w:trPr>
          <w:trHeight w:val="196"/>
        </w:trPr>
        <w:tc>
          <w:tcPr>
            <w:tcW w:w="6320" w:type="dxa"/>
            <w:vAlign w:val="bottom"/>
          </w:tcPr>
          <w:p>
            <w:pPr>
              <w:ind w:left="480"/>
              <w:spacing w:after="0"/>
              <w:rPr>
                <w:sz w:val="20"/>
                <w:szCs w:val="20"/>
                <w:color w:val="auto"/>
              </w:rPr>
            </w:pPr>
            <w:r>
              <w:rPr>
                <w:rFonts w:ascii="Arial" w:cs="Arial" w:eastAsia="Arial" w:hAnsi="Arial"/>
                <w:sz w:val="16"/>
                <w:szCs w:val="16"/>
                <w:color w:val="auto"/>
              </w:rPr>
              <w:t xml:space="preserve">Canada/South America </w:t>
            </w:r>
            <w:r>
              <w:rPr>
                <w:rFonts w:ascii="Arial" w:cs="Arial" w:eastAsia="Arial" w:hAnsi="Arial"/>
                <w:sz w:val="13"/>
                <w:szCs w:val="13"/>
                <w:i w:val="1"/>
                <w:iCs w:val="1"/>
                <w:color w:val="auto"/>
              </w:rPr>
              <w:t>(1)</w:t>
            </w:r>
          </w:p>
        </w:tc>
        <w:tc>
          <w:tcPr>
            <w:tcW w:w="1560" w:type="dxa"/>
            <w:vAlign w:val="bottom"/>
          </w:tcPr>
          <w:p>
            <w:pPr>
              <w:jc w:val="right"/>
              <w:ind w:right="621"/>
              <w:spacing w:after="0"/>
              <w:rPr>
                <w:sz w:val="20"/>
                <w:szCs w:val="20"/>
                <w:color w:val="auto"/>
              </w:rPr>
            </w:pPr>
            <w:r>
              <w:rPr>
                <w:rFonts w:ascii="Arial" w:cs="Arial" w:eastAsia="Arial" w:hAnsi="Arial"/>
                <w:sz w:val="16"/>
                <w:szCs w:val="16"/>
                <w:color w:val="auto"/>
              </w:rPr>
              <w:t>16,100</w:t>
            </w:r>
          </w:p>
        </w:tc>
        <w:tc>
          <w:tcPr>
            <w:tcW w:w="1620" w:type="dxa"/>
            <w:vAlign w:val="bottom"/>
          </w:tcPr>
          <w:p>
            <w:pPr>
              <w:jc w:val="right"/>
              <w:ind w:right="981"/>
              <w:spacing w:after="0"/>
              <w:rPr>
                <w:sz w:val="20"/>
                <w:szCs w:val="20"/>
                <w:color w:val="auto"/>
              </w:rPr>
            </w:pPr>
            <w:r>
              <w:rPr>
                <w:rFonts w:ascii="Arial" w:cs="Arial" w:eastAsia="Arial" w:hAnsi="Arial"/>
                <w:sz w:val="16"/>
                <w:szCs w:val="16"/>
                <w:color w:val="auto"/>
              </w:rPr>
              <w:t>12,250</w:t>
            </w:r>
          </w:p>
        </w:tc>
        <w:tc>
          <w:tcPr>
            <w:tcW w:w="1340" w:type="dxa"/>
            <w:vAlign w:val="bottom"/>
          </w:tcPr>
          <w:p>
            <w:pPr>
              <w:jc w:val="right"/>
              <w:ind w:right="601"/>
              <w:spacing w:after="0"/>
              <w:rPr>
                <w:sz w:val="20"/>
                <w:szCs w:val="20"/>
                <w:color w:val="auto"/>
              </w:rPr>
            </w:pPr>
            <w:r>
              <w:rPr>
                <w:rFonts w:ascii="Arial" w:cs="Arial" w:eastAsia="Arial" w:hAnsi="Arial"/>
                <w:sz w:val="16"/>
                <w:szCs w:val="16"/>
                <w:color w:val="auto"/>
              </w:rPr>
              <w:t>16,267</w:t>
            </w:r>
          </w:p>
        </w:tc>
        <w:tc>
          <w:tcPr>
            <w:tcW w:w="100" w:type="dxa"/>
            <w:vAlign w:val="bottom"/>
          </w:tcPr>
          <w:p>
            <w:pPr>
              <w:spacing w:after="0"/>
              <w:rPr>
                <w:sz w:val="17"/>
                <w:szCs w:val="17"/>
                <w:color w:val="auto"/>
              </w:rPr>
            </w:pPr>
          </w:p>
        </w:tc>
      </w:tr>
      <w:tr>
        <w:trPr>
          <w:trHeight w:val="196"/>
        </w:trPr>
        <w:tc>
          <w:tcPr>
            <w:tcW w:w="6320" w:type="dxa"/>
            <w:vAlign w:val="bottom"/>
          </w:tcPr>
          <w:p>
            <w:pPr>
              <w:ind w:left="480"/>
              <w:spacing w:after="0"/>
              <w:rPr>
                <w:sz w:val="20"/>
                <w:szCs w:val="20"/>
                <w:color w:val="auto"/>
              </w:rPr>
            </w:pPr>
            <w:r>
              <w:rPr>
                <w:rFonts w:ascii="Arial" w:cs="Arial" w:eastAsia="Arial" w:hAnsi="Arial"/>
                <w:sz w:val="16"/>
                <w:szCs w:val="16"/>
                <w:color w:val="auto"/>
              </w:rPr>
              <w:t>Europe</w:t>
            </w:r>
          </w:p>
        </w:tc>
        <w:tc>
          <w:tcPr>
            <w:tcW w:w="1560" w:type="dxa"/>
            <w:vAlign w:val="bottom"/>
          </w:tcPr>
          <w:p>
            <w:pPr>
              <w:jc w:val="right"/>
              <w:ind w:right="621"/>
              <w:spacing w:after="0"/>
              <w:rPr>
                <w:sz w:val="20"/>
                <w:szCs w:val="20"/>
                <w:color w:val="auto"/>
              </w:rPr>
            </w:pPr>
            <w:r>
              <w:rPr>
                <w:rFonts w:ascii="Arial" w:cs="Arial" w:eastAsia="Arial" w:hAnsi="Arial"/>
                <w:sz w:val="16"/>
                <w:szCs w:val="16"/>
                <w:color w:val="auto"/>
              </w:rPr>
              <w:t>10,601</w:t>
            </w:r>
          </w:p>
        </w:tc>
        <w:tc>
          <w:tcPr>
            <w:tcW w:w="1620" w:type="dxa"/>
            <w:vAlign w:val="bottom"/>
          </w:tcPr>
          <w:p>
            <w:pPr>
              <w:jc w:val="right"/>
              <w:ind w:right="981"/>
              <w:spacing w:after="0"/>
              <w:rPr>
                <w:sz w:val="20"/>
                <w:szCs w:val="20"/>
                <w:color w:val="auto"/>
              </w:rPr>
            </w:pPr>
            <w:r>
              <w:rPr>
                <w:rFonts w:ascii="Arial" w:cs="Arial" w:eastAsia="Arial" w:hAnsi="Arial"/>
                <w:sz w:val="16"/>
                <w:szCs w:val="16"/>
                <w:color w:val="auto"/>
              </w:rPr>
              <w:t>5,636</w:t>
            </w:r>
          </w:p>
        </w:tc>
        <w:tc>
          <w:tcPr>
            <w:tcW w:w="1340" w:type="dxa"/>
            <w:vAlign w:val="bottom"/>
          </w:tcPr>
          <w:p>
            <w:pPr>
              <w:jc w:val="right"/>
              <w:ind w:right="601"/>
              <w:spacing w:after="0"/>
              <w:rPr>
                <w:sz w:val="20"/>
                <w:szCs w:val="20"/>
                <w:color w:val="auto"/>
              </w:rPr>
            </w:pPr>
            <w:r>
              <w:rPr>
                <w:rFonts w:ascii="Arial" w:cs="Arial" w:eastAsia="Arial" w:hAnsi="Arial"/>
                <w:sz w:val="16"/>
                <w:szCs w:val="16"/>
                <w:color w:val="auto"/>
              </w:rPr>
              <w:t>13,461</w:t>
            </w:r>
          </w:p>
        </w:tc>
        <w:tc>
          <w:tcPr>
            <w:tcW w:w="100" w:type="dxa"/>
            <w:vAlign w:val="bottom"/>
          </w:tcPr>
          <w:p>
            <w:pPr>
              <w:spacing w:after="0"/>
              <w:rPr>
                <w:sz w:val="17"/>
                <w:szCs w:val="17"/>
                <w:color w:val="auto"/>
              </w:rPr>
            </w:pPr>
          </w:p>
        </w:tc>
      </w:tr>
      <w:tr>
        <w:trPr>
          <w:trHeight w:val="196"/>
        </w:trPr>
        <w:tc>
          <w:tcPr>
            <w:tcW w:w="6320" w:type="dxa"/>
            <w:vAlign w:val="bottom"/>
          </w:tcPr>
          <w:p>
            <w:pPr>
              <w:ind w:left="480"/>
              <w:spacing w:after="0"/>
              <w:rPr>
                <w:sz w:val="20"/>
                <w:szCs w:val="20"/>
                <w:color w:val="auto"/>
              </w:rPr>
            </w:pPr>
            <w:r>
              <w:rPr>
                <w:rFonts w:ascii="Arial" w:cs="Arial" w:eastAsia="Arial" w:hAnsi="Arial"/>
                <w:sz w:val="16"/>
                <w:szCs w:val="16"/>
                <w:color w:val="auto"/>
              </w:rPr>
              <w:t>Africa</w:t>
            </w:r>
          </w:p>
        </w:tc>
        <w:tc>
          <w:tcPr>
            <w:tcW w:w="1560" w:type="dxa"/>
            <w:vAlign w:val="bottom"/>
          </w:tcPr>
          <w:p>
            <w:pPr>
              <w:jc w:val="right"/>
              <w:ind w:right="621"/>
              <w:spacing w:after="0"/>
              <w:rPr>
                <w:sz w:val="20"/>
                <w:szCs w:val="20"/>
                <w:color w:val="auto"/>
              </w:rPr>
            </w:pPr>
            <w:r>
              <w:rPr>
                <w:rFonts w:ascii="Arial" w:cs="Arial" w:eastAsia="Arial" w:hAnsi="Arial"/>
                <w:sz w:val="16"/>
                <w:szCs w:val="16"/>
                <w:color w:val="auto"/>
              </w:rPr>
              <w:t>22,143</w:t>
            </w:r>
          </w:p>
        </w:tc>
        <w:tc>
          <w:tcPr>
            <w:tcW w:w="1620" w:type="dxa"/>
            <w:vAlign w:val="bottom"/>
          </w:tcPr>
          <w:p>
            <w:pPr>
              <w:jc w:val="right"/>
              <w:ind w:right="981"/>
              <w:spacing w:after="0"/>
              <w:rPr>
                <w:sz w:val="20"/>
                <w:szCs w:val="20"/>
                <w:color w:val="auto"/>
              </w:rPr>
            </w:pPr>
            <w:r>
              <w:rPr>
                <w:rFonts w:ascii="Arial" w:cs="Arial" w:eastAsia="Arial" w:hAnsi="Arial"/>
                <w:sz w:val="16"/>
                <w:szCs w:val="16"/>
                <w:color w:val="auto"/>
              </w:rPr>
              <w:t>15,020</w:t>
            </w:r>
          </w:p>
        </w:tc>
        <w:tc>
          <w:tcPr>
            <w:tcW w:w="1340" w:type="dxa"/>
            <w:vAlign w:val="bottom"/>
          </w:tcPr>
          <w:p>
            <w:pPr>
              <w:jc w:val="right"/>
              <w:ind w:right="601"/>
              <w:spacing w:after="0"/>
              <w:rPr>
                <w:sz w:val="20"/>
                <w:szCs w:val="20"/>
                <w:color w:val="auto"/>
              </w:rPr>
            </w:pPr>
            <w:r>
              <w:rPr>
                <w:rFonts w:ascii="Arial" w:cs="Arial" w:eastAsia="Arial" w:hAnsi="Arial"/>
                <w:sz w:val="16"/>
                <w:szCs w:val="16"/>
                <w:color w:val="auto"/>
              </w:rPr>
              <w:t>20,877</w:t>
            </w:r>
          </w:p>
        </w:tc>
        <w:tc>
          <w:tcPr>
            <w:tcW w:w="100" w:type="dxa"/>
            <w:vAlign w:val="bottom"/>
          </w:tcPr>
          <w:p>
            <w:pPr>
              <w:spacing w:after="0"/>
              <w:rPr>
                <w:sz w:val="17"/>
                <w:szCs w:val="17"/>
                <w:color w:val="auto"/>
              </w:rPr>
            </w:pPr>
          </w:p>
        </w:tc>
      </w:tr>
      <w:tr>
        <w:trPr>
          <w:trHeight w:val="196"/>
        </w:trPr>
        <w:tc>
          <w:tcPr>
            <w:tcW w:w="6320" w:type="dxa"/>
            <w:vAlign w:val="bottom"/>
          </w:tcPr>
          <w:p>
            <w:pPr>
              <w:ind w:left="480"/>
              <w:spacing w:after="0"/>
              <w:rPr>
                <w:sz w:val="20"/>
                <w:szCs w:val="20"/>
                <w:color w:val="auto"/>
              </w:rPr>
            </w:pPr>
            <w:r>
              <w:rPr>
                <w:rFonts w:ascii="Arial" w:cs="Arial" w:eastAsia="Arial" w:hAnsi="Arial"/>
                <w:sz w:val="16"/>
                <w:szCs w:val="16"/>
                <w:color w:val="auto"/>
              </w:rPr>
              <w:t>Asia</w:t>
            </w:r>
          </w:p>
        </w:tc>
        <w:tc>
          <w:tcPr>
            <w:tcW w:w="1560" w:type="dxa"/>
            <w:vAlign w:val="bottom"/>
          </w:tcPr>
          <w:p>
            <w:pPr>
              <w:jc w:val="right"/>
              <w:ind w:right="621"/>
              <w:spacing w:after="0"/>
              <w:rPr>
                <w:sz w:val="20"/>
                <w:szCs w:val="20"/>
                <w:color w:val="auto"/>
              </w:rPr>
            </w:pPr>
            <w:r>
              <w:rPr>
                <w:rFonts w:ascii="Arial" w:cs="Arial" w:eastAsia="Arial" w:hAnsi="Arial"/>
                <w:sz w:val="16"/>
                <w:szCs w:val="16"/>
                <w:color w:val="auto"/>
              </w:rPr>
              <w:t>17,437</w:t>
            </w:r>
          </w:p>
        </w:tc>
        <w:tc>
          <w:tcPr>
            <w:tcW w:w="1620" w:type="dxa"/>
            <w:vAlign w:val="bottom"/>
          </w:tcPr>
          <w:p>
            <w:pPr>
              <w:jc w:val="right"/>
              <w:ind w:right="981"/>
              <w:spacing w:after="0"/>
              <w:rPr>
                <w:sz w:val="20"/>
                <w:szCs w:val="20"/>
                <w:color w:val="auto"/>
              </w:rPr>
            </w:pPr>
            <w:r>
              <w:rPr>
                <w:rFonts w:ascii="Arial" w:cs="Arial" w:eastAsia="Arial" w:hAnsi="Arial"/>
                <w:sz w:val="16"/>
                <w:szCs w:val="16"/>
                <w:color w:val="auto"/>
              </w:rPr>
              <w:t>13,016</w:t>
            </w:r>
          </w:p>
        </w:tc>
        <w:tc>
          <w:tcPr>
            <w:tcW w:w="1340" w:type="dxa"/>
            <w:vAlign w:val="bottom"/>
          </w:tcPr>
          <w:p>
            <w:pPr>
              <w:jc w:val="right"/>
              <w:ind w:right="601"/>
              <w:spacing w:after="0"/>
              <w:rPr>
                <w:sz w:val="20"/>
                <w:szCs w:val="20"/>
                <w:color w:val="auto"/>
              </w:rPr>
            </w:pPr>
            <w:r>
              <w:rPr>
                <w:rFonts w:ascii="Arial" w:cs="Arial" w:eastAsia="Arial" w:hAnsi="Arial"/>
                <w:sz w:val="16"/>
                <w:szCs w:val="16"/>
                <w:color w:val="auto"/>
              </w:rPr>
              <w:t>18,639</w:t>
            </w:r>
          </w:p>
        </w:tc>
        <w:tc>
          <w:tcPr>
            <w:tcW w:w="100" w:type="dxa"/>
            <w:vAlign w:val="bottom"/>
          </w:tcPr>
          <w:p>
            <w:pPr>
              <w:spacing w:after="0"/>
              <w:rPr>
                <w:sz w:val="17"/>
                <w:szCs w:val="17"/>
                <w:color w:val="auto"/>
              </w:rPr>
            </w:pPr>
          </w:p>
        </w:tc>
      </w:tr>
      <w:tr>
        <w:trPr>
          <w:trHeight w:val="208"/>
        </w:trPr>
        <w:tc>
          <w:tcPr>
            <w:tcW w:w="6320" w:type="dxa"/>
            <w:vAlign w:val="bottom"/>
          </w:tcPr>
          <w:p>
            <w:pPr>
              <w:ind w:left="480"/>
              <w:spacing w:after="0"/>
              <w:rPr>
                <w:sz w:val="20"/>
                <w:szCs w:val="20"/>
                <w:color w:val="auto"/>
              </w:rPr>
            </w:pPr>
            <w:r>
              <w:rPr>
                <w:rFonts w:ascii="Arial" w:cs="Arial" w:eastAsia="Arial" w:hAnsi="Arial"/>
                <w:sz w:val="16"/>
                <w:szCs w:val="16"/>
                <w:color w:val="auto"/>
              </w:rPr>
              <w:t>Australia/Oceania</w:t>
            </w:r>
          </w:p>
        </w:tc>
        <w:tc>
          <w:tcPr>
            <w:tcW w:w="1560" w:type="dxa"/>
            <w:vAlign w:val="bottom"/>
            <w:tcBorders>
              <w:bottom w:val="single" w:sz="8" w:color="auto"/>
            </w:tcBorders>
          </w:tcPr>
          <w:p>
            <w:pPr>
              <w:jc w:val="right"/>
              <w:ind w:right="621"/>
              <w:spacing w:after="0"/>
              <w:rPr>
                <w:sz w:val="20"/>
                <w:szCs w:val="20"/>
                <w:color w:val="auto"/>
              </w:rPr>
            </w:pPr>
            <w:r>
              <w:rPr>
                <w:rFonts w:ascii="Arial" w:cs="Arial" w:eastAsia="Arial" w:hAnsi="Arial"/>
                <w:sz w:val="16"/>
                <w:szCs w:val="16"/>
                <w:color w:val="auto"/>
              </w:rPr>
              <w:t>6,653</w:t>
            </w:r>
          </w:p>
        </w:tc>
        <w:tc>
          <w:tcPr>
            <w:tcW w:w="1620" w:type="dxa"/>
            <w:vAlign w:val="bottom"/>
            <w:tcBorders>
              <w:bottom w:val="single" w:sz="8" w:color="auto"/>
            </w:tcBorders>
          </w:tcPr>
          <w:p>
            <w:pPr>
              <w:jc w:val="right"/>
              <w:ind w:right="981"/>
              <w:spacing w:after="0"/>
              <w:rPr>
                <w:sz w:val="20"/>
                <w:szCs w:val="20"/>
                <w:color w:val="auto"/>
              </w:rPr>
            </w:pPr>
            <w:r>
              <w:rPr>
                <w:rFonts w:ascii="Arial" w:cs="Arial" w:eastAsia="Arial" w:hAnsi="Arial"/>
                <w:sz w:val="16"/>
                <w:szCs w:val="16"/>
                <w:color w:val="auto"/>
              </w:rPr>
              <w:t>2,013</w:t>
            </w:r>
          </w:p>
        </w:tc>
        <w:tc>
          <w:tcPr>
            <w:tcW w:w="134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color w:val="auto"/>
              </w:rPr>
              <w:t>7,144</w:t>
            </w:r>
          </w:p>
        </w:tc>
        <w:tc>
          <w:tcPr>
            <w:tcW w:w="100" w:type="dxa"/>
            <w:vAlign w:val="bottom"/>
            <w:tcBorders>
              <w:bottom w:val="single" w:sz="8" w:color="auto"/>
            </w:tcBorders>
          </w:tcPr>
          <w:p>
            <w:pPr>
              <w:spacing w:after="0"/>
              <w:rPr>
                <w:sz w:val="18"/>
                <w:szCs w:val="18"/>
                <w:color w:val="auto"/>
              </w:rPr>
            </w:pPr>
          </w:p>
        </w:tc>
      </w:tr>
      <w:tr>
        <w:trPr>
          <w:trHeight w:val="201"/>
        </w:trPr>
        <w:tc>
          <w:tcPr>
            <w:tcW w:w="6320" w:type="dxa"/>
            <w:vAlign w:val="bottom"/>
          </w:tcPr>
          <w:p>
            <w:pPr>
              <w:ind w:left="700"/>
              <w:spacing w:after="0"/>
              <w:rPr>
                <w:sz w:val="20"/>
                <w:szCs w:val="20"/>
                <w:color w:val="auto"/>
              </w:rPr>
            </w:pPr>
            <w:r>
              <w:rPr>
                <w:rFonts w:ascii="Arial" w:cs="Arial" w:eastAsia="Arial" w:hAnsi="Arial"/>
                <w:sz w:val="16"/>
                <w:szCs w:val="16"/>
                <w:color w:val="auto"/>
              </w:rPr>
              <w:t>Total Consolidated Subsidiaries</w:t>
            </w:r>
          </w:p>
        </w:tc>
        <w:tc>
          <w:tcPr>
            <w:tcW w:w="1560" w:type="dxa"/>
            <w:vAlign w:val="bottom"/>
          </w:tcPr>
          <w:p>
            <w:pPr>
              <w:jc w:val="right"/>
              <w:ind w:right="621"/>
              <w:spacing w:after="0"/>
              <w:rPr>
                <w:sz w:val="20"/>
                <w:szCs w:val="20"/>
                <w:color w:val="auto"/>
              </w:rPr>
            </w:pPr>
            <w:r>
              <w:rPr>
                <w:rFonts w:ascii="Arial" w:cs="Arial" w:eastAsia="Arial" w:hAnsi="Arial"/>
                <w:sz w:val="16"/>
                <w:szCs w:val="16"/>
                <w:color w:val="auto"/>
              </w:rPr>
              <w:t>83,196</w:t>
            </w:r>
          </w:p>
        </w:tc>
        <w:tc>
          <w:tcPr>
            <w:tcW w:w="1620" w:type="dxa"/>
            <w:vAlign w:val="bottom"/>
          </w:tcPr>
          <w:p>
            <w:pPr>
              <w:jc w:val="right"/>
              <w:ind w:right="981"/>
              <w:spacing w:after="0"/>
              <w:rPr>
                <w:sz w:val="20"/>
                <w:szCs w:val="20"/>
                <w:color w:val="auto"/>
              </w:rPr>
            </w:pPr>
            <w:r>
              <w:rPr>
                <w:rFonts w:ascii="Arial" w:cs="Arial" w:eastAsia="Arial" w:hAnsi="Arial"/>
                <w:sz w:val="16"/>
                <w:szCs w:val="16"/>
                <w:color w:val="auto"/>
              </w:rPr>
              <w:t>52,829</w:t>
            </w:r>
          </w:p>
        </w:tc>
        <w:tc>
          <w:tcPr>
            <w:tcW w:w="1340" w:type="dxa"/>
            <w:vAlign w:val="bottom"/>
          </w:tcPr>
          <w:p>
            <w:pPr>
              <w:jc w:val="right"/>
              <w:ind w:right="601"/>
              <w:spacing w:after="0"/>
              <w:rPr>
                <w:sz w:val="20"/>
                <w:szCs w:val="20"/>
                <w:color w:val="auto"/>
              </w:rPr>
            </w:pPr>
            <w:r>
              <w:rPr>
                <w:rFonts w:ascii="Arial" w:cs="Arial" w:eastAsia="Arial" w:hAnsi="Arial"/>
                <w:sz w:val="16"/>
                <w:szCs w:val="16"/>
                <w:color w:val="auto"/>
              </w:rPr>
              <w:t>84,033</w:t>
            </w:r>
          </w:p>
        </w:tc>
        <w:tc>
          <w:tcPr>
            <w:tcW w:w="100" w:type="dxa"/>
            <w:vAlign w:val="bottom"/>
          </w:tcPr>
          <w:p>
            <w:pPr>
              <w:spacing w:after="0"/>
              <w:rPr>
                <w:sz w:val="17"/>
                <w:szCs w:val="17"/>
                <w:color w:val="auto"/>
              </w:rPr>
            </w:pPr>
          </w:p>
        </w:tc>
      </w:tr>
      <w:tr>
        <w:trPr>
          <w:trHeight w:val="368"/>
        </w:trPr>
        <w:tc>
          <w:tcPr>
            <w:tcW w:w="6320" w:type="dxa"/>
            <w:vAlign w:val="bottom"/>
          </w:tcPr>
          <w:p>
            <w:pPr>
              <w:ind w:left="240"/>
              <w:spacing w:after="0"/>
              <w:rPr>
                <w:sz w:val="20"/>
                <w:szCs w:val="20"/>
                <w:color w:val="auto"/>
              </w:rPr>
            </w:pPr>
            <w:r>
              <w:rPr>
                <w:rFonts w:ascii="Arial" w:cs="Arial" w:eastAsia="Arial" w:hAnsi="Arial"/>
                <w:sz w:val="16"/>
                <w:szCs w:val="16"/>
                <w:b w:val="1"/>
                <w:bCs w:val="1"/>
                <w:color w:val="auto"/>
              </w:rPr>
              <w:t>Equity Companies</w:t>
            </w:r>
          </w:p>
        </w:tc>
        <w:tc>
          <w:tcPr>
            <w:tcW w:w="1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6320" w:type="dxa"/>
            <w:vAlign w:val="bottom"/>
          </w:tcPr>
          <w:p>
            <w:pPr>
              <w:ind w:left="480"/>
              <w:spacing w:after="0"/>
              <w:rPr>
                <w:sz w:val="20"/>
                <w:szCs w:val="20"/>
                <w:color w:val="auto"/>
              </w:rPr>
            </w:pPr>
            <w:r>
              <w:rPr>
                <w:rFonts w:ascii="Arial" w:cs="Arial" w:eastAsia="Arial" w:hAnsi="Arial"/>
                <w:sz w:val="16"/>
                <w:szCs w:val="16"/>
                <w:color w:val="auto"/>
              </w:rPr>
              <w:t>United States</w:t>
            </w:r>
          </w:p>
        </w:tc>
        <w:tc>
          <w:tcPr>
            <w:tcW w:w="1560" w:type="dxa"/>
            <w:vAlign w:val="bottom"/>
          </w:tcPr>
          <w:p>
            <w:pPr>
              <w:jc w:val="right"/>
              <w:ind w:right="621"/>
              <w:spacing w:after="0"/>
              <w:rPr>
                <w:sz w:val="20"/>
                <w:szCs w:val="20"/>
                <w:color w:val="auto"/>
              </w:rPr>
            </w:pPr>
            <w:r>
              <w:rPr>
                <w:rFonts w:ascii="Arial" w:cs="Arial" w:eastAsia="Arial" w:hAnsi="Arial"/>
                <w:sz w:val="16"/>
                <w:szCs w:val="16"/>
                <w:color w:val="auto"/>
              </w:rPr>
              <w:t>350</w:t>
            </w:r>
          </w:p>
        </w:tc>
        <w:tc>
          <w:tcPr>
            <w:tcW w:w="1620" w:type="dxa"/>
            <w:vAlign w:val="bottom"/>
          </w:tcPr>
          <w:p>
            <w:pPr>
              <w:jc w:val="right"/>
              <w:ind w:right="981"/>
              <w:spacing w:after="0"/>
              <w:rPr>
                <w:sz w:val="20"/>
                <w:szCs w:val="20"/>
                <w:color w:val="auto"/>
              </w:rPr>
            </w:pPr>
            <w:r>
              <w:rPr>
                <w:rFonts w:ascii="Arial" w:cs="Arial" w:eastAsia="Arial" w:hAnsi="Arial"/>
                <w:sz w:val="16"/>
                <w:szCs w:val="16"/>
                <w:color w:val="auto"/>
              </w:rPr>
              <w:t>118</w:t>
            </w:r>
          </w:p>
        </w:tc>
        <w:tc>
          <w:tcPr>
            <w:tcW w:w="1340" w:type="dxa"/>
            <w:vAlign w:val="bottom"/>
          </w:tcPr>
          <w:p>
            <w:pPr>
              <w:jc w:val="right"/>
              <w:ind w:right="601"/>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7"/>
                <w:szCs w:val="17"/>
                <w:color w:val="auto"/>
              </w:rPr>
            </w:pPr>
          </w:p>
        </w:tc>
      </w:tr>
      <w:tr>
        <w:trPr>
          <w:trHeight w:val="196"/>
        </w:trPr>
        <w:tc>
          <w:tcPr>
            <w:tcW w:w="6320" w:type="dxa"/>
            <w:vAlign w:val="bottom"/>
          </w:tcPr>
          <w:p>
            <w:pPr>
              <w:ind w:left="480"/>
              <w:spacing w:after="0"/>
              <w:rPr>
                <w:sz w:val="20"/>
                <w:szCs w:val="20"/>
                <w:color w:val="auto"/>
              </w:rPr>
            </w:pPr>
            <w:r>
              <w:rPr>
                <w:rFonts w:ascii="Arial" w:cs="Arial" w:eastAsia="Arial" w:hAnsi="Arial"/>
                <w:sz w:val="16"/>
                <w:szCs w:val="16"/>
                <w:color w:val="auto"/>
              </w:rPr>
              <w:t>Europe</w:t>
            </w:r>
          </w:p>
        </w:tc>
        <w:tc>
          <w:tcPr>
            <w:tcW w:w="1560" w:type="dxa"/>
            <w:vAlign w:val="bottom"/>
          </w:tcPr>
          <w:p>
            <w:pPr>
              <w:jc w:val="right"/>
              <w:ind w:right="621"/>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981"/>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60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r>
        <w:trPr>
          <w:trHeight w:val="208"/>
        </w:trPr>
        <w:tc>
          <w:tcPr>
            <w:tcW w:w="6320" w:type="dxa"/>
            <w:vAlign w:val="bottom"/>
          </w:tcPr>
          <w:p>
            <w:pPr>
              <w:ind w:left="480"/>
              <w:spacing w:after="0"/>
              <w:rPr>
                <w:sz w:val="20"/>
                <w:szCs w:val="20"/>
                <w:color w:val="auto"/>
              </w:rPr>
            </w:pPr>
            <w:r>
              <w:rPr>
                <w:rFonts w:ascii="Arial" w:cs="Arial" w:eastAsia="Arial" w:hAnsi="Arial"/>
                <w:sz w:val="16"/>
                <w:szCs w:val="16"/>
                <w:color w:val="auto"/>
              </w:rPr>
              <w:t>Asia</w:t>
            </w:r>
          </w:p>
        </w:tc>
        <w:tc>
          <w:tcPr>
            <w:tcW w:w="1560" w:type="dxa"/>
            <w:vAlign w:val="bottom"/>
            <w:tcBorders>
              <w:bottom w:val="single" w:sz="8" w:color="auto"/>
            </w:tcBorders>
          </w:tcPr>
          <w:p>
            <w:pPr>
              <w:jc w:val="right"/>
              <w:ind w:right="621"/>
              <w:spacing w:after="0"/>
              <w:rPr>
                <w:sz w:val="20"/>
                <w:szCs w:val="20"/>
                <w:color w:val="auto"/>
              </w:rPr>
            </w:pPr>
            <w:r>
              <w:rPr>
                <w:rFonts w:ascii="Arial" w:cs="Arial" w:eastAsia="Arial" w:hAnsi="Arial"/>
                <w:sz w:val="16"/>
                <w:szCs w:val="16"/>
                <w:color w:val="auto"/>
              </w:rPr>
              <w:t>191,146</w:t>
            </w:r>
          </w:p>
        </w:tc>
        <w:tc>
          <w:tcPr>
            <w:tcW w:w="1620" w:type="dxa"/>
            <w:vAlign w:val="bottom"/>
            <w:tcBorders>
              <w:bottom w:val="single" w:sz="8" w:color="auto"/>
            </w:tcBorders>
          </w:tcPr>
          <w:p>
            <w:pPr>
              <w:jc w:val="right"/>
              <w:ind w:right="981"/>
              <w:spacing w:after="0"/>
              <w:rPr>
                <w:sz w:val="20"/>
                <w:szCs w:val="20"/>
                <w:color w:val="auto"/>
              </w:rPr>
            </w:pPr>
            <w:r>
              <w:rPr>
                <w:rFonts w:ascii="Arial" w:cs="Arial" w:eastAsia="Arial" w:hAnsi="Arial"/>
                <w:sz w:val="16"/>
                <w:szCs w:val="16"/>
                <w:color w:val="auto"/>
              </w:rPr>
              <w:t>63,632</w:t>
            </w:r>
          </w:p>
        </w:tc>
        <w:tc>
          <w:tcPr>
            <w:tcW w:w="134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color w:val="auto"/>
              </w:rPr>
              <w:t>34,147</w:t>
            </w:r>
          </w:p>
        </w:tc>
        <w:tc>
          <w:tcPr>
            <w:tcW w:w="100" w:type="dxa"/>
            <w:vAlign w:val="bottom"/>
            <w:tcBorders>
              <w:bottom w:val="single" w:sz="8" w:color="auto"/>
            </w:tcBorders>
          </w:tcPr>
          <w:p>
            <w:pPr>
              <w:spacing w:after="0"/>
              <w:rPr>
                <w:sz w:val="18"/>
                <w:szCs w:val="18"/>
                <w:color w:val="auto"/>
              </w:rPr>
            </w:pPr>
          </w:p>
        </w:tc>
      </w:tr>
      <w:tr>
        <w:trPr>
          <w:trHeight w:val="189"/>
        </w:trPr>
        <w:tc>
          <w:tcPr>
            <w:tcW w:w="6320" w:type="dxa"/>
            <w:vAlign w:val="bottom"/>
          </w:tcPr>
          <w:p>
            <w:pPr>
              <w:ind w:left="700"/>
              <w:spacing w:after="0"/>
              <w:rPr>
                <w:sz w:val="20"/>
                <w:szCs w:val="20"/>
                <w:color w:val="auto"/>
              </w:rPr>
            </w:pPr>
            <w:r>
              <w:rPr>
                <w:rFonts w:ascii="Arial" w:cs="Arial" w:eastAsia="Arial" w:hAnsi="Arial"/>
                <w:sz w:val="16"/>
                <w:szCs w:val="16"/>
                <w:color w:val="auto"/>
              </w:rPr>
              <w:t>Total Equity Companies</w:t>
            </w:r>
          </w:p>
        </w:tc>
        <w:tc>
          <w:tcPr>
            <w:tcW w:w="1560" w:type="dxa"/>
            <w:vAlign w:val="bottom"/>
            <w:tcBorders>
              <w:bottom w:val="single" w:sz="8" w:color="auto"/>
            </w:tcBorders>
          </w:tcPr>
          <w:p>
            <w:pPr>
              <w:jc w:val="right"/>
              <w:ind w:right="621"/>
              <w:spacing w:after="0"/>
              <w:rPr>
                <w:sz w:val="20"/>
                <w:szCs w:val="20"/>
                <w:color w:val="auto"/>
              </w:rPr>
            </w:pPr>
            <w:r>
              <w:rPr>
                <w:rFonts w:ascii="Arial" w:cs="Arial" w:eastAsia="Arial" w:hAnsi="Arial"/>
                <w:sz w:val="16"/>
                <w:szCs w:val="16"/>
                <w:color w:val="auto"/>
              </w:rPr>
              <w:t>191,496</w:t>
            </w:r>
          </w:p>
        </w:tc>
        <w:tc>
          <w:tcPr>
            <w:tcW w:w="1620" w:type="dxa"/>
            <w:vAlign w:val="bottom"/>
            <w:tcBorders>
              <w:bottom w:val="single" w:sz="8" w:color="auto"/>
            </w:tcBorders>
          </w:tcPr>
          <w:p>
            <w:pPr>
              <w:jc w:val="right"/>
              <w:ind w:right="981"/>
              <w:spacing w:after="0"/>
              <w:rPr>
                <w:sz w:val="20"/>
                <w:szCs w:val="20"/>
                <w:color w:val="auto"/>
              </w:rPr>
            </w:pPr>
            <w:r>
              <w:rPr>
                <w:rFonts w:ascii="Arial" w:cs="Arial" w:eastAsia="Arial" w:hAnsi="Arial"/>
                <w:sz w:val="16"/>
                <w:szCs w:val="16"/>
                <w:color w:val="auto"/>
              </w:rPr>
              <w:t>63,750</w:t>
            </w:r>
          </w:p>
        </w:tc>
        <w:tc>
          <w:tcPr>
            <w:tcW w:w="134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color w:val="auto"/>
              </w:rPr>
              <w:t>34,510</w:t>
            </w:r>
          </w:p>
        </w:tc>
        <w:tc>
          <w:tcPr>
            <w:tcW w:w="100" w:type="dxa"/>
            <w:vAlign w:val="bottom"/>
            <w:tcBorders>
              <w:bottom w:val="single" w:sz="8" w:color="auto"/>
            </w:tcBorders>
          </w:tcPr>
          <w:p>
            <w:pPr>
              <w:spacing w:after="0"/>
              <w:rPr>
                <w:sz w:val="16"/>
                <w:szCs w:val="16"/>
                <w:color w:val="auto"/>
              </w:rPr>
            </w:pPr>
          </w:p>
        </w:tc>
      </w:tr>
      <w:tr>
        <w:trPr>
          <w:trHeight w:val="188"/>
        </w:trPr>
        <w:tc>
          <w:tcPr>
            <w:tcW w:w="6320" w:type="dxa"/>
            <w:vAlign w:val="bottom"/>
          </w:tcPr>
          <w:p>
            <w:pPr>
              <w:spacing w:after="0"/>
              <w:rPr>
                <w:sz w:val="20"/>
                <w:szCs w:val="20"/>
                <w:color w:val="auto"/>
              </w:rPr>
            </w:pPr>
            <w:r>
              <w:rPr>
                <w:rFonts w:ascii="Arial" w:cs="Arial" w:eastAsia="Arial" w:hAnsi="Arial"/>
                <w:sz w:val="16"/>
                <w:szCs w:val="16"/>
                <w:b w:val="1"/>
                <w:bCs w:val="1"/>
                <w:color w:val="auto"/>
              </w:rPr>
              <w:t>Total gross and net undeveloped acreage</w:t>
            </w:r>
          </w:p>
        </w:tc>
        <w:tc>
          <w:tcPr>
            <w:tcW w:w="1560" w:type="dxa"/>
            <w:vAlign w:val="bottom"/>
            <w:tcBorders>
              <w:bottom w:val="single" w:sz="8" w:color="auto"/>
            </w:tcBorders>
          </w:tcPr>
          <w:p>
            <w:pPr>
              <w:jc w:val="right"/>
              <w:ind w:right="621"/>
              <w:spacing w:after="0"/>
              <w:rPr>
                <w:sz w:val="20"/>
                <w:szCs w:val="20"/>
                <w:color w:val="auto"/>
              </w:rPr>
            </w:pPr>
            <w:r>
              <w:rPr>
                <w:rFonts w:ascii="Arial" w:cs="Arial" w:eastAsia="Arial" w:hAnsi="Arial"/>
                <w:sz w:val="16"/>
                <w:szCs w:val="16"/>
                <w:color w:val="auto"/>
              </w:rPr>
              <w:t>274,692</w:t>
            </w:r>
          </w:p>
        </w:tc>
        <w:tc>
          <w:tcPr>
            <w:tcW w:w="1620" w:type="dxa"/>
            <w:vAlign w:val="bottom"/>
            <w:tcBorders>
              <w:bottom w:val="single" w:sz="8" w:color="auto"/>
            </w:tcBorders>
          </w:tcPr>
          <w:p>
            <w:pPr>
              <w:jc w:val="right"/>
              <w:ind w:right="981"/>
              <w:spacing w:after="0"/>
              <w:rPr>
                <w:sz w:val="20"/>
                <w:szCs w:val="20"/>
                <w:color w:val="auto"/>
              </w:rPr>
            </w:pPr>
            <w:r>
              <w:rPr>
                <w:rFonts w:ascii="Arial" w:cs="Arial" w:eastAsia="Arial" w:hAnsi="Arial"/>
                <w:sz w:val="16"/>
                <w:szCs w:val="16"/>
                <w:color w:val="auto"/>
                <w:w w:val="93"/>
              </w:rPr>
              <w:t>116,579</w:t>
            </w:r>
          </w:p>
        </w:tc>
        <w:tc>
          <w:tcPr>
            <w:tcW w:w="134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color w:val="auto"/>
              </w:rPr>
              <w:t>118,543</w:t>
            </w:r>
          </w:p>
        </w:tc>
        <w:tc>
          <w:tcPr>
            <w:tcW w:w="100" w:type="dxa"/>
            <w:vAlign w:val="bottom"/>
            <w:tcBorders>
              <w:bottom w:val="single" w:sz="8" w:color="auto"/>
            </w:tcBorders>
          </w:tcPr>
          <w:p>
            <w:pPr>
              <w:spacing w:after="0"/>
              <w:rPr>
                <w:sz w:val="16"/>
                <w:szCs w:val="16"/>
                <w:color w:val="auto"/>
              </w:rPr>
            </w:pPr>
          </w:p>
        </w:tc>
      </w:tr>
    </w:tbl>
    <w:p>
      <w:pPr>
        <w:spacing w:after="0" w:line="37" w:lineRule="exact"/>
        <w:rPr>
          <w:sz w:val="20"/>
          <w:szCs w:val="20"/>
          <w:color w:val="auto"/>
        </w:rPr>
      </w:pPr>
    </w:p>
    <w:p>
      <w:pPr>
        <w:ind w:firstLine="6"/>
        <w:spacing w:after="0" w:line="430" w:lineRule="auto"/>
        <w:tabs>
          <w:tab w:leader="none" w:pos="313"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Includes undeveloped acreage in South America of 9,056 gross and 8,083 net thousands of acres for 2014 and 8,795 gross and 4,674 net thousands of acres for 20 Note: Year-end 2013 gross developed and undeveloped acreage in Canada/South America was restated.</w:t>
      </w:r>
    </w:p>
    <w:p>
      <w:pPr>
        <w:spacing w:after="0" w:line="162"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ExxonMobil’s investment in developed and undeveloped acreage is comprised of numerous concessions, blocks and leases. The terms and conditions under wh Corporation maintains exploration and/or production rights to the acreage are property-specific, contractually defined and vary significantly from property to propert programs are designed to ensure that the exploration potential of any property is fully evaluated before expiration. In some instances, the Corporation may elect to rel acreage in advance of the contractual expiration date if the evaluation process is complete and there is not a business basis for extension. In cases where additional ti be required to fully evaluate acreage, the Corporation has generally been successful in obtaining extensions. The scheduled expiration of leases and concessi undeveloped acreage over the next three years is not expected to have a material adverse impact on the Corporation.</w:t>
      </w:r>
    </w:p>
    <w:p>
      <w:pPr>
        <w:spacing w:after="0" w:line="2"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650" w:right="1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D. Summary of Acreage Terms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UNITED STATES</w:t>
      </w:r>
    </w:p>
    <w:p>
      <w:pPr>
        <w:spacing w:after="0" w:line="8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Oil and gas leases have an exploration period ranging from one to ten years, and a production period that normally remains in effect until production ceases. Under circumstances, a lease may be held beyond its exploration term even if production has not commenced. In some instances, a “fee interest” is acquired where both the and the underlying mineral interests are owned outright.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CANADA / SOUTH AMERICA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Canada</w:t>
      </w:r>
    </w:p>
    <w:p>
      <w:pPr>
        <w:spacing w:after="0" w:line="8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Exploration licenses or leases in onshore areas are acquired for varying periods of time with renewals or extensions possible. These licenses or leases entitle the h continue existing licenses or leases upon completing specified work. In general, these license and lease agreements are held as long as there is production on the licen leases. Exploration licenses in offshore eastern Canada and the Beaufort Sea are held by work commitments of various amounts and rentals. They are valid for a ma term of nine years. Production licenses in the offshore are valid for 25 years, with rights of extension for continued production. Significant discovery licenses in the o relating to currently undeveloped discoveries, do not have a definite term.</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Argentina</w:t>
      </w:r>
    </w:p>
    <w:p>
      <w:pPr>
        <w:spacing w:after="0" w:line="8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Federal Hydrocarbon Law was amended in December 2014. The onshore concession terms granted prior to the amendment are up to six years, divided into three p exploration periods, with an optional extension for up to one year depending on the classification of the area. Pursuant to the amended law, the production ter conventional production concession would be 25 years, and 35 years for an unconventional concession, with unlimited ten-year extensions possible, once a field h developed.</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Germany</w:t>
      </w:r>
    </w:p>
    <w:p>
      <w:pPr>
        <w:spacing w:after="0" w:line="8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Exploration concessions are granted for an initial maximum period of five years, with an unlimited number of extensions of up to three years each. Extensions are su specific, minimum work commitments. Production licenses are normally granted for 20 to 25 years with multiple possible extensions as long as there is production license.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Netherlands</w:t>
      </w:r>
    </w:p>
    <w:p>
      <w:pPr>
        <w:spacing w:after="0" w:line="8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Under the Mining Law, effective January 1, 2003, exploration and production licenses for both onshore and offshore areas are issued for a period as explicitly define license. The term is based on the period of time necessary to perform the activities for which the license is issued. License conditions are stipulated in the license based on the Mining Law.</w:t>
      </w:r>
    </w:p>
    <w:p>
      <w:pPr>
        <w:spacing w:after="0" w:line="38" w:lineRule="exact"/>
        <w:rPr>
          <w:sz w:val="20"/>
          <w:szCs w:val="20"/>
          <w:color w:val="auto"/>
        </w:rPr>
      </w:pPr>
    </w:p>
    <w:p>
      <w:pPr>
        <w:jc w:val="both"/>
        <w:ind w:firstLine="200"/>
        <w:spacing w:after="0" w:line="326" w:lineRule="auto"/>
        <w:rPr>
          <w:sz w:val="20"/>
          <w:szCs w:val="20"/>
          <w:color w:val="auto"/>
        </w:rPr>
      </w:pPr>
      <w:r>
        <w:rPr>
          <w:rFonts w:ascii="Arial" w:cs="Arial" w:eastAsia="Arial" w:hAnsi="Arial"/>
          <w:sz w:val="14"/>
          <w:szCs w:val="14"/>
          <w:color w:val="auto"/>
        </w:rPr>
        <w:t>Production rights granted prior to January 1, 2003, remain subject to their existing terms, and differ slightly for onshore and offshore areas. Onshore production l issued prior to 1988 were indefinite; from 1988 they were issued for a period as explicitly defined in the license, ranging from 35 to 45 years. Offshore production issued before 1976 were issued for a fixed period of 40 years; from 1976 they were again issued for a period as explicitly defined in the license, ranging from 15 to 40</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Norway</w:t>
      </w:r>
    </w:p>
    <w:p>
      <w:pPr>
        <w:spacing w:after="0" w:line="86"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Licenses issued prior to 1972 were for an initial period of six years and an extension period of 40 years, with relinquishment of at least one-fourth of the original area r at the end of the sixth year and another one-fourth at the end of the ninth year. Licenses issued between 1972 and 1997 were for an initial period of up to six yea extension of the initial period of one year at a time up to ten years after 1985), and an extension period of up to 30 years, with relinquishment of at least one-hal original area required at the end of the initial period. Licenses issued after July 1, 1997, have an initial period of up to ten years and a normal extension period of u years or in special cases of up to 50 years, and with relinquishment of at least one-half of the original area required at the end of the initial period.</w:t>
      </w:r>
    </w:p>
    <w:p>
      <w:pPr>
        <w:spacing w:after="0" w:line="205"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650" w:right="139" w:bottom="1440" w:gutter="0" w:footer="0" w:header="0"/>
        </w:sectPr>
      </w:pPr>
    </w:p>
    <w:bookmarkStart w:id="21" w:name="page22"/>
    <w:bookmarkEnd w:id="21"/>
    <w:p>
      <w:pPr>
        <w:spacing w:after="0"/>
        <w:rPr>
          <w:sz w:val="20"/>
          <w:szCs w:val="20"/>
          <w:color w:val="auto"/>
        </w:rPr>
      </w:pPr>
      <w:r>
        <w:rPr>
          <w:rFonts w:ascii="Arial" w:cs="Arial" w:eastAsia="Arial" w:hAnsi="Arial"/>
          <w:sz w:val="16"/>
          <w:szCs w:val="16"/>
          <w:i w:val="1"/>
          <w:iCs w:val="1"/>
          <w:color w:val="auto"/>
        </w:rPr>
        <w:t>United Kingdom</w:t>
      </w:r>
    </w:p>
    <w:p>
      <w:pPr>
        <w:spacing w:after="0" w:line="86"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Acreage terms are fixed by the government and are periodically changed. For example, many of the early licenses issued under the first four licensing rounds provide initial term of six years with relinquishment of at least one-half of the original area at the end of the initial term, subject to extension for a further 40 years. At the end such 40-year term, licenses may continue in producing areas until cessation of production; or licenses may continue in development areas for periods agreed on a case-basis until they become producing areas; or licenses terminate in all other areas. The licensing regime was last updated in 2002, and the majority of licenses issued initial term of four years with a second term extension of four years and a final term of 18 years with a mandatory relinquishment of 50 percent of the acreage after th term and of all acreage that is not covered by a development plan at the end of the second term.</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AFRICA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Angola</w:t>
      </w:r>
    </w:p>
    <w:p>
      <w:pPr>
        <w:spacing w:after="0" w:line="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Exploration and production activities are governed by production sharing agreements with an initial exploration term of four years and an optional second phase of three years. The production period is for 25 years, and agreements generally provide for a negotiated extension.</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Chad</w:t>
      </w:r>
    </w:p>
    <w:p>
      <w:pPr>
        <w:spacing w:after="0" w:line="86" w:lineRule="exact"/>
        <w:rPr>
          <w:sz w:val="20"/>
          <w:szCs w:val="20"/>
          <w:color w:val="auto"/>
        </w:rPr>
      </w:pPr>
    </w:p>
    <w:p>
      <w:pPr>
        <w:jc w:val="both"/>
        <w:spacing w:after="0" w:line="321" w:lineRule="auto"/>
        <w:rPr>
          <w:sz w:val="20"/>
          <w:szCs w:val="20"/>
          <w:color w:val="auto"/>
        </w:rPr>
      </w:pPr>
      <w:r>
        <w:rPr>
          <w:rFonts w:ascii="Arial" w:cs="Arial" w:eastAsia="Arial" w:hAnsi="Arial"/>
          <w:sz w:val="15"/>
          <w:szCs w:val="15"/>
          <w:color w:val="auto"/>
        </w:rPr>
        <w:t>Exploration permits are issued for a period of five years, and are renewable for one or two further five-year periods. The terms and conditions of the permits, in relinquishment obligations, are specified in a negotiated convention. The production term is for 30 years and may be extended at the discretion of the government.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Equatorial Guinea</w:t>
      </w:r>
    </w:p>
    <w:p>
      <w:pPr>
        <w:spacing w:after="0" w:line="8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Exploration and production activities are governed by production sharing contracts negotiated with the State Ministry of Mines, Industry and Energy. The exploration are for 10 to 15 years with limited relinquishments in the absence of commercial discoveries. The production period for crude oil is 30 years, while the production pe gas is 50 years. Under the Hydrocarbons Law enacted in 2006, the exploration terms for new production sharing contracts are four to five years with a maximum of t year extensions, unless the Ministry agrees otherwise.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Nigeria</w:t>
      </w:r>
    </w:p>
    <w:p>
      <w:pPr>
        <w:spacing w:after="0" w:line="8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Exploration and production activities in the deepwater offshore areas are typically governed by production sharing contracts (PSCs) with the national oil compa Nigerian National Petroleum Corporation (NNPC). NNPC holds the underlying Oil Prospecting License (OPL) and any resulting Oil Mining Lease (OML). The term PSCs are generally 30 years, including a ten-year exploration period (an initial exploration phase that can be divided into multiple optional periods) covered by an OPL commercial discovery, an OPL may be converted to an OML. Partial relinquishment is required under the PSC at the end of the ten-year exploration period, and OML 20-year production period that may be extended.</w:t>
      </w:r>
    </w:p>
    <w:p>
      <w:pPr>
        <w:spacing w:after="0" w:line="46" w:lineRule="exact"/>
        <w:rPr>
          <w:sz w:val="20"/>
          <w:szCs w:val="20"/>
          <w:color w:val="auto"/>
        </w:rPr>
      </w:pPr>
    </w:p>
    <w:p>
      <w:pPr>
        <w:jc w:val="both"/>
        <w:ind w:firstLine="200"/>
        <w:spacing w:after="0" w:line="321" w:lineRule="auto"/>
        <w:rPr>
          <w:sz w:val="20"/>
          <w:szCs w:val="20"/>
          <w:color w:val="auto"/>
        </w:rPr>
      </w:pPr>
      <w:r>
        <w:rPr>
          <w:rFonts w:ascii="Arial" w:cs="Arial" w:eastAsia="Arial" w:hAnsi="Arial"/>
          <w:sz w:val="15"/>
          <w:szCs w:val="15"/>
          <w:color w:val="auto"/>
        </w:rPr>
        <w:t>Some exploration activities are carried out in deepwater by joint ventures with local companies holding interests in an OPL. OPLs in deepwater offshore areas are v ten years, while in all other areas the licenses are for five years. Demonstrating a commercial discovery is the basis for conversion of an OPL to an OML.</w:t>
      </w:r>
    </w:p>
    <w:p>
      <w:pPr>
        <w:spacing w:after="0" w:line="4" w:lineRule="exact"/>
        <w:rPr>
          <w:sz w:val="20"/>
          <w:szCs w:val="20"/>
          <w:color w:val="auto"/>
        </w:rPr>
      </w:pPr>
    </w:p>
    <w:p>
      <w:pPr>
        <w:jc w:val="both"/>
        <w:ind w:right="20" w:firstLine="200"/>
        <w:spacing w:after="0" w:line="265" w:lineRule="auto"/>
        <w:rPr>
          <w:sz w:val="20"/>
          <w:szCs w:val="20"/>
          <w:color w:val="auto"/>
        </w:rPr>
      </w:pPr>
      <w:r>
        <w:rPr>
          <w:rFonts w:ascii="Arial" w:cs="Arial" w:eastAsia="Arial" w:hAnsi="Arial"/>
          <w:sz w:val="16"/>
          <w:szCs w:val="16"/>
          <w:color w:val="auto"/>
        </w:rPr>
        <w:t>OMLs granted prior to the 1969 Petroleum Act (i.e., under the Mineral Oils Act 1914, repealed by the 1969 Petroleum Act) were for 30 years onshore and 40 offshore areas and have been renewed, effective December 1, 2008, for a further period of 20 years, with a further renewal option of 20 years. Operations under th 1969 OMLs are conducted under a joint venture agreement with NNPC rather than a PSC. Commercial terms applicable to the existing joint venture oil produc defined by the Petroleum Profits Tax Act.</w:t>
      </w:r>
    </w:p>
    <w:p>
      <w:pPr>
        <w:spacing w:after="0" w:line="45" w:lineRule="exact"/>
        <w:rPr>
          <w:sz w:val="20"/>
          <w:szCs w:val="20"/>
          <w:color w:val="auto"/>
        </w:rPr>
      </w:pPr>
    </w:p>
    <w:p>
      <w:pPr>
        <w:jc w:val="both"/>
        <w:ind w:firstLine="200"/>
        <w:spacing w:after="0" w:line="271" w:lineRule="auto"/>
        <w:rPr>
          <w:sz w:val="20"/>
          <w:szCs w:val="20"/>
          <w:color w:val="auto"/>
        </w:rPr>
      </w:pPr>
      <w:r>
        <w:rPr>
          <w:rFonts w:ascii="Arial" w:cs="Arial" w:eastAsia="Arial" w:hAnsi="Arial"/>
          <w:sz w:val="16"/>
          <w:szCs w:val="16"/>
          <w:color w:val="auto"/>
        </w:rPr>
        <w:t>OMLs granted under the 1969 Petroleum Act, which include all deepwater OMLs, have a maximum term of 20 years without distinction for onshore or offshore l and are renewable, upon 12 months’ written notice, for another period of 20 years. OMLs not held by NNPC are also subject to a mandatory 50-percent relinquishme the first ten years of their duration.</w:t>
      </w:r>
    </w:p>
    <w:p>
      <w:pPr>
        <w:spacing w:after="0" w:line="210"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472440</wp:posOffset>
            </wp:positionV>
            <wp:extent cx="727964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654" w:right="139" w:bottom="1440" w:gutter="0" w:footer="0" w:header="0"/>
        </w:sectPr>
      </w:pPr>
    </w:p>
    <w:bookmarkStart w:id="22" w:name="page23"/>
    <w:bookmarkEnd w:id="22"/>
    <w:p>
      <w:pPr>
        <w:ind w:left="40"/>
        <w:spacing w:after="0"/>
        <w:rPr>
          <w:sz w:val="20"/>
          <w:szCs w:val="20"/>
          <w:color w:val="auto"/>
        </w:rPr>
      </w:pPr>
      <w:r>
        <w:rPr>
          <w:rFonts w:ascii="Arial" w:cs="Arial" w:eastAsia="Arial" w:hAnsi="Arial"/>
          <w:sz w:val="16"/>
          <w:szCs w:val="16"/>
          <w:b w:val="1"/>
          <w:bCs w:val="1"/>
          <w:i w:val="1"/>
          <w:iCs w:val="1"/>
          <w:color w:val="auto"/>
        </w:rPr>
        <w:t>ASIA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Azerbaijan</w:t>
      </w:r>
    </w:p>
    <w:p>
      <w:pPr>
        <w:spacing w:after="0" w:line="8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production sharing agreement (PSA) for the development of the Azeri-Chirag-Gunashli field is established for an initial period of 30 years starting from t execution date in 1994.</w:t>
      </w:r>
    </w:p>
    <w:p>
      <w:pPr>
        <w:spacing w:after="0" w:line="27" w:lineRule="exact"/>
        <w:rPr>
          <w:sz w:val="20"/>
          <w:szCs w:val="20"/>
          <w:color w:val="auto"/>
        </w:rPr>
      </w:pPr>
    </w:p>
    <w:p>
      <w:pPr>
        <w:jc w:val="both"/>
        <w:ind w:firstLine="200"/>
        <w:spacing w:after="0" w:line="271" w:lineRule="auto"/>
        <w:rPr>
          <w:sz w:val="20"/>
          <w:szCs w:val="20"/>
          <w:color w:val="auto"/>
        </w:rPr>
      </w:pPr>
      <w:r>
        <w:rPr>
          <w:rFonts w:ascii="Arial" w:cs="Arial" w:eastAsia="Arial" w:hAnsi="Arial"/>
          <w:sz w:val="16"/>
          <w:szCs w:val="16"/>
          <w:color w:val="auto"/>
        </w:rPr>
        <w:t>Other exploration and production activities are governed by PSAs negotiated with the national oil company of Azerbaijan. The exploration period consists of three years with the possibility of a one to three-year extension. The production period, which includes development, is for 25 years or 35 years with the possibility of one five-year extensions.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Indonesia</w:t>
      </w:r>
    </w:p>
    <w:p>
      <w:pPr>
        <w:spacing w:after="0" w:line="86"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Exploration and production activities in Indonesia are generally governed by cooperation contracts, usually in the form of a production sharing contract (PSC), ne with BPMIGAS, a government agency established in 2002 to manage upstream oil and gas activities. In 2012, Indonesia’s Constitutional Court ruled certain articles relating to BPMIGAS to be unconstitutional, but stated that all existing PSCs signed with BPMIGAS should remain in force until their expiry, and the functions an previously performed by BPMIGAS are to be carried out by the relevant Ministry of the Government of Indonesia until the promulgation of a new oil and gas l presidential decree, SKKMIGAS became the interim successor to BPMIGAS. The current PSCs have an exploration period of six years, which can be extended u years, and an exploitation period of 20 years. PSCs generally require the contractor to relinquish 10 percent to 20 percent of the contract area after three years and g allow the contractor to retain no more than 50 percent to 80 percent of the original contract area after six years, depending on the acreage and terms.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Iraq</w:t>
      </w:r>
    </w:p>
    <w:p>
      <w:pPr>
        <w:spacing w:after="0" w:line="8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Development and production activities in the state-owned oil and gas fields are governed by contracts with regional oil companies of the Iraqi Ministry of ExxonMobil affiliate entered into a contract with South Oil Company of the Iraqi Ministry of Oil for the rights to participate in the development and production activ the West Qurna Phase I oil and gas field effective March 1, 2010. The term of the contract is 20 years with the right to extend for five years. The contract provides recovery plus per-barrel fees for incremental production above specified levels.</w:t>
      </w:r>
    </w:p>
    <w:p>
      <w:pPr>
        <w:spacing w:after="0" w:line="45" w:lineRule="exact"/>
        <w:rPr>
          <w:sz w:val="20"/>
          <w:szCs w:val="20"/>
          <w:color w:val="auto"/>
        </w:rPr>
      </w:pPr>
    </w:p>
    <w:p>
      <w:pPr>
        <w:jc w:val="both"/>
        <w:ind w:firstLine="200"/>
        <w:spacing w:after="0" w:line="321" w:lineRule="auto"/>
        <w:rPr>
          <w:sz w:val="20"/>
          <w:szCs w:val="20"/>
          <w:color w:val="auto"/>
        </w:rPr>
      </w:pPr>
      <w:r>
        <w:rPr>
          <w:rFonts w:ascii="Arial" w:cs="Arial" w:eastAsia="Arial" w:hAnsi="Arial"/>
          <w:sz w:val="15"/>
          <w:szCs w:val="15"/>
          <w:color w:val="auto"/>
        </w:rPr>
        <w:t>Exploration and production activities in the Kurdistan Region of Iraq are governed by production sharing contracts negotiated with the regional government of Kurd 2011. The exploration term is for five years with the possibility of two-year extensions. The production period is 20 years with the right to extend for five years.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Kazakhstan</w:t>
      </w:r>
    </w:p>
    <w:p>
      <w:pPr>
        <w:spacing w:after="0" w:line="8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Onshore exploration and production activities are governed by the production license, exploration license and joint venture agreements negotiated with the Rep Kazakhstan. Existing production operations have a 40-year production period that commenced in 1993.</w:t>
      </w:r>
    </w:p>
    <w:p>
      <w:pPr>
        <w:spacing w:after="0" w:line="27" w:lineRule="exact"/>
        <w:rPr>
          <w:sz w:val="20"/>
          <w:szCs w:val="20"/>
          <w:color w:val="auto"/>
        </w:rPr>
      </w:pPr>
    </w:p>
    <w:p>
      <w:pPr>
        <w:jc w:val="both"/>
        <w:ind w:firstLine="200"/>
        <w:spacing w:after="0" w:line="271" w:lineRule="auto"/>
        <w:rPr>
          <w:sz w:val="20"/>
          <w:szCs w:val="20"/>
          <w:color w:val="auto"/>
        </w:rPr>
      </w:pPr>
      <w:r>
        <w:rPr>
          <w:rFonts w:ascii="Arial" w:cs="Arial" w:eastAsia="Arial" w:hAnsi="Arial"/>
          <w:sz w:val="16"/>
          <w:szCs w:val="16"/>
          <w:color w:val="auto"/>
        </w:rPr>
        <w:t>Offshore exploration and production activities are governed by a production sharing agreement negotiated with the Republic of Kazakhstan. The exploration perio years followed by separate appraisal periods for each discovery. The production period for each discovery, which includes development, is for 20 years from the declaration of commerciality with the possibility of two ten-year extensions.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Malaysia</w:t>
      </w:r>
    </w:p>
    <w:p>
      <w:pPr>
        <w:spacing w:after="0" w:line="86"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Production activities are governed by production sharing contracts (PSCs) negotiated with the national oil company. The PSCs have terms ranging up to 29 ye extensions are subject to the national oil company’s prior written approval. The total production period is 15 to 29 years, depending on the date of the execution of the and the date of first commercial lifting.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Qatar</w:t>
      </w:r>
    </w:p>
    <w:p>
      <w:pPr>
        <w:spacing w:after="0" w:line="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State of Qatar grants gas production development project rights to develop and supply gas from the offshore North Field to permit the economic developm production of gas reserves sufficient to satisfy the gas and LNG sales obligations of these projects.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Republic of Yemen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Jannah production sharing agreement has a development period extending 20 years from first commercial declaration, which was made in June 1995.</w:t>
      </w:r>
    </w:p>
    <w:p>
      <w:pPr>
        <w:spacing w:after="0" w:line="257"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654" w:right="139" w:bottom="1440" w:gutter="0" w:footer="0" w:header="0"/>
        </w:sectPr>
      </w:pPr>
    </w:p>
    <w:bookmarkStart w:id="23" w:name="page24"/>
    <w:bookmarkEnd w:id="23"/>
    <w:p>
      <w:pPr>
        <w:ind w:left="40"/>
        <w:spacing w:after="0"/>
        <w:rPr>
          <w:sz w:val="20"/>
          <w:szCs w:val="20"/>
          <w:color w:val="auto"/>
        </w:rPr>
      </w:pPr>
      <w:r>
        <w:rPr>
          <w:rFonts w:ascii="Arial" w:cs="Arial" w:eastAsia="Arial" w:hAnsi="Arial"/>
          <w:sz w:val="16"/>
          <w:szCs w:val="16"/>
          <w:i w:val="1"/>
          <w:iCs w:val="1"/>
          <w:color w:val="auto"/>
        </w:rPr>
        <w:t>Russia</w:t>
      </w:r>
    </w:p>
    <w:p>
      <w:pPr>
        <w:spacing w:after="0" w:line="86"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Terms for ExxonMobil’s Sakhalin acreage are fixed by the production sharing agreement (PSA) that became effective in 1996 between the Russian government Sakhalin-1 consortium, of which ExxonMobil is the operator. The term of the PSA is 20 years from the Declaration of Commerciality, which would be 2021. The term extended thereafter in ten-year increments as specified in the PSA.</w:t>
      </w:r>
    </w:p>
    <w:p>
      <w:pPr>
        <w:spacing w:after="0" w:line="38" w:lineRule="exact"/>
        <w:rPr>
          <w:sz w:val="20"/>
          <w:szCs w:val="20"/>
          <w:color w:val="auto"/>
        </w:rPr>
      </w:pPr>
    </w:p>
    <w:p>
      <w:pPr>
        <w:jc w:val="both"/>
        <w:ind w:firstLine="221"/>
        <w:spacing w:after="0" w:line="260" w:lineRule="auto"/>
        <w:rPr>
          <w:sz w:val="20"/>
          <w:szCs w:val="20"/>
          <w:color w:val="auto"/>
        </w:rPr>
      </w:pPr>
      <w:r>
        <w:rPr>
          <w:rFonts w:ascii="Arial" w:cs="Arial" w:eastAsia="Arial" w:hAnsi="Arial"/>
          <w:sz w:val="16"/>
          <w:szCs w:val="16"/>
          <w:color w:val="auto"/>
        </w:rPr>
        <w:t>Exploration and production activities in the Kara, Laptev, Chukchi and Black Seas are governed by joint venture agreements concluded with Rosneft in 2013 and 2 cover certain of Rosneft’s offshore licenses. The Kara Sea licenses covered by the joint venture agreements concluded in 2013 extend through 2040 and include an exp period through 2020. Additional licenses in the Kara, Laptev and Chukchi Seas covered by the joint venture agreements concluded in 2014 extend through 2043 and an exploration period through 2023. The Kara, Laptev and Chukchi Sea licenses require development plan submission within eight years of a discovery and devel activities within five years of plan approval. The Black Sea exploration license extends through 2017 and a discovery is the basis for obtaining a license for productio to the relevant portion of “Note 7: Equity Company Information” of the Financial Section of this report for additional information on the Corporation’s particip Rosneft joint venture activities.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Thailand</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The Petroleum Act of 1971 allows production under ExxonMobil’s concession for 30 years with a ten-year extension at terms generally prevalent at the time.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United Arab Emirates</w:t>
      </w:r>
    </w:p>
    <w:p>
      <w:pPr>
        <w:spacing w:after="0" w:line="86"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Exploration and production activities for the major onshore oil fields in the Emirate of Abu Dhabi were governed by a 75-year oil concession agreement executed i which expired in January 2014. An interest in the development and production activities of the Upper Zakum field, a major offshore field, was acquired effective as of 2006, for a term expiring March 2026, and in 2013 the governing agreements were extended to 2041.</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AUSTRALIA/OCEANIA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Australia</w:t>
      </w:r>
    </w:p>
    <w:p>
      <w:pPr>
        <w:spacing w:after="0" w:line="86"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Exploration and production activities conducted offshore in Commonwealth waters are governed by Federal legislation. Exploration permits are granted for an initial six years with two possible five-year renewal periods. Retention leases may be granted for resources that are not commercially viable at the time of application, expected to become commercially viable within 15 years. These are granted for periods of five years and renewals may be requested. Prior to July 1998, production were granted initially for 21 years, with a further renewal of 21 years and thereafter “indefinitely”, i.e., for the life of the field. Effective from July 1998, new pro licenses are granted “indefinitely”. In each case, a production license may be terminated if no production operations have been carried on for five years.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Papua New Guinea</w:t>
      </w:r>
    </w:p>
    <w:p>
      <w:pPr>
        <w:spacing w:after="0" w:line="86"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Exploration and production activities are governed by the Oil and Gas Act. Petroleum Prospecting licenses are granted for an initial term of six years with a fi extension possible (an additional extension of three years is possible in certain circumstances). Generally, a 50-percent relinquishment of the license area is required at of the initial six-year term, if extended. Petroleum Development licenses are granted for an initial 25-year period. An extension of up to 20 years may be grante Minister’s discretion. Petroleum Retention licenses may be granted for gas resources that are not commercially viable at the time of application, but may commercially viable within the maximum possible retention time of 15 years. Petroleum Retention licenses are granted for five-year terms, and may be extended Minister’s discretion, twice for the maximum retention time of 15 years. Extensions of Petroleum Retention licenses may be for periods of less than one year, ren annually, if the Minister considers at the time of extension that the resources could become commercially viable in less than five years.</w:t>
      </w:r>
    </w:p>
    <w:p>
      <w:pPr>
        <w:spacing w:after="0" w:line="3"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654" w:right="1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Information with regard to the Downstream segment follows:</w:t>
      </w:r>
    </w:p>
    <w:p>
      <w:pPr>
        <w:spacing w:after="0" w:line="90" w:lineRule="exact"/>
        <w:rPr>
          <w:sz w:val="20"/>
          <w:szCs w:val="20"/>
          <w:color w:val="auto"/>
        </w:rPr>
      </w:pPr>
    </w:p>
    <w:p>
      <w:pPr>
        <w:spacing w:after="0" w:line="321" w:lineRule="auto"/>
        <w:rPr>
          <w:sz w:val="20"/>
          <w:szCs w:val="20"/>
          <w:color w:val="auto"/>
        </w:rPr>
      </w:pPr>
      <w:r>
        <w:rPr>
          <w:rFonts w:ascii="Arial" w:cs="Arial" w:eastAsia="Arial" w:hAnsi="Arial"/>
          <w:sz w:val="15"/>
          <w:szCs w:val="15"/>
          <w:color w:val="auto"/>
        </w:rPr>
        <w:t>ExxonMobil’s Downstream segment manufactures and sells petroleum products. The refining and supply operations encompass a global network of manufacturing transportation systems, and distribution centers that provide a range of fuels, lubricants and other products and feedstocks to our customers around the world.</w:t>
      </w:r>
    </w:p>
    <w:p>
      <w:pPr>
        <w:spacing w:after="0" w:line="74"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 xml:space="preserve">Refining Capacity At Year-End 2014 </w:t>
      </w:r>
      <w:r>
        <w:rPr>
          <w:rFonts w:ascii="Arial" w:cs="Arial" w:eastAsia="Arial" w:hAnsi="Arial"/>
          <w:sz w:val="13"/>
          <w:szCs w:val="13"/>
          <w:i w:val="1"/>
          <w:iCs w:val="1"/>
          <w:color w:val="auto"/>
        </w:rPr>
        <w:t>(1)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1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6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5"/>
              </w:rPr>
              <w:t>ExxonMobil</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ExxonMobi</w:t>
            </w:r>
          </w:p>
        </w:tc>
      </w:tr>
      <w:tr>
        <w:trPr>
          <w:trHeight w:val="196"/>
        </w:trPr>
        <w:tc>
          <w:tcPr>
            <w:tcW w:w="31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 xml:space="preserve">Share KBD </w:t>
            </w:r>
            <w:r>
              <w:rPr>
                <w:rFonts w:ascii="Arial" w:cs="Arial" w:eastAsia="Arial" w:hAnsi="Arial"/>
                <w:sz w:val="13"/>
                <w:szCs w:val="13"/>
                <w:b w:val="1"/>
                <w:bCs w:val="1"/>
                <w:i w:val="1"/>
                <w:iCs w:val="1"/>
                <w:color w:val="auto"/>
                <w:w w:val="98"/>
              </w:rPr>
              <w:t>(2)</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Interest %</w:t>
            </w:r>
          </w:p>
        </w:tc>
      </w:tr>
      <w:tr>
        <w:trPr>
          <w:trHeight w:val="23"/>
        </w:trPr>
        <w:tc>
          <w:tcPr>
            <w:tcW w:w="312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6"/>
        </w:trPr>
        <w:tc>
          <w:tcPr>
            <w:tcW w:w="3120" w:type="dxa"/>
            <w:vAlign w:val="bottom"/>
          </w:tcPr>
          <w:p>
            <w:pPr>
              <w:spacing w:after="0" w:line="176" w:lineRule="exact"/>
              <w:rPr>
                <w:sz w:val="20"/>
                <w:szCs w:val="20"/>
                <w:color w:val="auto"/>
              </w:rPr>
            </w:pPr>
            <w:r>
              <w:rPr>
                <w:rFonts w:ascii="Arial" w:cs="Arial" w:eastAsia="Arial" w:hAnsi="Arial"/>
                <w:sz w:val="16"/>
                <w:szCs w:val="16"/>
                <w:b w:val="1"/>
                <w:bCs w:val="1"/>
                <w:color w:val="auto"/>
              </w:rPr>
              <w:t>United States</w:t>
            </w:r>
          </w:p>
        </w:tc>
        <w:tc>
          <w:tcPr>
            <w:tcW w:w="5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6"/>
        </w:trPr>
        <w:tc>
          <w:tcPr>
            <w:tcW w:w="3120" w:type="dxa"/>
            <w:vAlign w:val="bottom"/>
          </w:tcPr>
          <w:p>
            <w:pPr>
              <w:ind w:left="240"/>
              <w:spacing w:after="0"/>
              <w:rPr>
                <w:sz w:val="20"/>
                <w:szCs w:val="20"/>
                <w:color w:val="auto"/>
              </w:rPr>
            </w:pPr>
            <w:r>
              <w:rPr>
                <w:rFonts w:ascii="Arial" w:cs="Arial" w:eastAsia="Arial" w:hAnsi="Arial"/>
                <w:sz w:val="16"/>
                <w:szCs w:val="16"/>
                <w:color w:val="auto"/>
              </w:rPr>
              <w:t>Torrance</w:t>
            </w:r>
          </w:p>
        </w:tc>
        <w:tc>
          <w:tcPr>
            <w:tcW w:w="5140" w:type="dxa"/>
            <w:vAlign w:val="bottom"/>
          </w:tcPr>
          <w:p>
            <w:pPr>
              <w:ind w:left="1240"/>
              <w:spacing w:after="0"/>
              <w:rPr>
                <w:sz w:val="20"/>
                <w:szCs w:val="20"/>
                <w:color w:val="auto"/>
              </w:rPr>
            </w:pPr>
            <w:r>
              <w:rPr>
                <w:rFonts w:ascii="Arial" w:cs="Arial" w:eastAsia="Arial" w:hAnsi="Arial"/>
                <w:sz w:val="16"/>
                <w:szCs w:val="16"/>
                <w:color w:val="auto"/>
              </w:rPr>
              <w:t>California</w:t>
            </w:r>
          </w:p>
        </w:tc>
        <w:tc>
          <w:tcPr>
            <w:tcW w:w="1140" w:type="dxa"/>
            <w:vAlign w:val="bottom"/>
          </w:tcPr>
          <w:p>
            <w:pPr>
              <w:jc w:val="right"/>
              <w:spacing w:after="0"/>
              <w:rPr>
                <w:sz w:val="20"/>
                <w:szCs w:val="20"/>
                <w:color w:val="auto"/>
              </w:rPr>
            </w:pPr>
            <w:r>
              <w:rPr>
                <w:rFonts w:ascii="Arial" w:cs="Arial" w:eastAsia="Arial" w:hAnsi="Arial"/>
                <w:sz w:val="16"/>
                <w:szCs w:val="16"/>
                <w:color w:val="auto"/>
              </w:rPr>
              <w:t>150</w:t>
            </w: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196"/>
        </w:trPr>
        <w:tc>
          <w:tcPr>
            <w:tcW w:w="3120" w:type="dxa"/>
            <w:vAlign w:val="bottom"/>
          </w:tcPr>
          <w:p>
            <w:pPr>
              <w:ind w:left="240"/>
              <w:spacing w:after="0"/>
              <w:rPr>
                <w:sz w:val="20"/>
                <w:szCs w:val="20"/>
                <w:color w:val="auto"/>
              </w:rPr>
            </w:pPr>
            <w:r>
              <w:rPr>
                <w:rFonts w:ascii="Arial" w:cs="Arial" w:eastAsia="Arial" w:hAnsi="Arial"/>
                <w:sz w:val="16"/>
                <w:szCs w:val="16"/>
                <w:color w:val="auto"/>
              </w:rPr>
              <w:t>Joliet</w:t>
            </w:r>
          </w:p>
        </w:tc>
        <w:tc>
          <w:tcPr>
            <w:tcW w:w="5140" w:type="dxa"/>
            <w:vAlign w:val="bottom"/>
          </w:tcPr>
          <w:p>
            <w:pPr>
              <w:ind w:left="1240"/>
              <w:spacing w:after="0"/>
              <w:rPr>
                <w:sz w:val="20"/>
                <w:szCs w:val="20"/>
                <w:color w:val="auto"/>
              </w:rPr>
            </w:pPr>
            <w:r>
              <w:rPr>
                <w:rFonts w:ascii="Arial" w:cs="Arial" w:eastAsia="Arial" w:hAnsi="Arial"/>
                <w:sz w:val="16"/>
                <w:szCs w:val="16"/>
                <w:color w:val="auto"/>
              </w:rPr>
              <w:t>Illinois</w:t>
            </w:r>
          </w:p>
        </w:tc>
        <w:tc>
          <w:tcPr>
            <w:tcW w:w="1140" w:type="dxa"/>
            <w:vAlign w:val="bottom"/>
          </w:tcPr>
          <w:p>
            <w:pPr>
              <w:jc w:val="right"/>
              <w:spacing w:after="0"/>
              <w:rPr>
                <w:sz w:val="20"/>
                <w:szCs w:val="20"/>
                <w:color w:val="auto"/>
              </w:rPr>
            </w:pPr>
            <w:r>
              <w:rPr>
                <w:rFonts w:ascii="Arial" w:cs="Arial" w:eastAsia="Arial" w:hAnsi="Arial"/>
                <w:sz w:val="16"/>
                <w:szCs w:val="16"/>
                <w:color w:val="auto"/>
              </w:rPr>
              <w:t>238</w:t>
            </w: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196"/>
        </w:trPr>
        <w:tc>
          <w:tcPr>
            <w:tcW w:w="3120" w:type="dxa"/>
            <w:vAlign w:val="bottom"/>
          </w:tcPr>
          <w:p>
            <w:pPr>
              <w:ind w:left="240"/>
              <w:spacing w:after="0"/>
              <w:rPr>
                <w:sz w:val="20"/>
                <w:szCs w:val="20"/>
                <w:color w:val="auto"/>
              </w:rPr>
            </w:pPr>
            <w:r>
              <w:rPr>
                <w:rFonts w:ascii="Arial" w:cs="Arial" w:eastAsia="Arial" w:hAnsi="Arial"/>
                <w:sz w:val="16"/>
                <w:szCs w:val="16"/>
                <w:color w:val="auto"/>
              </w:rPr>
              <w:t>Baton Rouge</w:t>
            </w:r>
          </w:p>
        </w:tc>
        <w:tc>
          <w:tcPr>
            <w:tcW w:w="5140" w:type="dxa"/>
            <w:vAlign w:val="bottom"/>
          </w:tcPr>
          <w:p>
            <w:pPr>
              <w:ind w:left="1240"/>
              <w:spacing w:after="0"/>
              <w:rPr>
                <w:sz w:val="20"/>
                <w:szCs w:val="20"/>
                <w:color w:val="auto"/>
              </w:rPr>
            </w:pPr>
            <w:r>
              <w:rPr>
                <w:rFonts w:ascii="Arial" w:cs="Arial" w:eastAsia="Arial" w:hAnsi="Arial"/>
                <w:sz w:val="16"/>
                <w:szCs w:val="16"/>
                <w:color w:val="auto"/>
              </w:rPr>
              <w:t>Louisiana</w:t>
            </w:r>
          </w:p>
        </w:tc>
        <w:tc>
          <w:tcPr>
            <w:tcW w:w="1140" w:type="dxa"/>
            <w:vAlign w:val="bottom"/>
          </w:tcPr>
          <w:p>
            <w:pPr>
              <w:jc w:val="right"/>
              <w:spacing w:after="0"/>
              <w:rPr>
                <w:sz w:val="20"/>
                <w:szCs w:val="20"/>
                <w:color w:val="auto"/>
              </w:rPr>
            </w:pPr>
            <w:r>
              <w:rPr>
                <w:rFonts w:ascii="Arial" w:cs="Arial" w:eastAsia="Arial" w:hAnsi="Arial"/>
                <w:sz w:val="16"/>
                <w:szCs w:val="16"/>
                <w:color w:val="auto"/>
              </w:rPr>
              <w:t>502</w:t>
            </w: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196"/>
        </w:trPr>
        <w:tc>
          <w:tcPr>
            <w:tcW w:w="3120" w:type="dxa"/>
            <w:vAlign w:val="bottom"/>
          </w:tcPr>
          <w:p>
            <w:pPr>
              <w:ind w:left="240"/>
              <w:spacing w:after="0"/>
              <w:rPr>
                <w:sz w:val="20"/>
                <w:szCs w:val="20"/>
                <w:color w:val="auto"/>
              </w:rPr>
            </w:pPr>
            <w:r>
              <w:rPr>
                <w:rFonts w:ascii="Arial" w:cs="Arial" w:eastAsia="Arial" w:hAnsi="Arial"/>
                <w:sz w:val="16"/>
                <w:szCs w:val="16"/>
                <w:color w:val="auto"/>
              </w:rPr>
              <w:t>Baytown</w:t>
            </w:r>
          </w:p>
        </w:tc>
        <w:tc>
          <w:tcPr>
            <w:tcW w:w="5140" w:type="dxa"/>
            <w:vAlign w:val="bottom"/>
          </w:tcPr>
          <w:p>
            <w:pPr>
              <w:ind w:left="1240"/>
              <w:spacing w:after="0"/>
              <w:rPr>
                <w:sz w:val="20"/>
                <w:szCs w:val="20"/>
                <w:color w:val="auto"/>
              </w:rPr>
            </w:pPr>
            <w:r>
              <w:rPr>
                <w:rFonts w:ascii="Arial" w:cs="Arial" w:eastAsia="Arial" w:hAnsi="Arial"/>
                <w:sz w:val="16"/>
                <w:szCs w:val="16"/>
                <w:color w:val="auto"/>
              </w:rPr>
              <w:t>Texas</w:t>
            </w:r>
          </w:p>
        </w:tc>
        <w:tc>
          <w:tcPr>
            <w:tcW w:w="1140" w:type="dxa"/>
            <w:vAlign w:val="bottom"/>
          </w:tcPr>
          <w:p>
            <w:pPr>
              <w:jc w:val="right"/>
              <w:spacing w:after="0"/>
              <w:rPr>
                <w:sz w:val="20"/>
                <w:szCs w:val="20"/>
                <w:color w:val="auto"/>
              </w:rPr>
            </w:pPr>
            <w:r>
              <w:rPr>
                <w:rFonts w:ascii="Arial" w:cs="Arial" w:eastAsia="Arial" w:hAnsi="Arial"/>
                <w:sz w:val="16"/>
                <w:szCs w:val="16"/>
                <w:color w:val="auto"/>
              </w:rPr>
              <w:t>561</w:t>
            </w: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196"/>
        </w:trPr>
        <w:tc>
          <w:tcPr>
            <w:tcW w:w="3120" w:type="dxa"/>
            <w:vAlign w:val="bottom"/>
          </w:tcPr>
          <w:p>
            <w:pPr>
              <w:ind w:left="240"/>
              <w:spacing w:after="0"/>
              <w:rPr>
                <w:sz w:val="20"/>
                <w:szCs w:val="20"/>
                <w:color w:val="auto"/>
              </w:rPr>
            </w:pPr>
            <w:r>
              <w:rPr>
                <w:rFonts w:ascii="Arial" w:cs="Arial" w:eastAsia="Arial" w:hAnsi="Arial"/>
                <w:sz w:val="16"/>
                <w:szCs w:val="16"/>
                <w:color w:val="auto"/>
              </w:rPr>
              <w:t>Beaumont</w:t>
            </w:r>
          </w:p>
        </w:tc>
        <w:tc>
          <w:tcPr>
            <w:tcW w:w="5140" w:type="dxa"/>
            <w:vAlign w:val="bottom"/>
          </w:tcPr>
          <w:p>
            <w:pPr>
              <w:ind w:left="1240"/>
              <w:spacing w:after="0"/>
              <w:rPr>
                <w:sz w:val="20"/>
                <w:szCs w:val="20"/>
                <w:color w:val="auto"/>
              </w:rPr>
            </w:pPr>
            <w:r>
              <w:rPr>
                <w:rFonts w:ascii="Arial" w:cs="Arial" w:eastAsia="Arial" w:hAnsi="Arial"/>
                <w:sz w:val="16"/>
                <w:szCs w:val="16"/>
                <w:color w:val="auto"/>
              </w:rPr>
              <w:t>Texas</w:t>
            </w:r>
          </w:p>
        </w:tc>
        <w:tc>
          <w:tcPr>
            <w:tcW w:w="1140" w:type="dxa"/>
            <w:vAlign w:val="bottom"/>
          </w:tcPr>
          <w:p>
            <w:pPr>
              <w:jc w:val="right"/>
              <w:spacing w:after="0"/>
              <w:rPr>
                <w:sz w:val="20"/>
                <w:szCs w:val="20"/>
                <w:color w:val="auto"/>
              </w:rPr>
            </w:pPr>
            <w:r>
              <w:rPr>
                <w:rFonts w:ascii="Arial" w:cs="Arial" w:eastAsia="Arial" w:hAnsi="Arial"/>
                <w:sz w:val="16"/>
                <w:szCs w:val="16"/>
                <w:color w:val="auto"/>
              </w:rPr>
              <w:t>345</w:t>
            </w: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08"/>
        </w:trPr>
        <w:tc>
          <w:tcPr>
            <w:tcW w:w="3120" w:type="dxa"/>
            <w:vAlign w:val="bottom"/>
          </w:tcPr>
          <w:p>
            <w:pPr>
              <w:ind w:left="240"/>
              <w:spacing w:after="0"/>
              <w:rPr>
                <w:sz w:val="20"/>
                <w:szCs w:val="20"/>
                <w:color w:val="auto"/>
              </w:rPr>
            </w:pPr>
            <w:r>
              <w:rPr>
                <w:rFonts w:ascii="Arial" w:cs="Arial" w:eastAsia="Arial" w:hAnsi="Arial"/>
                <w:sz w:val="16"/>
                <w:szCs w:val="16"/>
                <w:color w:val="auto"/>
              </w:rPr>
              <w:t>Other (2 refineries)</w:t>
            </w:r>
          </w:p>
        </w:tc>
        <w:tc>
          <w:tcPr>
            <w:tcW w:w="51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1"/>
        </w:trPr>
        <w:tc>
          <w:tcPr>
            <w:tcW w:w="3120" w:type="dxa"/>
            <w:vAlign w:val="bottom"/>
          </w:tcPr>
          <w:p>
            <w:pPr>
              <w:ind w:left="500"/>
              <w:spacing w:after="0"/>
              <w:rPr>
                <w:sz w:val="20"/>
                <w:szCs w:val="20"/>
                <w:color w:val="auto"/>
              </w:rPr>
            </w:pPr>
            <w:r>
              <w:rPr>
                <w:rFonts w:ascii="Arial" w:cs="Arial" w:eastAsia="Arial" w:hAnsi="Arial"/>
                <w:sz w:val="16"/>
                <w:szCs w:val="16"/>
                <w:color w:val="auto"/>
              </w:rPr>
              <w:t>Total United States</w:t>
            </w:r>
          </w:p>
        </w:tc>
        <w:tc>
          <w:tcPr>
            <w:tcW w:w="5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1,951</w:t>
            </w: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68"/>
        </w:trPr>
        <w:tc>
          <w:tcPr>
            <w:tcW w:w="3120" w:type="dxa"/>
            <w:vAlign w:val="bottom"/>
          </w:tcPr>
          <w:p>
            <w:pPr>
              <w:spacing w:after="0"/>
              <w:rPr>
                <w:sz w:val="20"/>
                <w:szCs w:val="20"/>
                <w:color w:val="auto"/>
              </w:rPr>
            </w:pPr>
            <w:r>
              <w:rPr>
                <w:rFonts w:ascii="Arial" w:cs="Arial" w:eastAsia="Arial" w:hAnsi="Arial"/>
                <w:sz w:val="16"/>
                <w:szCs w:val="16"/>
                <w:b w:val="1"/>
                <w:bCs w:val="1"/>
                <w:color w:val="auto"/>
              </w:rPr>
              <w:t>Canada</w:t>
            </w:r>
          </w:p>
        </w:tc>
        <w:tc>
          <w:tcPr>
            <w:tcW w:w="5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3120" w:type="dxa"/>
            <w:vAlign w:val="bottom"/>
          </w:tcPr>
          <w:p>
            <w:pPr>
              <w:ind w:left="240"/>
              <w:spacing w:after="0"/>
              <w:rPr>
                <w:sz w:val="20"/>
                <w:szCs w:val="20"/>
                <w:color w:val="auto"/>
              </w:rPr>
            </w:pPr>
            <w:r>
              <w:rPr>
                <w:rFonts w:ascii="Arial" w:cs="Arial" w:eastAsia="Arial" w:hAnsi="Arial"/>
                <w:sz w:val="16"/>
                <w:szCs w:val="16"/>
                <w:color w:val="auto"/>
              </w:rPr>
              <w:t>Strathcona</w:t>
            </w:r>
          </w:p>
        </w:tc>
        <w:tc>
          <w:tcPr>
            <w:tcW w:w="5140" w:type="dxa"/>
            <w:vAlign w:val="bottom"/>
          </w:tcPr>
          <w:p>
            <w:pPr>
              <w:ind w:left="1240"/>
              <w:spacing w:after="0"/>
              <w:rPr>
                <w:sz w:val="20"/>
                <w:szCs w:val="20"/>
                <w:color w:val="auto"/>
              </w:rPr>
            </w:pPr>
            <w:r>
              <w:rPr>
                <w:rFonts w:ascii="Arial" w:cs="Arial" w:eastAsia="Arial" w:hAnsi="Arial"/>
                <w:sz w:val="16"/>
                <w:szCs w:val="16"/>
                <w:color w:val="auto"/>
              </w:rPr>
              <w:t>Alberta</w:t>
            </w:r>
          </w:p>
        </w:tc>
        <w:tc>
          <w:tcPr>
            <w:tcW w:w="1140" w:type="dxa"/>
            <w:vAlign w:val="bottom"/>
          </w:tcPr>
          <w:p>
            <w:pPr>
              <w:jc w:val="right"/>
              <w:spacing w:after="0"/>
              <w:rPr>
                <w:sz w:val="20"/>
                <w:szCs w:val="20"/>
                <w:color w:val="auto"/>
              </w:rPr>
            </w:pPr>
            <w:r>
              <w:rPr>
                <w:rFonts w:ascii="Arial" w:cs="Arial" w:eastAsia="Arial" w:hAnsi="Arial"/>
                <w:sz w:val="16"/>
                <w:szCs w:val="16"/>
                <w:color w:val="auto"/>
              </w:rPr>
              <w:t>189</w:t>
            </w: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69.6</w:t>
            </w:r>
          </w:p>
        </w:tc>
      </w:tr>
      <w:tr>
        <w:trPr>
          <w:trHeight w:val="196"/>
        </w:trPr>
        <w:tc>
          <w:tcPr>
            <w:tcW w:w="3120" w:type="dxa"/>
            <w:vAlign w:val="bottom"/>
          </w:tcPr>
          <w:p>
            <w:pPr>
              <w:ind w:left="240"/>
              <w:spacing w:after="0"/>
              <w:rPr>
                <w:sz w:val="20"/>
                <w:szCs w:val="20"/>
                <w:color w:val="auto"/>
              </w:rPr>
            </w:pPr>
            <w:r>
              <w:rPr>
                <w:rFonts w:ascii="Arial" w:cs="Arial" w:eastAsia="Arial" w:hAnsi="Arial"/>
                <w:sz w:val="16"/>
                <w:szCs w:val="16"/>
                <w:color w:val="auto"/>
              </w:rPr>
              <w:t>Nanticoke</w:t>
            </w:r>
          </w:p>
        </w:tc>
        <w:tc>
          <w:tcPr>
            <w:tcW w:w="5140" w:type="dxa"/>
            <w:vAlign w:val="bottom"/>
          </w:tcPr>
          <w:p>
            <w:pPr>
              <w:ind w:left="1240"/>
              <w:spacing w:after="0"/>
              <w:rPr>
                <w:sz w:val="20"/>
                <w:szCs w:val="20"/>
                <w:color w:val="auto"/>
              </w:rPr>
            </w:pPr>
            <w:r>
              <w:rPr>
                <w:rFonts w:ascii="Arial" w:cs="Arial" w:eastAsia="Arial" w:hAnsi="Arial"/>
                <w:sz w:val="16"/>
                <w:szCs w:val="16"/>
                <w:color w:val="auto"/>
              </w:rPr>
              <w:t>Ontario</w:t>
            </w:r>
          </w:p>
        </w:tc>
        <w:tc>
          <w:tcPr>
            <w:tcW w:w="1140" w:type="dxa"/>
            <w:vAlign w:val="bottom"/>
          </w:tcPr>
          <w:p>
            <w:pPr>
              <w:jc w:val="right"/>
              <w:spacing w:after="0"/>
              <w:rPr>
                <w:sz w:val="20"/>
                <w:szCs w:val="20"/>
                <w:color w:val="auto"/>
              </w:rPr>
            </w:pPr>
            <w:r>
              <w:rPr>
                <w:rFonts w:ascii="Arial" w:cs="Arial" w:eastAsia="Arial" w:hAnsi="Arial"/>
                <w:sz w:val="16"/>
                <w:szCs w:val="16"/>
                <w:color w:val="auto"/>
              </w:rPr>
              <w:t>113</w:t>
            </w: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69.6</w:t>
            </w:r>
          </w:p>
        </w:tc>
      </w:tr>
      <w:tr>
        <w:trPr>
          <w:trHeight w:val="208"/>
        </w:trPr>
        <w:tc>
          <w:tcPr>
            <w:tcW w:w="3120" w:type="dxa"/>
            <w:vAlign w:val="bottom"/>
          </w:tcPr>
          <w:p>
            <w:pPr>
              <w:ind w:left="240"/>
              <w:spacing w:after="0"/>
              <w:rPr>
                <w:sz w:val="20"/>
                <w:szCs w:val="20"/>
                <w:color w:val="auto"/>
              </w:rPr>
            </w:pPr>
            <w:r>
              <w:rPr>
                <w:rFonts w:ascii="Arial" w:cs="Arial" w:eastAsia="Arial" w:hAnsi="Arial"/>
                <w:sz w:val="16"/>
                <w:szCs w:val="16"/>
                <w:color w:val="auto"/>
              </w:rPr>
              <w:t>Sarnia</w:t>
            </w:r>
          </w:p>
        </w:tc>
        <w:tc>
          <w:tcPr>
            <w:tcW w:w="5140" w:type="dxa"/>
            <w:vAlign w:val="bottom"/>
          </w:tcPr>
          <w:p>
            <w:pPr>
              <w:ind w:left="1240"/>
              <w:spacing w:after="0"/>
              <w:rPr>
                <w:sz w:val="20"/>
                <w:szCs w:val="20"/>
                <w:color w:val="auto"/>
              </w:rPr>
            </w:pPr>
            <w:r>
              <w:rPr>
                <w:rFonts w:ascii="Arial" w:cs="Arial" w:eastAsia="Arial" w:hAnsi="Arial"/>
                <w:sz w:val="16"/>
                <w:szCs w:val="16"/>
                <w:color w:val="auto"/>
              </w:rPr>
              <w:t>Ontario</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69.6</w:t>
            </w:r>
          </w:p>
        </w:tc>
      </w:tr>
      <w:tr>
        <w:trPr>
          <w:trHeight w:val="201"/>
        </w:trPr>
        <w:tc>
          <w:tcPr>
            <w:tcW w:w="3120" w:type="dxa"/>
            <w:vAlign w:val="bottom"/>
          </w:tcPr>
          <w:p>
            <w:pPr>
              <w:ind w:left="480"/>
              <w:spacing w:after="0"/>
              <w:rPr>
                <w:sz w:val="20"/>
                <w:szCs w:val="20"/>
                <w:color w:val="auto"/>
              </w:rPr>
            </w:pPr>
            <w:r>
              <w:rPr>
                <w:rFonts w:ascii="Arial" w:cs="Arial" w:eastAsia="Arial" w:hAnsi="Arial"/>
                <w:sz w:val="16"/>
                <w:szCs w:val="16"/>
                <w:color w:val="auto"/>
              </w:rPr>
              <w:t>Total Canada</w:t>
            </w:r>
          </w:p>
        </w:tc>
        <w:tc>
          <w:tcPr>
            <w:tcW w:w="5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421</w:t>
            </w: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68"/>
        </w:trPr>
        <w:tc>
          <w:tcPr>
            <w:tcW w:w="3120" w:type="dxa"/>
            <w:vAlign w:val="bottom"/>
          </w:tcPr>
          <w:p>
            <w:pPr>
              <w:spacing w:after="0"/>
              <w:rPr>
                <w:sz w:val="20"/>
                <w:szCs w:val="20"/>
                <w:color w:val="auto"/>
              </w:rPr>
            </w:pPr>
            <w:r>
              <w:rPr>
                <w:rFonts w:ascii="Arial" w:cs="Arial" w:eastAsia="Arial" w:hAnsi="Arial"/>
                <w:sz w:val="16"/>
                <w:szCs w:val="16"/>
                <w:b w:val="1"/>
                <w:bCs w:val="1"/>
                <w:color w:val="auto"/>
              </w:rPr>
              <w:t>Europe</w:t>
            </w:r>
          </w:p>
        </w:tc>
        <w:tc>
          <w:tcPr>
            <w:tcW w:w="5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3120" w:type="dxa"/>
            <w:vAlign w:val="bottom"/>
          </w:tcPr>
          <w:p>
            <w:pPr>
              <w:ind w:left="240"/>
              <w:spacing w:after="0"/>
              <w:rPr>
                <w:sz w:val="20"/>
                <w:szCs w:val="20"/>
                <w:color w:val="auto"/>
              </w:rPr>
            </w:pPr>
            <w:r>
              <w:rPr>
                <w:rFonts w:ascii="Arial" w:cs="Arial" w:eastAsia="Arial" w:hAnsi="Arial"/>
                <w:sz w:val="16"/>
                <w:szCs w:val="16"/>
                <w:color w:val="auto"/>
              </w:rPr>
              <w:t>Antwerp</w:t>
            </w:r>
          </w:p>
        </w:tc>
        <w:tc>
          <w:tcPr>
            <w:tcW w:w="5140" w:type="dxa"/>
            <w:vAlign w:val="bottom"/>
          </w:tcPr>
          <w:p>
            <w:pPr>
              <w:ind w:left="1240"/>
              <w:spacing w:after="0"/>
              <w:rPr>
                <w:sz w:val="20"/>
                <w:szCs w:val="20"/>
                <w:color w:val="auto"/>
              </w:rPr>
            </w:pPr>
            <w:r>
              <w:rPr>
                <w:rFonts w:ascii="Arial" w:cs="Arial" w:eastAsia="Arial" w:hAnsi="Arial"/>
                <w:sz w:val="16"/>
                <w:szCs w:val="16"/>
                <w:color w:val="auto"/>
              </w:rPr>
              <w:t>Belgium</w:t>
            </w:r>
          </w:p>
        </w:tc>
        <w:tc>
          <w:tcPr>
            <w:tcW w:w="1140" w:type="dxa"/>
            <w:vAlign w:val="bottom"/>
          </w:tcPr>
          <w:p>
            <w:pPr>
              <w:jc w:val="right"/>
              <w:spacing w:after="0"/>
              <w:rPr>
                <w:sz w:val="20"/>
                <w:szCs w:val="20"/>
                <w:color w:val="auto"/>
              </w:rPr>
            </w:pPr>
            <w:r>
              <w:rPr>
                <w:rFonts w:ascii="Arial" w:cs="Arial" w:eastAsia="Arial" w:hAnsi="Arial"/>
                <w:sz w:val="16"/>
                <w:szCs w:val="16"/>
                <w:color w:val="auto"/>
              </w:rPr>
              <w:t>307</w:t>
            </w: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196"/>
        </w:trPr>
        <w:tc>
          <w:tcPr>
            <w:tcW w:w="3120" w:type="dxa"/>
            <w:vAlign w:val="bottom"/>
          </w:tcPr>
          <w:p>
            <w:pPr>
              <w:ind w:left="240"/>
              <w:spacing w:after="0"/>
              <w:rPr>
                <w:sz w:val="20"/>
                <w:szCs w:val="20"/>
                <w:color w:val="auto"/>
              </w:rPr>
            </w:pPr>
            <w:r>
              <w:rPr>
                <w:rFonts w:ascii="Arial" w:cs="Arial" w:eastAsia="Arial" w:hAnsi="Arial"/>
                <w:sz w:val="16"/>
                <w:szCs w:val="16"/>
                <w:color w:val="auto"/>
              </w:rPr>
              <w:t>Fos-sur-Mer</w:t>
            </w:r>
          </w:p>
        </w:tc>
        <w:tc>
          <w:tcPr>
            <w:tcW w:w="5140" w:type="dxa"/>
            <w:vAlign w:val="bottom"/>
          </w:tcPr>
          <w:p>
            <w:pPr>
              <w:ind w:left="1240"/>
              <w:spacing w:after="0"/>
              <w:rPr>
                <w:sz w:val="20"/>
                <w:szCs w:val="20"/>
                <w:color w:val="auto"/>
              </w:rPr>
            </w:pPr>
            <w:r>
              <w:rPr>
                <w:rFonts w:ascii="Arial" w:cs="Arial" w:eastAsia="Arial" w:hAnsi="Arial"/>
                <w:sz w:val="16"/>
                <w:szCs w:val="16"/>
                <w:color w:val="auto"/>
              </w:rPr>
              <w:t>France</w:t>
            </w:r>
          </w:p>
        </w:tc>
        <w:tc>
          <w:tcPr>
            <w:tcW w:w="1140" w:type="dxa"/>
            <w:vAlign w:val="bottom"/>
          </w:tcPr>
          <w:p>
            <w:pPr>
              <w:jc w:val="right"/>
              <w:spacing w:after="0"/>
              <w:rPr>
                <w:sz w:val="20"/>
                <w:szCs w:val="20"/>
                <w:color w:val="auto"/>
              </w:rPr>
            </w:pPr>
            <w:r>
              <w:rPr>
                <w:rFonts w:ascii="Arial" w:cs="Arial" w:eastAsia="Arial" w:hAnsi="Arial"/>
                <w:sz w:val="16"/>
                <w:szCs w:val="16"/>
                <w:color w:val="auto"/>
              </w:rPr>
              <w:t>133</w:t>
            </w: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82.9</w:t>
            </w:r>
          </w:p>
        </w:tc>
      </w:tr>
      <w:tr>
        <w:trPr>
          <w:trHeight w:val="196"/>
        </w:trPr>
        <w:tc>
          <w:tcPr>
            <w:tcW w:w="3120" w:type="dxa"/>
            <w:vAlign w:val="bottom"/>
          </w:tcPr>
          <w:p>
            <w:pPr>
              <w:ind w:left="240"/>
              <w:spacing w:after="0"/>
              <w:rPr>
                <w:sz w:val="20"/>
                <w:szCs w:val="20"/>
                <w:color w:val="auto"/>
              </w:rPr>
            </w:pPr>
            <w:r>
              <w:rPr>
                <w:rFonts w:ascii="Arial" w:cs="Arial" w:eastAsia="Arial" w:hAnsi="Arial"/>
                <w:sz w:val="16"/>
                <w:szCs w:val="16"/>
                <w:color w:val="auto"/>
              </w:rPr>
              <w:t>Gravenchon</w:t>
            </w:r>
          </w:p>
        </w:tc>
        <w:tc>
          <w:tcPr>
            <w:tcW w:w="5140" w:type="dxa"/>
            <w:vAlign w:val="bottom"/>
          </w:tcPr>
          <w:p>
            <w:pPr>
              <w:ind w:left="1240"/>
              <w:spacing w:after="0"/>
              <w:rPr>
                <w:sz w:val="20"/>
                <w:szCs w:val="20"/>
                <w:color w:val="auto"/>
              </w:rPr>
            </w:pPr>
            <w:r>
              <w:rPr>
                <w:rFonts w:ascii="Arial" w:cs="Arial" w:eastAsia="Arial" w:hAnsi="Arial"/>
                <w:sz w:val="16"/>
                <w:szCs w:val="16"/>
                <w:color w:val="auto"/>
              </w:rPr>
              <w:t>France</w:t>
            </w:r>
          </w:p>
        </w:tc>
        <w:tc>
          <w:tcPr>
            <w:tcW w:w="1140" w:type="dxa"/>
            <w:vAlign w:val="bottom"/>
          </w:tcPr>
          <w:p>
            <w:pPr>
              <w:jc w:val="right"/>
              <w:spacing w:after="0"/>
              <w:rPr>
                <w:sz w:val="20"/>
                <w:szCs w:val="20"/>
                <w:color w:val="auto"/>
              </w:rPr>
            </w:pPr>
            <w:r>
              <w:rPr>
                <w:rFonts w:ascii="Arial" w:cs="Arial" w:eastAsia="Arial" w:hAnsi="Arial"/>
                <w:sz w:val="16"/>
                <w:szCs w:val="16"/>
                <w:color w:val="auto"/>
              </w:rPr>
              <w:t>236</w:t>
            </w: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82.9</w:t>
            </w:r>
          </w:p>
        </w:tc>
      </w:tr>
      <w:tr>
        <w:trPr>
          <w:trHeight w:val="196"/>
        </w:trPr>
        <w:tc>
          <w:tcPr>
            <w:tcW w:w="3120" w:type="dxa"/>
            <w:vAlign w:val="bottom"/>
          </w:tcPr>
          <w:p>
            <w:pPr>
              <w:ind w:left="240"/>
              <w:spacing w:after="0"/>
              <w:rPr>
                <w:sz w:val="20"/>
                <w:szCs w:val="20"/>
                <w:color w:val="auto"/>
              </w:rPr>
            </w:pPr>
            <w:r>
              <w:rPr>
                <w:rFonts w:ascii="Arial" w:cs="Arial" w:eastAsia="Arial" w:hAnsi="Arial"/>
                <w:sz w:val="16"/>
                <w:szCs w:val="16"/>
                <w:color w:val="auto"/>
              </w:rPr>
              <w:t>Karlsruhe</w:t>
            </w:r>
          </w:p>
        </w:tc>
        <w:tc>
          <w:tcPr>
            <w:tcW w:w="5140" w:type="dxa"/>
            <w:vAlign w:val="bottom"/>
          </w:tcPr>
          <w:p>
            <w:pPr>
              <w:ind w:left="1240"/>
              <w:spacing w:after="0"/>
              <w:rPr>
                <w:sz w:val="20"/>
                <w:szCs w:val="20"/>
                <w:color w:val="auto"/>
              </w:rPr>
            </w:pPr>
            <w:r>
              <w:rPr>
                <w:rFonts w:ascii="Arial" w:cs="Arial" w:eastAsia="Arial" w:hAnsi="Arial"/>
                <w:sz w:val="16"/>
                <w:szCs w:val="16"/>
                <w:color w:val="auto"/>
              </w:rPr>
              <w:t>Germany</w:t>
            </w:r>
          </w:p>
        </w:tc>
        <w:tc>
          <w:tcPr>
            <w:tcW w:w="1140" w:type="dxa"/>
            <w:vAlign w:val="bottom"/>
          </w:tcPr>
          <w:p>
            <w:pPr>
              <w:jc w:val="right"/>
              <w:spacing w:after="0"/>
              <w:rPr>
                <w:sz w:val="20"/>
                <w:szCs w:val="20"/>
                <w:color w:val="auto"/>
              </w:rPr>
            </w:pPr>
            <w:r>
              <w:rPr>
                <w:rFonts w:ascii="Arial" w:cs="Arial" w:eastAsia="Arial" w:hAnsi="Arial"/>
                <w:sz w:val="16"/>
                <w:szCs w:val="16"/>
                <w:color w:val="auto"/>
              </w:rPr>
              <w:t>78</w:t>
            </w: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96"/>
        </w:trPr>
        <w:tc>
          <w:tcPr>
            <w:tcW w:w="3120" w:type="dxa"/>
            <w:vAlign w:val="bottom"/>
          </w:tcPr>
          <w:p>
            <w:pPr>
              <w:ind w:left="240"/>
              <w:spacing w:after="0"/>
              <w:rPr>
                <w:sz w:val="20"/>
                <w:szCs w:val="20"/>
                <w:color w:val="auto"/>
              </w:rPr>
            </w:pPr>
            <w:r>
              <w:rPr>
                <w:rFonts w:ascii="Arial" w:cs="Arial" w:eastAsia="Arial" w:hAnsi="Arial"/>
                <w:sz w:val="16"/>
                <w:szCs w:val="16"/>
                <w:color w:val="auto"/>
              </w:rPr>
              <w:t>Augusta</w:t>
            </w:r>
          </w:p>
        </w:tc>
        <w:tc>
          <w:tcPr>
            <w:tcW w:w="5140" w:type="dxa"/>
            <w:vAlign w:val="bottom"/>
          </w:tcPr>
          <w:p>
            <w:pPr>
              <w:ind w:left="1240"/>
              <w:spacing w:after="0"/>
              <w:rPr>
                <w:sz w:val="20"/>
                <w:szCs w:val="20"/>
                <w:color w:val="auto"/>
              </w:rPr>
            </w:pPr>
            <w:r>
              <w:rPr>
                <w:rFonts w:ascii="Arial" w:cs="Arial" w:eastAsia="Arial" w:hAnsi="Arial"/>
                <w:sz w:val="16"/>
                <w:szCs w:val="16"/>
                <w:color w:val="auto"/>
              </w:rPr>
              <w:t>Italy</w:t>
            </w:r>
          </w:p>
        </w:tc>
        <w:tc>
          <w:tcPr>
            <w:tcW w:w="1140" w:type="dxa"/>
            <w:vAlign w:val="bottom"/>
          </w:tcPr>
          <w:p>
            <w:pPr>
              <w:jc w:val="right"/>
              <w:spacing w:after="0"/>
              <w:rPr>
                <w:sz w:val="20"/>
                <w:szCs w:val="20"/>
                <w:color w:val="auto"/>
              </w:rPr>
            </w:pPr>
            <w:r>
              <w:rPr>
                <w:rFonts w:ascii="Arial" w:cs="Arial" w:eastAsia="Arial" w:hAnsi="Arial"/>
                <w:sz w:val="16"/>
                <w:szCs w:val="16"/>
                <w:color w:val="auto"/>
              </w:rPr>
              <w:t>198</w:t>
            </w: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196"/>
        </w:trPr>
        <w:tc>
          <w:tcPr>
            <w:tcW w:w="3120" w:type="dxa"/>
            <w:vAlign w:val="bottom"/>
          </w:tcPr>
          <w:p>
            <w:pPr>
              <w:ind w:left="240"/>
              <w:spacing w:after="0"/>
              <w:rPr>
                <w:sz w:val="20"/>
                <w:szCs w:val="20"/>
                <w:color w:val="auto"/>
              </w:rPr>
            </w:pPr>
            <w:r>
              <w:rPr>
                <w:rFonts w:ascii="Arial" w:cs="Arial" w:eastAsia="Arial" w:hAnsi="Arial"/>
                <w:sz w:val="16"/>
                <w:szCs w:val="16"/>
                <w:color w:val="auto"/>
              </w:rPr>
              <w:t>Trecate</w:t>
            </w:r>
          </w:p>
        </w:tc>
        <w:tc>
          <w:tcPr>
            <w:tcW w:w="5140" w:type="dxa"/>
            <w:vAlign w:val="bottom"/>
          </w:tcPr>
          <w:p>
            <w:pPr>
              <w:ind w:left="1240"/>
              <w:spacing w:after="0"/>
              <w:rPr>
                <w:sz w:val="20"/>
                <w:szCs w:val="20"/>
                <w:color w:val="auto"/>
              </w:rPr>
            </w:pPr>
            <w:r>
              <w:rPr>
                <w:rFonts w:ascii="Arial" w:cs="Arial" w:eastAsia="Arial" w:hAnsi="Arial"/>
                <w:sz w:val="16"/>
                <w:szCs w:val="16"/>
                <w:color w:val="auto"/>
              </w:rPr>
              <w:t>Italy</w:t>
            </w:r>
          </w:p>
        </w:tc>
        <w:tc>
          <w:tcPr>
            <w:tcW w:w="1140" w:type="dxa"/>
            <w:vAlign w:val="bottom"/>
          </w:tcPr>
          <w:p>
            <w:pPr>
              <w:jc w:val="right"/>
              <w:spacing w:after="0"/>
              <w:rPr>
                <w:sz w:val="20"/>
                <w:szCs w:val="20"/>
                <w:color w:val="auto"/>
              </w:rPr>
            </w:pPr>
            <w:r>
              <w:rPr>
                <w:rFonts w:ascii="Arial" w:cs="Arial" w:eastAsia="Arial" w:hAnsi="Arial"/>
                <w:sz w:val="16"/>
                <w:szCs w:val="16"/>
                <w:color w:val="auto"/>
              </w:rPr>
              <w:t>127</w:t>
            </w: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74.9</w:t>
            </w:r>
          </w:p>
        </w:tc>
      </w:tr>
      <w:tr>
        <w:trPr>
          <w:trHeight w:val="196"/>
        </w:trPr>
        <w:tc>
          <w:tcPr>
            <w:tcW w:w="3120" w:type="dxa"/>
            <w:vAlign w:val="bottom"/>
          </w:tcPr>
          <w:p>
            <w:pPr>
              <w:ind w:left="240"/>
              <w:spacing w:after="0"/>
              <w:rPr>
                <w:sz w:val="20"/>
                <w:szCs w:val="20"/>
                <w:color w:val="auto"/>
              </w:rPr>
            </w:pPr>
            <w:r>
              <w:rPr>
                <w:rFonts w:ascii="Arial" w:cs="Arial" w:eastAsia="Arial" w:hAnsi="Arial"/>
                <w:sz w:val="16"/>
                <w:szCs w:val="16"/>
                <w:color w:val="auto"/>
              </w:rPr>
              <w:t>Rotterdam</w:t>
            </w:r>
          </w:p>
        </w:tc>
        <w:tc>
          <w:tcPr>
            <w:tcW w:w="5140" w:type="dxa"/>
            <w:vAlign w:val="bottom"/>
          </w:tcPr>
          <w:p>
            <w:pPr>
              <w:ind w:left="1240"/>
              <w:spacing w:after="0"/>
              <w:rPr>
                <w:sz w:val="20"/>
                <w:szCs w:val="20"/>
                <w:color w:val="auto"/>
              </w:rPr>
            </w:pPr>
            <w:r>
              <w:rPr>
                <w:rFonts w:ascii="Arial" w:cs="Arial" w:eastAsia="Arial" w:hAnsi="Arial"/>
                <w:sz w:val="16"/>
                <w:szCs w:val="16"/>
                <w:color w:val="auto"/>
              </w:rPr>
              <w:t>Netherlands</w:t>
            </w:r>
          </w:p>
        </w:tc>
        <w:tc>
          <w:tcPr>
            <w:tcW w:w="1140" w:type="dxa"/>
            <w:vAlign w:val="bottom"/>
          </w:tcPr>
          <w:p>
            <w:pPr>
              <w:jc w:val="right"/>
              <w:spacing w:after="0"/>
              <w:rPr>
                <w:sz w:val="20"/>
                <w:szCs w:val="20"/>
                <w:color w:val="auto"/>
              </w:rPr>
            </w:pPr>
            <w:r>
              <w:rPr>
                <w:rFonts w:ascii="Arial" w:cs="Arial" w:eastAsia="Arial" w:hAnsi="Arial"/>
                <w:sz w:val="16"/>
                <w:szCs w:val="16"/>
                <w:color w:val="auto"/>
              </w:rPr>
              <w:t>191</w:t>
            </w: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196"/>
        </w:trPr>
        <w:tc>
          <w:tcPr>
            <w:tcW w:w="3120" w:type="dxa"/>
            <w:vAlign w:val="bottom"/>
          </w:tcPr>
          <w:p>
            <w:pPr>
              <w:ind w:left="240"/>
              <w:spacing w:after="0"/>
              <w:rPr>
                <w:sz w:val="20"/>
                <w:szCs w:val="20"/>
                <w:color w:val="auto"/>
              </w:rPr>
            </w:pPr>
            <w:r>
              <w:rPr>
                <w:rFonts w:ascii="Arial" w:cs="Arial" w:eastAsia="Arial" w:hAnsi="Arial"/>
                <w:sz w:val="16"/>
                <w:szCs w:val="16"/>
                <w:color w:val="auto"/>
              </w:rPr>
              <w:t>Slagen</w:t>
            </w:r>
          </w:p>
        </w:tc>
        <w:tc>
          <w:tcPr>
            <w:tcW w:w="5140" w:type="dxa"/>
            <w:vAlign w:val="bottom"/>
          </w:tcPr>
          <w:p>
            <w:pPr>
              <w:ind w:left="1240"/>
              <w:spacing w:after="0"/>
              <w:rPr>
                <w:sz w:val="20"/>
                <w:szCs w:val="20"/>
                <w:color w:val="auto"/>
              </w:rPr>
            </w:pPr>
            <w:r>
              <w:rPr>
                <w:rFonts w:ascii="Arial" w:cs="Arial" w:eastAsia="Arial" w:hAnsi="Arial"/>
                <w:sz w:val="16"/>
                <w:szCs w:val="16"/>
                <w:color w:val="auto"/>
              </w:rPr>
              <w:t>Norway</w:t>
            </w:r>
          </w:p>
        </w:tc>
        <w:tc>
          <w:tcPr>
            <w:tcW w:w="1140" w:type="dxa"/>
            <w:vAlign w:val="bottom"/>
          </w:tcPr>
          <w:p>
            <w:pPr>
              <w:jc w:val="right"/>
              <w:spacing w:after="0"/>
              <w:rPr>
                <w:sz w:val="20"/>
                <w:szCs w:val="20"/>
                <w:color w:val="auto"/>
              </w:rPr>
            </w:pPr>
            <w:r>
              <w:rPr>
                <w:rFonts w:ascii="Arial" w:cs="Arial" w:eastAsia="Arial" w:hAnsi="Arial"/>
                <w:sz w:val="16"/>
                <w:szCs w:val="16"/>
                <w:color w:val="auto"/>
              </w:rPr>
              <w:t>116</w:t>
            </w: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08"/>
        </w:trPr>
        <w:tc>
          <w:tcPr>
            <w:tcW w:w="3120" w:type="dxa"/>
            <w:vAlign w:val="bottom"/>
          </w:tcPr>
          <w:p>
            <w:pPr>
              <w:ind w:left="240"/>
              <w:spacing w:after="0"/>
              <w:rPr>
                <w:sz w:val="20"/>
                <w:szCs w:val="20"/>
                <w:color w:val="auto"/>
              </w:rPr>
            </w:pPr>
            <w:r>
              <w:rPr>
                <w:rFonts w:ascii="Arial" w:cs="Arial" w:eastAsia="Arial" w:hAnsi="Arial"/>
                <w:sz w:val="16"/>
                <w:szCs w:val="16"/>
                <w:color w:val="auto"/>
              </w:rPr>
              <w:t>Fawley</w:t>
            </w:r>
          </w:p>
        </w:tc>
        <w:tc>
          <w:tcPr>
            <w:tcW w:w="5140" w:type="dxa"/>
            <w:vAlign w:val="bottom"/>
          </w:tcPr>
          <w:p>
            <w:pPr>
              <w:ind w:left="1240"/>
              <w:spacing w:after="0"/>
              <w:rPr>
                <w:sz w:val="20"/>
                <w:szCs w:val="20"/>
                <w:color w:val="auto"/>
              </w:rPr>
            </w:pPr>
            <w:r>
              <w:rPr>
                <w:rFonts w:ascii="Arial" w:cs="Arial" w:eastAsia="Arial" w:hAnsi="Arial"/>
                <w:sz w:val="16"/>
                <w:szCs w:val="16"/>
                <w:color w:val="auto"/>
              </w:rPr>
              <w:t>United Kingdom</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01"/>
        </w:trPr>
        <w:tc>
          <w:tcPr>
            <w:tcW w:w="3120" w:type="dxa"/>
            <w:vAlign w:val="bottom"/>
          </w:tcPr>
          <w:p>
            <w:pPr>
              <w:ind w:left="480"/>
              <w:spacing w:after="0"/>
              <w:rPr>
                <w:sz w:val="20"/>
                <w:szCs w:val="20"/>
                <w:color w:val="auto"/>
              </w:rPr>
            </w:pPr>
            <w:r>
              <w:rPr>
                <w:rFonts w:ascii="Arial" w:cs="Arial" w:eastAsia="Arial" w:hAnsi="Arial"/>
                <w:sz w:val="16"/>
                <w:szCs w:val="16"/>
                <w:color w:val="auto"/>
              </w:rPr>
              <w:t>Total Europe</w:t>
            </w:r>
          </w:p>
        </w:tc>
        <w:tc>
          <w:tcPr>
            <w:tcW w:w="5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1,646</w:t>
            </w: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68"/>
        </w:trPr>
        <w:tc>
          <w:tcPr>
            <w:tcW w:w="3120" w:type="dxa"/>
            <w:vAlign w:val="bottom"/>
          </w:tcPr>
          <w:p>
            <w:pPr>
              <w:spacing w:after="0"/>
              <w:rPr>
                <w:sz w:val="20"/>
                <w:szCs w:val="20"/>
                <w:color w:val="auto"/>
              </w:rPr>
            </w:pPr>
            <w:r>
              <w:rPr>
                <w:rFonts w:ascii="Arial" w:cs="Arial" w:eastAsia="Arial" w:hAnsi="Arial"/>
                <w:sz w:val="16"/>
                <w:szCs w:val="16"/>
                <w:b w:val="1"/>
                <w:bCs w:val="1"/>
                <w:color w:val="auto"/>
              </w:rPr>
              <w:t>Asia Pacific</w:t>
            </w:r>
          </w:p>
        </w:tc>
        <w:tc>
          <w:tcPr>
            <w:tcW w:w="5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3120" w:type="dxa"/>
            <w:vAlign w:val="bottom"/>
          </w:tcPr>
          <w:p>
            <w:pPr>
              <w:ind w:left="240"/>
              <w:spacing w:after="0"/>
              <w:rPr>
                <w:sz w:val="20"/>
                <w:szCs w:val="20"/>
                <w:color w:val="auto"/>
              </w:rPr>
            </w:pPr>
            <w:r>
              <w:rPr>
                <w:rFonts w:ascii="Arial" w:cs="Arial" w:eastAsia="Arial" w:hAnsi="Arial"/>
                <w:sz w:val="16"/>
                <w:szCs w:val="16"/>
                <w:color w:val="auto"/>
              </w:rPr>
              <w:t>Jurong/PAC</w:t>
            </w:r>
          </w:p>
        </w:tc>
        <w:tc>
          <w:tcPr>
            <w:tcW w:w="5140" w:type="dxa"/>
            <w:vAlign w:val="bottom"/>
          </w:tcPr>
          <w:p>
            <w:pPr>
              <w:ind w:left="1240"/>
              <w:spacing w:after="0"/>
              <w:rPr>
                <w:sz w:val="20"/>
                <w:szCs w:val="20"/>
                <w:color w:val="auto"/>
              </w:rPr>
            </w:pPr>
            <w:r>
              <w:rPr>
                <w:rFonts w:ascii="Arial" w:cs="Arial" w:eastAsia="Arial" w:hAnsi="Arial"/>
                <w:sz w:val="16"/>
                <w:szCs w:val="16"/>
                <w:color w:val="auto"/>
              </w:rPr>
              <w:t>Singapore</w:t>
            </w:r>
          </w:p>
        </w:tc>
        <w:tc>
          <w:tcPr>
            <w:tcW w:w="1140" w:type="dxa"/>
            <w:vAlign w:val="bottom"/>
          </w:tcPr>
          <w:p>
            <w:pPr>
              <w:jc w:val="right"/>
              <w:spacing w:after="0"/>
              <w:rPr>
                <w:sz w:val="20"/>
                <w:szCs w:val="20"/>
                <w:color w:val="auto"/>
              </w:rPr>
            </w:pPr>
            <w:r>
              <w:rPr>
                <w:rFonts w:ascii="Arial" w:cs="Arial" w:eastAsia="Arial" w:hAnsi="Arial"/>
                <w:sz w:val="16"/>
                <w:szCs w:val="16"/>
                <w:color w:val="auto"/>
              </w:rPr>
              <w:t>592</w:t>
            </w: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196"/>
        </w:trPr>
        <w:tc>
          <w:tcPr>
            <w:tcW w:w="3120" w:type="dxa"/>
            <w:vAlign w:val="bottom"/>
          </w:tcPr>
          <w:p>
            <w:pPr>
              <w:ind w:left="240"/>
              <w:spacing w:after="0"/>
              <w:rPr>
                <w:sz w:val="20"/>
                <w:szCs w:val="20"/>
                <w:color w:val="auto"/>
              </w:rPr>
            </w:pPr>
            <w:r>
              <w:rPr>
                <w:rFonts w:ascii="Arial" w:cs="Arial" w:eastAsia="Arial" w:hAnsi="Arial"/>
                <w:sz w:val="16"/>
                <w:szCs w:val="16"/>
                <w:color w:val="auto"/>
              </w:rPr>
              <w:t>Sriracha</w:t>
            </w:r>
          </w:p>
        </w:tc>
        <w:tc>
          <w:tcPr>
            <w:tcW w:w="5140" w:type="dxa"/>
            <w:vAlign w:val="bottom"/>
          </w:tcPr>
          <w:p>
            <w:pPr>
              <w:ind w:left="1240"/>
              <w:spacing w:after="0"/>
              <w:rPr>
                <w:sz w:val="20"/>
                <w:szCs w:val="20"/>
                <w:color w:val="auto"/>
              </w:rPr>
            </w:pPr>
            <w:r>
              <w:rPr>
                <w:rFonts w:ascii="Arial" w:cs="Arial" w:eastAsia="Arial" w:hAnsi="Arial"/>
                <w:sz w:val="16"/>
                <w:szCs w:val="16"/>
                <w:color w:val="auto"/>
              </w:rPr>
              <w:t>Thailand</w:t>
            </w:r>
          </w:p>
        </w:tc>
        <w:tc>
          <w:tcPr>
            <w:tcW w:w="1140" w:type="dxa"/>
            <w:vAlign w:val="bottom"/>
          </w:tcPr>
          <w:p>
            <w:pPr>
              <w:jc w:val="right"/>
              <w:spacing w:after="0"/>
              <w:rPr>
                <w:sz w:val="20"/>
                <w:szCs w:val="20"/>
                <w:color w:val="auto"/>
              </w:rPr>
            </w:pPr>
            <w:r>
              <w:rPr>
                <w:rFonts w:ascii="Arial" w:cs="Arial" w:eastAsia="Arial" w:hAnsi="Arial"/>
                <w:sz w:val="16"/>
                <w:szCs w:val="16"/>
                <w:color w:val="auto"/>
              </w:rPr>
              <w:t>167</w:t>
            </w: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08"/>
        </w:trPr>
        <w:tc>
          <w:tcPr>
            <w:tcW w:w="3120" w:type="dxa"/>
            <w:vAlign w:val="bottom"/>
          </w:tcPr>
          <w:p>
            <w:pPr>
              <w:ind w:left="240"/>
              <w:spacing w:after="0"/>
              <w:rPr>
                <w:sz w:val="20"/>
                <w:szCs w:val="20"/>
                <w:color w:val="auto"/>
              </w:rPr>
            </w:pPr>
            <w:r>
              <w:rPr>
                <w:rFonts w:ascii="Arial" w:cs="Arial" w:eastAsia="Arial" w:hAnsi="Arial"/>
                <w:sz w:val="16"/>
                <w:szCs w:val="16"/>
                <w:color w:val="auto"/>
              </w:rPr>
              <w:t>Other (7 refineries)</w:t>
            </w:r>
          </w:p>
        </w:tc>
        <w:tc>
          <w:tcPr>
            <w:tcW w:w="51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1"/>
        </w:trPr>
        <w:tc>
          <w:tcPr>
            <w:tcW w:w="3120" w:type="dxa"/>
            <w:vAlign w:val="bottom"/>
          </w:tcPr>
          <w:p>
            <w:pPr>
              <w:ind w:left="480"/>
              <w:spacing w:after="0"/>
              <w:rPr>
                <w:sz w:val="20"/>
                <w:szCs w:val="20"/>
                <w:color w:val="auto"/>
              </w:rPr>
            </w:pPr>
            <w:r>
              <w:rPr>
                <w:rFonts w:ascii="Arial" w:cs="Arial" w:eastAsia="Arial" w:hAnsi="Arial"/>
                <w:sz w:val="16"/>
                <w:szCs w:val="16"/>
                <w:color w:val="auto"/>
              </w:rPr>
              <w:t>Total Asia Pacific</w:t>
            </w:r>
          </w:p>
        </w:tc>
        <w:tc>
          <w:tcPr>
            <w:tcW w:w="5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1,015</w:t>
            </w: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68"/>
        </w:trPr>
        <w:tc>
          <w:tcPr>
            <w:tcW w:w="3120" w:type="dxa"/>
            <w:vAlign w:val="bottom"/>
          </w:tcPr>
          <w:p>
            <w:pPr>
              <w:spacing w:after="0"/>
              <w:rPr>
                <w:sz w:val="20"/>
                <w:szCs w:val="20"/>
                <w:color w:val="auto"/>
              </w:rPr>
            </w:pPr>
            <w:r>
              <w:rPr>
                <w:rFonts w:ascii="Arial" w:cs="Arial" w:eastAsia="Arial" w:hAnsi="Arial"/>
                <w:sz w:val="16"/>
                <w:szCs w:val="16"/>
                <w:b w:val="1"/>
                <w:bCs w:val="1"/>
                <w:color w:val="auto"/>
              </w:rPr>
              <w:t>Other Non-U.S.</w:t>
            </w:r>
          </w:p>
        </w:tc>
        <w:tc>
          <w:tcPr>
            <w:tcW w:w="5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3120" w:type="dxa"/>
            <w:vAlign w:val="bottom"/>
          </w:tcPr>
          <w:p>
            <w:pPr>
              <w:ind w:left="240"/>
              <w:spacing w:after="0"/>
              <w:rPr>
                <w:sz w:val="20"/>
                <w:szCs w:val="20"/>
                <w:color w:val="auto"/>
              </w:rPr>
            </w:pPr>
            <w:r>
              <w:rPr>
                <w:rFonts w:ascii="Arial" w:cs="Arial" w:eastAsia="Arial" w:hAnsi="Arial"/>
                <w:sz w:val="16"/>
                <w:szCs w:val="16"/>
                <w:color w:val="auto"/>
              </w:rPr>
              <w:t>Yanbu</w:t>
            </w:r>
          </w:p>
        </w:tc>
        <w:tc>
          <w:tcPr>
            <w:tcW w:w="5140" w:type="dxa"/>
            <w:vAlign w:val="bottom"/>
          </w:tcPr>
          <w:p>
            <w:pPr>
              <w:ind w:left="1240"/>
              <w:spacing w:after="0"/>
              <w:rPr>
                <w:sz w:val="20"/>
                <w:szCs w:val="20"/>
                <w:color w:val="auto"/>
              </w:rPr>
            </w:pPr>
            <w:r>
              <w:rPr>
                <w:rFonts w:ascii="Arial" w:cs="Arial" w:eastAsia="Arial" w:hAnsi="Arial"/>
                <w:sz w:val="16"/>
                <w:szCs w:val="16"/>
                <w:color w:val="auto"/>
              </w:rPr>
              <w:t>Saudi Arabia</w:t>
            </w:r>
          </w:p>
        </w:tc>
        <w:tc>
          <w:tcPr>
            <w:tcW w:w="1140" w:type="dxa"/>
            <w:vAlign w:val="bottom"/>
          </w:tcPr>
          <w:p>
            <w:pPr>
              <w:jc w:val="right"/>
              <w:spacing w:after="0"/>
              <w:rPr>
                <w:sz w:val="20"/>
                <w:szCs w:val="20"/>
                <w:color w:val="auto"/>
              </w:rPr>
            </w:pPr>
            <w:r>
              <w:rPr>
                <w:rFonts w:ascii="Arial" w:cs="Arial" w:eastAsia="Arial" w:hAnsi="Arial"/>
                <w:sz w:val="16"/>
                <w:szCs w:val="16"/>
                <w:color w:val="auto"/>
              </w:rPr>
              <w:t>200</w:t>
            </w: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08"/>
        </w:trPr>
        <w:tc>
          <w:tcPr>
            <w:tcW w:w="3120" w:type="dxa"/>
            <w:vAlign w:val="bottom"/>
          </w:tcPr>
          <w:p>
            <w:pPr>
              <w:ind w:left="240"/>
              <w:spacing w:after="0"/>
              <w:rPr>
                <w:sz w:val="20"/>
                <w:szCs w:val="20"/>
                <w:color w:val="auto"/>
              </w:rPr>
            </w:pPr>
            <w:r>
              <w:rPr>
                <w:rFonts w:ascii="Arial" w:cs="Arial" w:eastAsia="Arial" w:hAnsi="Arial"/>
                <w:sz w:val="16"/>
                <w:szCs w:val="16"/>
                <w:color w:val="auto"/>
              </w:rPr>
              <w:t>Laffan</w:t>
            </w:r>
          </w:p>
        </w:tc>
        <w:tc>
          <w:tcPr>
            <w:tcW w:w="5140" w:type="dxa"/>
            <w:vAlign w:val="bottom"/>
          </w:tcPr>
          <w:p>
            <w:pPr>
              <w:ind w:left="1240"/>
              <w:spacing w:after="0"/>
              <w:rPr>
                <w:sz w:val="20"/>
                <w:szCs w:val="20"/>
                <w:color w:val="auto"/>
              </w:rPr>
            </w:pPr>
            <w:r>
              <w:rPr>
                <w:rFonts w:ascii="Arial" w:cs="Arial" w:eastAsia="Arial" w:hAnsi="Arial"/>
                <w:sz w:val="16"/>
                <w:szCs w:val="16"/>
                <w:color w:val="auto"/>
              </w:rPr>
              <w:t>Qatar</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89"/>
        </w:trPr>
        <w:tc>
          <w:tcPr>
            <w:tcW w:w="3120" w:type="dxa"/>
            <w:vAlign w:val="bottom"/>
          </w:tcPr>
          <w:p>
            <w:pPr>
              <w:ind w:left="480"/>
              <w:spacing w:after="0"/>
              <w:rPr>
                <w:sz w:val="20"/>
                <w:szCs w:val="20"/>
                <w:color w:val="auto"/>
              </w:rPr>
            </w:pPr>
            <w:r>
              <w:rPr>
                <w:rFonts w:ascii="Arial" w:cs="Arial" w:eastAsia="Arial" w:hAnsi="Arial"/>
                <w:sz w:val="16"/>
                <w:szCs w:val="16"/>
                <w:color w:val="auto"/>
              </w:rPr>
              <w:t>Total Other Non-U.S.</w:t>
            </w:r>
          </w:p>
        </w:tc>
        <w:tc>
          <w:tcPr>
            <w:tcW w:w="514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3120" w:type="dxa"/>
            <w:vAlign w:val="bottom"/>
          </w:tcPr>
          <w:p>
            <w:pPr>
              <w:spacing w:after="0"/>
              <w:rPr>
                <w:sz w:val="20"/>
                <w:szCs w:val="20"/>
                <w:color w:val="auto"/>
              </w:rPr>
            </w:pPr>
            <w:r>
              <w:rPr>
                <w:rFonts w:ascii="Arial" w:cs="Arial" w:eastAsia="Arial" w:hAnsi="Arial"/>
                <w:sz w:val="16"/>
                <w:szCs w:val="16"/>
                <w:b w:val="1"/>
                <w:bCs w:val="1"/>
                <w:color w:val="auto"/>
              </w:rPr>
              <w:t>Total Worldwide</w:t>
            </w:r>
          </w:p>
        </w:tc>
        <w:tc>
          <w:tcPr>
            <w:tcW w:w="514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5,248</w:t>
            </w: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233" w:lineRule="exact"/>
        <w:rPr>
          <w:sz w:val="20"/>
          <w:szCs w:val="20"/>
          <w:color w:val="auto"/>
        </w:rPr>
      </w:pPr>
    </w:p>
    <w:p>
      <w:pPr>
        <w:ind w:left="300" w:right="40" w:hanging="294"/>
        <w:spacing w:after="0" w:line="286" w:lineRule="auto"/>
        <w:tabs>
          <w:tab w:leader="none" w:pos="337"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Capacity data is based on 100 percent of rated refinery process unit stream-day capacities under normal operating conditions, less the impact of shutdowns for repair and maintenance activities, averaged over an extended period of time.</w:t>
      </w:r>
    </w:p>
    <w:p>
      <w:pPr>
        <w:spacing w:after="0" w:line="2" w:lineRule="exact"/>
        <w:rPr>
          <w:rFonts w:ascii="Arial" w:cs="Arial" w:eastAsia="Arial" w:hAnsi="Arial"/>
          <w:sz w:val="16"/>
          <w:szCs w:val="16"/>
          <w:i w:val="1"/>
          <w:iCs w:val="1"/>
          <w:color w:val="auto"/>
        </w:rPr>
      </w:pPr>
    </w:p>
    <w:p>
      <w:pPr>
        <w:jc w:val="both"/>
        <w:ind w:left="300" w:hanging="294"/>
        <w:spacing w:after="0" w:line="266" w:lineRule="auto"/>
        <w:tabs>
          <w:tab w:leader="none" w:pos="381"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Thousands of barrels per day (KBD). ExxonMobil share reflects 100 percent of atmospheric distillation capacity in operations of ExxonMobil and majority subsidiaries. For companies owned 50 percent or less, ExxonMobil share is the greater of ExxonMobil’s interest or that portion of distillation capacity normally av to ExxonMobil.</w:t>
      </w:r>
    </w:p>
    <w:p>
      <w:pPr>
        <w:spacing w:after="0" w:line="1"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650" w:right="139" w:bottom="1440" w:gutter="0" w:footer="0" w:header="0"/>
        </w:sectPr>
      </w:pPr>
    </w:p>
    <w:bookmarkStart w:id="25" w:name="page26"/>
    <w:bookmarkEnd w:id="25"/>
    <w:p>
      <w:pPr>
        <w:ind w:left="580"/>
        <w:spacing w:after="0"/>
        <w:rPr>
          <w:sz w:val="20"/>
          <w:szCs w:val="20"/>
          <w:color w:val="auto"/>
        </w:rPr>
      </w:pPr>
      <w:r>
        <w:rPr>
          <w:rFonts w:ascii="Arial" w:cs="Arial" w:eastAsia="Arial" w:hAnsi="Arial"/>
          <w:sz w:val="16"/>
          <w:szCs w:val="16"/>
          <w:color w:val="auto"/>
        </w:rPr>
        <w:t xml:space="preserve">The marketing operations sell products and services throughout the world through our </w:t>
      </w:r>
      <w:r>
        <w:rPr>
          <w:rFonts w:ascii="Arial" w:cs="Arial" w:eastAsia="Arial" w:hAnsi="Arial"/>
          <w:sz w:val="16"/>
          <w:szCs w:val="16"/>
          <w:i w:val="1"/>
          <w:iCs w:val="1"/>
          <w:color w:val="auto"/>
        </w:rPr>
        <w:t>Exxon</w:t>
      </w:r>
      <w:r>
        <w:rPr>
          <w:rFonts w:ascii="Arial" w:cs="Arial" w:eastAsia="Arial" w:hAnsi="Arial"/>
          <w:sz w:val="16"/>
          <w:szCs w:val="16"/>
          <w:color w:val="auto"/>
        </w:rPr>
        <w:t xml:space="preserve">, </w:t>
      </w:r>
      <w:r>
        <w:rPr>
          <w:rFonts w:ascii="Arial" w:cs="Arial" w:eastAsia="Arial" w:hAnsi="Arial"/>
          <w:sz w:val="16"/>
          <w:szCs w:val="16"/>
          <w:i w:val="1"/>
          <w:iCs w:val="1"/>
          <w:color w:val="auto"/>
        </w:rPr>
        <w:t>Esso</w:t>
      </w:r>
      <w:r>
        <w:rPr>
          <w:rFonts w:ascii="Arial" w:cs="Arial" w:eastAsia="Arial" w:hAnsi="Arial"/>
          <w:sz w:val="16"/>
          <w:szCs w:val="16"/>
          <w:color w:val="auto"/>
        </w:rPr>
        <w:t xml:space="preserve"> and </w:t>
      </w:r>
      <w:r>
        <w:rPr>
          <w:rFonts w:ascii="Arial" w:cs="Arial" w:eastAsia="Arial" w:hAnsi="Arial"/>
          <w:sz w:val="16"/>
          <w:szCs w:val="16"/>
          <w:i w:val="1"/>
          <w:iCs w:val="1"/>
          <w:color w:val="auto"/>
        </w:rPr>
        <w:t>Mobil</w:t>
      </w:r>
      <w:r>
        <w:rPr>
          <w:rFonts w:ascii="Arial" w:cs="Arial" w:eastAsia="Arial" w:hAnsi="Arial"/>
          <w:sz w:val="16"/>
          <w:szCs w:val="16"/>
          <w:color w:val="auto"/>
        </w:rPr>
        <w:t xml:space="preserve"> brands.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00" w:type="dxa"/>
            <w:vAlign w:val="bottom"/>
          </w:tcPr>
          <w:p>
            <w:pPr>
              <w:spacing w:after="0"/>
              <w:rPr>
                <w:sz w:val="18"/>
                <w:szCs w:val="18"/>
                <w:color w:val="auto"/>
              </w:rPr>
            </w:pPr>
          </w:p>
        </w:tc>
        <w:tc>
          <w:tcPr>
            <w:tcW w:w="5540" w:type="dxa"/>
            <w:vAlign w:val="bottom"/>
            <w:gridSpan w:val="2"/>
          </w:tcPr>
          <w:p>
            <w:pPr>
              <w:jc w:val="right"/>
              <w:ind w:right="3118"/>
              <w:spacing w:after="0"/>
              <w:rPr>
                <w:sz w:val="20"/>
                <w:szCs w:val="20"/>
                <w:color w:val="auto"/>
              </w:rPr>
            </w:pPr>
            <w:r>
              <w:rPr>
                <w:rFonts w:ascii="Arial" w:cs="Arial" w:eastAsia="Arial" w:hAnsi="Arial"/>
                <w:sz w:val="16"/>
                <w:szCs w:val="16"/>
                <w:b w:val="1"/>
                <w:bCs w:val="1"/>
                <w:color w:val="auto"/>
              </w:rPr>
              <w:t>Retail Sites At Year-End 2014</w:t>
            </w:r>
          </w:p>
        </w:tc>
        <w:tc>
          <w:tcPr>
            <w:tcW w:w="920" w:type="dxa"/>
            <w:vAlign w:val="bottom"/>
          </w:tcPr>
          <w:p>
            <w:pPr>
              <w:spacing w:after="0"/>
              <w:rPr>
                <w:sz w:val="18"/>
                <w:szCs w:val="18"/>
                <w:color w:val="auto"/>
              </w:rPr>
            </w:pPr>
          </w:p>
        </w:tc>
      </w:tr>
      <w:tr>
        <w:trPr>
          <w:trHeight w:val="454"/>
        </w:trPr>
        <w:tc>
          <w:tcPr>
            <w:tcW w:w="5000" w:type="dxa"/>
            <w:vAlign w:val="bottom"/>
          </w:tcPr>
          <w:p>
            <w:pPr>
              <w:ind w:left="2080"/>
              <w:spacing w:after="0"/>
              <w:rPr>
                <w:sz w:val="20"/>
                <w:szCs w:val="20"/>
                <w:color w:val="auto"/>
              </w:rPr>
            </w:pPr>
            <w:r>
              <w:rPr>
                <w:rFonts w:ascii="Arial" w:cs="Arial" w:eastAsia="Arial" w:hAnsi="Arial"/>
                <w:sz w:val="16"/>
                <w:szCs w:val="16"/>
                <w:b w:val="1"/>
                <w:bCs w:val="1"/>
                <w:color w:val="auto"/>
              </w:rPr>
              <w:t>United States</w:t>
            </w:r>
          </w:p>
        </w:tc>
        <w:tc>
          <w:tcPr>
            <w:tcW w:w="4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5000" w:type="dxa"/>
            <w:vAlign w:val="bottom"/>
          </w:tcPr>
          <w:p>
            <w:pPr>
              <w:ind w:left="2320"/>
              <w:spacing w:after="0"/>
              <w:rPr>
                <w:sz w:val="20"/>
                <w:szCs w:val="20"/>
                <w:color w:val="auto"/>
              </w:rPr>
            </w:pPr>
            <w:r>
              <w:rPr>
                <w:rFonts w:ascii="Arial" w:cs="Arial" w:eastAsia="Arial" w:hAnsi="Arial"/>
                <w:sz w:val="16"/>
                <w:szCs w:val="16"/>
                <w:color w:val="auto"/>
              </w:rPr>
              <w:t>Owned/leased</w:t>
            </w:r>
          </w:p>
        </w:tc>
        <w:tc>
          <w:tcPr>
            <w:tcW w:w="5540" w:type="dxa"/>
            <w:vAlign w:val="bottom"/>
            <w:gridSpan w:val="2"/>
          </w:tcPr>
          <w:p>
            <w:pPr>
              <w:jc w:val="right"/>
              <w:ind w:right="58"/>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7"/>
                <w:szCs w:val="17"/>
                <w:color w:val="auto"/>
              </w:rPr>
            </w:pPr>
          </w:p>
        </w:tc>
      </w:tr>
      <w:tr>
        <w:trPr>
          <w:trHeight w:val="208"/>
        </w:trPr>
        <w:tc>
          <w:tcPr>
            <w:tcW w:w="5000" w:type="dxa"/>
            <w:vAlign w:val="bottom"/>
          </w:tcPr>
          <w:p>
            <w:pPr>
              <w:ind w:left="2320"/>
              <w:spacing w:after="0"/>
              <w:rPr>
                <w:sz w:val="20"/>
                <w:szCs w:val="20"/>
                <w:color w:val="auto"/>
              </w:rPr>
            </w:pPr>
            <w:r>
              <w:rPr>
                <w:rFonts w:ascii="Arial" w:cs="Arial" w:eastAsia="Arial" w:hAnsi="Arial"/>
                <w:sz w:val="16"/>
                <w:szCs w:val="16"/>
                <w:color w:val="auto"/>
              </w:rPr>
              <w:t>Distributors/resellers</w:t>
            </w:r>
          </w:p>
        </w:tc>
        <w:tc>
          <w:tcPr>
            <w:tcW w:w="5540" w:type="dxa"/>
            <w:vAlign w:val="bottom"/>
            <w:gridSpan w:val="2"/>
          </w:tcPr>
          <w:p>
            <w:pPr>
              <w:jc w:val="right"/>
              <w:spacing w:after="0"/>
              <w:rPr>
                <w:sz w:val="20"/>
                <w:szCs w:val="20"/>
                <w:color w:val="auto"/>
              </w:rPr>
            </w:pPr>
            <w:r>
              <w:rPr>
                <w:rFonts w:ascii="Arial" w:cs="Arial" w:eastAsia="Arial" w:hAnsi="Arial"/>
                <w:sz w:val="16"/>
                <w:szCs w:val="16"/>
                <w:color w:val="auto"/>
              </w:rPr>
              <w:t>9,436</w:t>
            </w:r>
          </w:p>
        </w:tc>
        <w:tc>
          <w:tcPr>
            <w:tcW w:w="920" w:type="dxa"/>
            <w:vAlign w:val="bottom"/>
          </w:tcPr>
          <w:p>
            <w:pPr>
              <w:spacing w:after="0"/>
              <w:rPr>
                <w:sz w:val="18"/>
                <w:szCs w:val="18"/>
                <w:color w:val="auto"/>
              </w:rPr>
            </w:pPr>
          </w:p>
        </w:tc>
      </w:tr>
      <w:tr>
        <w:trPr>
          <w:trHeight w:val="201"/>
        </w:trPr>
        <w:tc>
          <w:tcPr>
            <w:tcW w:w="5000" w:type="dxa"/>
            <w:vAlign w:val="bottom"/>
          </w:tcPr>
          <w:p>
            <w:pPr>
              <w:ind w:left="3120"/>
              <w:spacing w:after="0"/>
              <w:rPr>
                <w:sz w:val="20"/>
                <w:szCs w:val="20"/>
                <w:color w:val="auto"/>
              </w:rPr>
            </w:pPr>
            <w:r>
              <w:rPr>
                <w:rFonts w:ascii="Arial" w:cs="Arial" w:eastAsia="Arial" w:hAnsi="Arial"/>
                <w:sz w:val="16"/>
                <w:szCs w:val="16"/>
                <w:color w:val="auto"/>
              </w:rPr>
              <w:t>Total United States</w:t>
            </w:r>
          </w:p>
        </w:tc>
        <w:tc>
          <w:tcPr>
            <w:tcW w:w="452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9,436</w:t>
            </w:r>
          </w:p>
        </w:tc>
        <w:tc>
          <w:tcPr>
            <w:tcW w:w="920" w:type="dxa"/>
            <w:vAlign w:val="bottom"/>
          </w:tcPr>
          <w:p>
            <w:pPr>
              <w:spacing w:after="0"/>
              <w:rPr>
                <w:sz w:val="17"/>
                <w:szCs w:val="17"/>
                <w:color w:val="auto"/>
              </w:rPr>
            </w:pPr>
          </w:p>
        </w:tc>
      </w:tr>
      <w:tr>
        <w:trPr>
          <w:trHeight w:val="258"/>
        </w:trPr>
        <w:tc>
          <w:tcPr>
            <w:tcW w:w="5000" w:type="dxa"/>
            <w:vAlign w:val="bottom"/>
          </w:tcPr>
          <w:p>
            <w:pPr>
              <w:ind w:left="2080"/>
              <w:spacing w:after="0"/>
              <w:rPr>
                <w:sz w:val="20"/>
                <w:szCs w:val="20"/>
                <w:color w:val="auto"/>
              </w:rPr>
            </w:pPr>
            <w:r>
              <w:rPr>
                <w:rFonts w:ascii="Arial" w:cs="Arial" w:eastAsia="Arial" w:hAnsi="Arial"/>
                <w:sz w:val="16"/>
                <w:szCs w:val="16"/>
                <w:b w:val="1"/>
                <w:bCs w:val="1"/>
                <w:color w:val="auto"/>
              </w:rPr>
              <w:t>Canada</w:t>
            </w:r>
          </w:p>
        </w:tc>
        <w:tc>
          <w:tcPr>
            <w:tcW w:w="45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96"/>
        </w:trPr>
        <w:tc>
          <w:tcPr>
            <w:tcW w:w="5000" w:type="dxa"/>
            <w:vAlign w:val="bottom"/>
          </w:tcPr>
          <w:p>
            <w:pPr>
              <w:ind w:left="2320"/>
              <w:spacing w:after="0"/>
              <w:rPr>
                <w:sz w:val="20"/>
                <w:szCs w:val="20"/>
                <w:color w:val="auto"/>
              </w:rPr>
            </w:pPr>
            <w:r>
              <w:rPr>
                <w:rFonts w:ascii="Arial" w:cs="Arial" w:eastAsia="Arial" w:hAnsi="Arial"/>
                <w:sz w:val="16"/>
                <w:szCs w:val="16"/>
                <w:color w:val="auto"/>
              </w:rPr>
              <w:t>Owned/leased</w:t>
            </w:r>
          </w:p>
        </w:tc>
        <w:tc>
          <w:tcPr>
            <w:tcW w:w="5540" w:type="dxa"/>
            <w:vAlign w:val="bottom"/>
            <w:gridSpan w:val="2"/>
          </w:tcPr>
          <w:p>
            <w:pPr>
              <w:jc w:val="right"/>
              <w:spacing w:after="0"/>
              <w:rPr>
                <w:sz w:val="20"/>
                <w:szCs w:val="20"/>
                <w:color w:val="auto"/>
              </w:rPr>
            </w:pPr>
            <w:r>
              <w:rPr>
                <w:rFonts w:ascii="Arial" w:cs="Arial" w:eastAsia="Arial" w:hAnsi="Arial"/>
                <w:sz w:val="16"/>
                <w:szCs w:val="16"/>
                <w:color w:val="auto"/>
              </w:rPr>
              <w:t>473</w:t>
            </w:r>
          </w:p>
        </w:tc>
        <w:tc>
          <w:tcPr>
            <w:tcW w:w="920" w:type="dxa"/>
            <w:vAlign w:val="bottom"/>
          </w:tcPr>
          <w:p>
            <w:pPr>
              <w:spacing w:after="0"/>
              <w:rPr>
                <w:sz w:val="17"/>
                <w:szCs w:val="17"/>
                <w:color w:val="auto"/>
              </w:rPr>
            </w:pPr>
          </w:p>
        </w:tc>
      </w:tr>
      <w:tr>
        <w:trPr>
          <w:trHeight w:val="208"/>
        </w:trPr>
        <w:tc>
          <w:tcPr>
            <w:tcW w:w="5000" w:type="dxa"/>
            <w:vAlign w:val="bottom"/>
          </w:tcPr>
          <w:p>
            <w:pPr>
              <w:ind w:left="2320"/>
              <w:spacing w:after="0"/>
              <w:rPr>
                <w:sz w:val="20"/>
                <w:szCs w:val="20"/>
                <w:color w:val="auto"/>
              </w:rPr>
            </w:pPr>
            <w:r>
              <w:rPr>
                <w:rFonts w:ascii="Arial" w:cs="Arial" w:eastAsia="Arial" w:hAnsi="Arial"/>
                <w:sz w:val="16"/>
                <w:szCs w:val="16"/>
                <w:color w:val="auto"/>
              </w:rPr>
              <w:t>Distributors/resellers</w:t>
            </w:r>
          </w:p>
        </w:tc>
        <w:tc>
          <w:tcPr>
            <w:tcW w:w="5540" w:type="dxa"/>
            <w:vAlign w:val="bottom"/>
            <w:gridSpan w:val="2"/>
          </w:tcPr>
          <w:p>
            <w:pPr>
              <w:jc w:val="right"/>
              <w:spacing w:after="0"/>
              <w:rPr>
                <w:sz w:val="20"/>
                <w:szCs w:val="20"/>
                <w:color w:val="auto"/>
              </w:rPr>
            </w:pPr>
            <w:r>
              <w:rPr>
                <w:rFonts w:ascii="Arial" w:cs="Arial" w:eastAsia="Arial" w:hAnsi="Arial"/>
                <w:sz w:val="16"/>
                <w:szCs w:val="16"/>
                <w:color w:val="auto"/>
              </w:rPr>
              <w:t>1,256</w:t>
            </w:r>
          </w:p>
        </w:tc>
        <w:tc>
          <w:tcPr>
            <w:tcW w:w="920" w:type="dxa"/>
            <w:vAlign w:val="bottom"/>
          </w:tcPr>
          <w:p>
            <w:pPr>
              <w:spacing w:after="0"/>
              <w:rPr>
                <w:sz w:val="18"/>
                <w:szCs w:val="18"/>
                <w:color w:val="auto"/>
              </w:rPr>
            </w:pPr>
          </w:p>
        </w:tc>
      </w:tr>
      <w:tr>
        <w:trPr>
          <w:trHeight w:val="201"/>
        </w:trPr>
        <w:tc>
          <w:tcPr>
            <w:tcW w:w="5000" w:type="dxa"/>
            <w:vAlign w:val="bottom"/>
          </w:tcPr>
          <w:p>
            <w:pPr>
              <w:ind w:left="3120"/>
              <w:spacing w:after="0"/>
              <w:rPr>
                <w:sz w:val="20"/>
                <w:szCs w:val="20"/>
                <w:color w:val="auto"/>
              </w:rPr>
            </w:pPr>
            <w:r>
              <w:rPr>
                <w:rFonts w:ascii="Arial" w:cs="Arial" w:eastAsia="Arial" w:hAnsi="Arial"/>
                <w:sz w:val="16"/>
                <w:szCs w:val="16"/>
                <w:color w:val="auto"/>
              </w:rPr>
              <w:t>Total Canada</w:t>
            </w:r>
          </w:p>
        </w:tc>
        <w:tc>
          <w:tcPr>
            <w:tcW w:w="452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1,729</w:t>
            </w:r>
          </w:p>
        </w:tc>
        <w:tc>
          <w:tcPr>
            <w:tcW w:w="920" w:type="dxa"/>
            <w:vAlign w:val="bottom"/>
          </w:tcPr>
          <w:p>
            <w:pPr>
              <w:spacing w:after="0"/>
              <w:rPr>
                <w:sz w:val="17"/>
                <w:szCs w:val="17"/>
                <w:color w:val="auto"/>
              </w:rPr>
            </w:pPr>
          </w:p>
        </w:tc>
      </w:tr>
      <w:tr>
        <w:trPr>
          <w:trHeight w:val="258"/>
        </w:trPr>
        <w:tc>
          <w:tcPr>
            <w:tcW w:w="5000" w:type="dxa"/>
            <w:vAlign w:val="bottom"/>
          </w:tcPr>
          <w:p>
            <w:pPr>
              <w:ind w:left="2080"/>
              <w:spacing w:after="0"/>
              <w:rPr>
                <w:sz w:val="20"/>
                <w:szCs w:val="20"/>
                <w:color w:val="auto"/>
              </w:rPr>
            </w:pPr>
            <w:r>
              <w:rPr>
                <w:rFonts w:ascii="Arial" w:cs="Arial" w:eastAsia="Arial" w:hAnsi="Arial"/>
                <w:sz w:val="16"/>
                <w:szCs w:val="16"/>
                <w:b w:val="1"/>
                <w:bCs w:val="1"/>
                <w:color w:val="auto"/>
              </w:rPr>
              <w:t>Europe</w:t>
            </w:r>
          </w:p>
        </w:tc>
        <w:tc>
          <w:tcPr>
            <w:tcW w:w="45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96"/>
        </w:trPr>
        <w:tc>
          <w:tcPr>
            <w:tcW w:w="5000" w:type="dxa"/>
            <w:vAlign w:val="bottom"/>
          </w:tcPr>
          <w:p>
            <w:pPr>
              <w:ind w:left="2320"/>
              <w:spacing w:after="0"/>
              <w:rPr>
                <w:sz w:val="20"/>
                <w:szCs w:val="20"/>
                <w:color w:val="auto"/>
              </w:rPr>
            </w:pPr>
            <w:r>
              <w:rPr>
                <w:rFonts w:ascii="Arial" w:cs="Arial" w:eastAsia="Arial" w:hAnsi="Arial"/>
                <w:sz w:val="16"/>
                <w:szCs w:val="16"/>
                <w:color w:val="auto"/>
              </w:rPr>
              <w:t>Owned/leased</w:t>
            </w:r>
          </w:p>
        </w:tc>
        <w:tc>
          <w:tcPr>
            <w:tcW w:w="5540" w:type="dxa"/>
            <w:vAlign w:val="bottom"/>
            <w:gridSpan w:val="2"/>
          </w:tcPr>
          <w:p>
            <w:pPr>
              <w:jc w:val="right"/>
              <w:spacing w:after="0"/>
              <w:rPr>
                <w:sz w:val="20"/>
                <w:szCs w:val="20"/>
                <w:color w:val="auto"/>
              </w:rPr>
            </w:pPr>
            <w:r>
              <w:rPr>
                <w:rFonts w:ascii="Arial" w:cs="Arial" w:eastAsia="Arial" w:hAnsi="Arial"/>
                <w:sz w:val="16"/>
                <w:szCs w:val="16"/>
                <w:color w:val="auto"/>
              </w:rPr>
              <w:t>3,209</w:t>
            </w:r>
          </w:p>
        </w:tc>
        <w:tc>
          <w:tcPr>
            <w:tcW w:w="920" w:type="dxa"/>
            <w:vAlign w:val="bottom"/>
          </w:tcPr>
          <w:p>
            <w:pPr>
              <w:spacing w:after="0"/>
              <w:rPr>
                <w:sz w:val="17"/>
                <w:szCs w:val="17"/>
                <w:color w:val="auto"/>
              </w:rPr>
            </w:pPr>
          </w:p>
        </w:tc>
      </w:tr>
      <w:tr>
        <w:trPr>
          <w:trHeight w:val="208"/>
        </w:trPr>
        <w:tc>
          <w:tcPr>
            <w:tcW w:w="5000" w:type="dxa"/>
            <w:vAlign w:val="bottom"/>
          </w:tcPr>
          <w:p>
            <w:pPr>
              <w:ind w:left="2320"/>
              <w:spacing w:after="0"/>
              <w:rPr>
                <w:sz w:val="20"/>
                <w:szCs w:val="20"/>
                <w:color w:val="auto"/>
              </w:rPr>
            </w:pPr>
            <w:r>
              <w:rPr>
                <w:rFonts w:ascii="Arial" w:cs="Arial" w:eastAsia="Arial" w:hAnsi="Arial"/>
                <w:sz w:val="16"/>
                <w:szCs w:val="16"/>
                <w:color w:val="auto"/>
              </w:rPr>
              <w:t>Distributors/resellers</w:t>
            </w:r>
          </w:p>
        </w:tc>
        <w:tc>
          <w:tcPr>
            <w:tcW w:w="5540" w:type="dxa"/>
            <w:vAlign w:val="bottom"/>
            <w:gridSpan w:val="2"/>
          </w:tcPr>
          <w:p>
            <w:pPr>
              <w:jc w:val="right"/>
              <w:spacing w:after="0"/>
              <w:rPr>
                <w:sz w:val="20"/>
                <w:szCs w:val="20"/>
                <w:color w:val="auto"/>
              </w:rPr>
            </w:pPr>
            <w:r>
              <w:rPr>
                <w:rFonts w:ascii="Arial" w:cs="Arial" w:eastAsia="Arial" w:hAnsi="Arial"/>
                <w:sz w:val="16"/>
                <w:szCs w:val="16"/>
                <w:color w:val="auto"/>
              </w:rPr>
              <w:t>3,049</w:t>
            </w:r>
          </w:p>
        </w:tc>
        <w:tc>
          <w:tcPr>
            <w:tcW w:w="920" w:type="dxa"/>
            <w:vAlign w:val="bottom"/>
          </w:tcPr>
          <w:p>
            <w:pPr>
              <w:spacing w:after="0"/>
              <w:rPr>
                <w:sz w:val="18"/>
                <w:szCs w:val="18"/>
                <w:color w:val="auto"/>
              </w:rPr>
            </w:pPr>
          </w:p>
        </w:tc>
      </w:tr>
      <w:tr>
        <w:trPr>
          <w:trHeight w:val="201"/>
        </w:trPr>
        <w:tc>
          <w:tcPr>
            <w:tcW w:w="5000" w:type="dxa"/>
            <w:vAlign w:val="bottom"/>
          </w:tcPr>
          <w:p>
            <w:pPr>
              <w:ind w:left="3120"/>
              <w:spacing w:after="0"/>
              <w:rPr>
                <w:sz w:val="20"/>
                <w:szCs w:val="20"/>
                <w:color w:val="auto"/>
              </w:rPr>
            </w:pPr>
            <w:r>
              <w:rPr>
                <w:rFonts w:ascii="Arial" w:cs="Arial" w:eastAsia="Arial" w:hAnsi="Arial"/>
                <w:sz w:val="16"/>
                <w:szCs w:val="16"/>
                <w:color w:val="auto"/>
              </w:rPr>
              <w:t>Total Europe</w:t>
            </w:r>
          </w:p>
        </w:tc>
        <w:tc>
          <w:tcPr>
            <w:tcW w:w="452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6,258</w:t>
            </w:r>
          </w:p>
        </w:tc>
        <w:tc>
          <w:tcPr>
            <w:tcW w:w="920" w:type="dxa"/>
            <w:vAlign w:val="bottom"/>
          </w:tcPr>
          <w:p>
            <w:pPr>
              <w:spacing w:after="0"/>
              <w:rPr>
                <w:sz w:val="17"/>
                <w:szCs w:val="17"/>
                <w:color w:val="auto"/>
              </w:rPr>
            </w:pPr>
          </w:p>
        </w:tc>
      </w:tr>
      <w:tr>
        <w:trPr>
          <w:trHeight w:val="258"/>
        </w:trPr>
        <w:tc>
          <w:tcPr>
            <w:tcW w:w="5000" w:type="dxa"/>
            <w:vAlign w:val="bottom"/>
          </w:tcPr>
          <w:p>
            <w:pPr>
              <w:ind w:left="2080"/>
              <w:spacing w:after="0"/>
              <w:rPr>
                <w:sz w:val="20"/>
                <w:szCs w:val="20"/>
                <w:color w:val="auto"/>
              </w:rPr>
            </w:pPr>
            <w:r>
              <w:rPr>
                <w:rFonts w:ascii="Arial" w:cs="Arial" w:eastAsia="Arial" w:hAnsi="Arial"/>
                <w:sz w:val="16"/>
                <w:szCs w:val="16"/>
                <w:b w:val="1"/>
                <w:bCs w:val="1"/>
                <w:color w:val="auto"/>
              </w:rPr>
              <w:t>Asia Pacific</w:t>
            </w:r>
          </w:p>
        </w:tc>
        <w:tc>
          <w:tcPr>
            <w:tcW w:w="45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96"/>
        </w:trPr>
        <w:tc>
          <w:tcPr>
            <w:tcW w:w="5000" w:type="dxa"/>
            <w:vAlign w:val="bottom"/>
          </w:tcPr>
          <w:p>
            <w:pPr>
              <w:ind w:left="2320"/>
              <w:spacing w:after="0"/>
              <w:rPr>
                <w:sz w:val="20"/>
                <w:szCs w:val="20"/>
                <w:color w:val="auto"/>
              </w:rPr>
            </w:pPr>
            <w:r>
              <w:rPr>
                <w:rFonts w:ascii="Arial" w:cs="Arial" w:eastAsia="Arial" w:hAnsi="Arial"/>
                <w:sz w:val="16"/>
                <w:szCs w:val="16"/>
                <w:color w:val="auto"/>
              </w:rPr>
              <w:t>Owned/leased</w:t>
            </w:r>
          </w:p>
        </w:tc>
        <w:tc>
          <w:tcPr>
            <w:tcW w:w="5540" w:type="dxa"/>
            <w:vAlign w:val="bottom"/>
            <w:gridSpan w:val="2"/>
          </w:tcPr>
          <w:p>
            <w:pPr>
              <w:jc w:val="right"/>
              <w:spacing w:after="0"/>
              <w:rPr>
                <w:sz w:val="20"/>
                <w:szCs w:val="20"/>
                <w:color w:val="auto"/>
              </w:rPr>
            </w:pPr>
            <w:r>
              <w:rPr>
                <w:rFonts w:ascii="Arial" w:cs="Arial" w:eastAsia="Arial" w:hAnsi="Arial"/>
                <w:sz w:val="16"/>
                <w:szCs w:val="16"/>
                <w:color w:val="auto"/>
              </w:rPr>
              <w:t>653</w:t>
            </w:r>
          </w:p>
        </w:tc>
        <w:tc>
          <w:tcPr>
            <w:tcW w:w="920" w:type="dxa"/>
            <w:vAlign w:val="bottom"/>
          </w:tcPr>
          <w:p>
            <w:pPr>
              <w:spacing w:after="0"/>
              <w:rPr>
                <w:sz w:val="17"/>
                <w:szCs w:val="17"/>
                <w:color w:val="auto"/>
              </w:rPr>
            </w:pPr>
          </w:p>
        </w:tc>
      </w:tr>
      <w:tr>
        <w:trPr>
          <w:trHeight w:val="208"/>
        </w:trPr>
        <w:tc>
          <w:tcPr>
            <w:tcW w:w="5000" w:type="dxa"/>
            <w:vAlign w:val="bottom"/>
          </w:tcPr>
          <w:p>
            <w:pPr>
              <w:ind w:left="2320"/>
              <w:spacing w:after="0"/>
              <w:rPr>
                <w:sz w:val="20"/>
                <w:szCs w:val="20"/>
                <w:color w:val="auto"/>
              </w:rPr>
            </w:pPr>
            <w:r>
              <w:rPr>
                <w:rFonts w:ascii="Arial" w:cs="Arial" w:eastAsia="Arial" w:hAnsi="Arial"/>
                <w:sz w:val="16"/>
                <w:szCs w:val="16"/>
                <w:color w:val="auto"/>
              </w:rPr>
              <w:t>Distributors/resellers</w:t>
            </w:r>
          </w:p>
        </w:tc>
        <w:tc>
          <w:tcPr>
            <w:tcW w:w="5540" w:type="dxa"/>
            <w:vAlign w:val="bottom"/>
            <w:gridSpan w:val="2"/>
          </w:tcPr>
          <w:p>
            <w:pPr>
              <w:jc w:val="right"/>
              <w:spacing w:after="0"/>
              <w:rPr>
                <w:sz w:val="20"/>
                <w:szCs w:val="20"/>
                <w:color w:val="auto"/>
              </w:rPr>
            </w:pPr>
            <w:r>
              <w:rPr>
                <w:rFonts w:ascii="Arial" w:cs="Arial" w:eastAsia="Arial" w:hAnsi="Arial"/>
                <w:sz w:val="16"/>
                <w:szCs w:val="16"/>
                <w:color w:val="auto"/>
              </w:rPr>
              <w:t>757</w:t>
            </w:r>
          </w:p>
        </w:tc>
        <w:tc>
          <w:tcPr>
            <w:tcW w:w="920" w:type="dxa"/>
            <w:vAlign w:val="bottom"/>
          </w:tcPr>
          <w:p>
            <w:pPr>
              <w:spacing w:after="0"/>
              <w:rPr>
                <w:sz w:val="18"/>
                <w:szCs w:val="18"/>
                <w:color w:val="auto"/>
              </w:rPr>
            </w:pPr>
          </w:p>
        </w:tc>
      </w:tr>
      <w:tr>
        <w:trPr>
          <w:trHeight w:val="201"/>
        </w:trPr>
        <w:tc>
          <w:tcPr>
            <w:tcW w:w="5000" w:type="dxa"/>
            <w:vAlign w:val="bottom"/>
          </w:tcPr>
          <w:p>
            <w:pPr>
              <w:ind w:left="3120"/>
              <w:spacing w:after="0"/>
              <w:rPr>
                <w:sz w:val="20"/>
                <w:szCs w:val="20"/>
                <w:color w:val="auto"/>
              </w:rPr>
            </w:pPr>
            <w:r>
              <w:rPr>
                <w:rFonts w:ascii="Arial" w:cs="Arial" w:eastAsia="Arial" w:hAnsi="Arial"/>
                <w:sz w:val="16"/>
                <w:szCs w:val="16"/>
                <w:color w:val="auto"/>
              </w:rPr>
              <w:t>Total Asia Pacific</w:t>
            </w:r>
          </w:p>
        </w:tc>
        <w:tc>
          <w:tcPr>
            <w:tcW w:w="452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1,410</w:t>
            </w:r>
          </w:p>
        </w:tc>
        <w:tc>
          <w:tcPr>
            <w:tcW w:w="920" w:type="dxa"/>
            <w:vAlign w:val="bottom"/>
          </w:tcPr>
          <w:p>
            <w:pPr>
              <w:spacing w:after="0"/>
              <w:rPr>
                <w:sz w:val="17"/>
                <w:szCs w:val="17"/>
                <w:color w:val="auto"/>
              </w:rPr>
            </w:pPr>
          </w:p>
        </w:tc>
      </w:tr>
      <w:tr>
        <w:trPr>
          <w:trHeight w:val="258"/>
        </w:trPr>
        <w:tc>
          <w:tcPr>
            <w:tcW w:w="5000" w:type="dxa"/>
            <w:vAlign w:val="bottom"/>
          </w:tcPr>
          <w:p>
            <w:pPr>
              <w:ind w:left="2080"/>
              <w:spacing w:after="0"/>
              <w:rPr>
                <w:sz w:val="20"/>
                <w:szCs w:val="20"/>
                <w:color w:val="auto"/>
              </w:rPr>
            </w:pPr>
            <w:r>
              <w:rPr>
                <w:rFonts w:ascii="Arial" w:cs="Arial" w:eastAsia="Arial" w:hAnsi="Arial"/>
                <w:sz w:val="16"/>
                <w:szCs w:val="16"/>
                <w:b w:val="1"/>
                <w:bCs w:val="1"/>
                <w:color w:val="auto"/>
              </w:rPr>
              <w:t>Latin America</w:t>
            </w:r>
          </w:p>
        </w:tc>
        <w:tc>
          <w:tcPr>
            <w:tcW w:w="45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96"/>
        </w:trPr>
        <w:tc>
          <w:tcPr>
            <w:tcW w:w="5000" w:type="dxa"/>
            <w:vAlign w:val="bottom"/>
          </w:tcPr>
          <w:p>
            <w:pPr>
              <w:ind w:left="2320"/>
              <w:spacing w:after="0"/>
              <w:rPr>
                <w:sz w:val="20"/>
                <w:szCs w:val="20"/>
                <w:color w:val="auto"/>
              </w:rPr>
            </w:pPr>
            <w:r>
              <w:rPr>
                <w:rFonts w:ascii="Arial" w:cs="Arial" w:eastAsia="Arial" w:hAnsi="Arial"/>
                <w:sz w:val="16"/>
                <w:szCs w:val="16"/>
                <w:color w:val="auto"/>
              </w:rPr>
              <w:t>Owned/leased</w:t>
            </w:r>
          </w:p>
        </w:tc>
        <w:tc>
          <w:tcPr>
            <w:tcW w:w="554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920" w:type="dxa"/>
            <w:vAlign w:val="bottom"/>
          </w:tcPr>
          <w:p>
            <w:pPr>
              <w:spacing w:after="0"/>
              <w:rPr>
                <w:sz w:val="17"/>
                <w:szCs w:val="17"/>
                <w:color w:val="auto"/>
              </w:rPr>
            </w:pPr>
          </w:p>
        </w:tc>
      </w:tr>
      <w:tr>
        <w:trPr>
          <w:trHeight w:val="208"/>
        </w:trPr>
        <w:tc>
          <w:tcPr>
            <w:tcW w:w="5000" w:type="dxa"/>
            <w:vAlign w:val="bottom"/>
          </w:tcPr>
          <w:p>
            <w:pPr>
              <w:ind w:left="2320"/>
              <w:spacing w:after="0"/>
              <w:rPr>
                <w:sz w:val="20"/>
                <w:szCs w:val="20"/>
                <w:color w:val="auto"/>
              </w:rPr>
            </w:pPr>
            <w:r>
              <w:rPr>
                <w:rFonts w:ascii="Arial" w:cs="Arial" w:eastAsia="Arial" w:hAnsi="Arial"/>
                <w:sz w:val="16"/>
                <w:szCs w:val="16"/>
                <w:color w:val="auto"/>
              </w:rPr>
              <w:t>Distributors/resellers</w:t>
            </w:r>
          </w:p>
        </w:tc>
        <w:tc>
          <w:tcPr>
            <w:tcW w:w="5540" w:type="dxa"/>
            <w:vAlign w:val="bottom"/>
            <w:gridSpan w:val="2"/>
          </w:tcPr>
          <w:p>
            <w:pPr>
              <w:jc w:val="right"/>
              <w:spacing w:after="0"/>
              <w:rPr>
                <w:sz w:val="20"/>
                <w:szCs w:val="20"/>
                <w:color w:val="auto"/>
              </w:rPr>
            </w:pPr>
            <w:r>
              <w:rPr>
                <w:rFonts w:ascii="Arial" w:cs="Arial" w:eastAsia="Arial" w:hAnsi="Arial"/>
                <w:sz w:val="16"/>
                <w:szCs w:val="16"/>
                <w:color w:val="auto"/>
              </w:rPr>
              <w:t>734</w:t>
            </w:r>
          </w:p>
        </w:tc>
        <w:tc>
          <w:tcPr>
            <w:tcW w:w="920" w:type="dxa"/>
            <w:vAlign w:val="bottom"/>
          </w:tcPr>
          <w:p>
            <w:pPr>
              <w:spacing w:after="0"/>
              <w:rPr>
                <w:sz w:val="18"/>
                <w:szCs w:val="18"/>
                <w:color w:val="auto"/>
              </w:rPr>
            </w:pPr>
          </w:p>
        </w:tc>
      </w:tr>
      <w:tr>
        <w:trPr>
          <w:trHeight w:val="201"/>
        </w:trPr>
        <w:tc>
          <w:tcPr>
            <w:tcW w:w="5000" w:type="dxa"/>
            <w:vAlign w:val="bottom"/>
          </w:tcPr>
          <w:p>
            <w:pPr>
              <w:ind w:left="3120"/>
              <w:spacing w:after="0"/>
              <w:rPr>
                <w:sz w:val="20"/>
                <w:szCs w:val="20"/>
                <w:color w:val="auto"/>
              </w:rPr>
            </w:pPr>
            <w:r>
              <w:rPr>
                <w:rFonts w:ascii="Arial" w:cs="Arial" w:eastAsia="Arial" w:hAnsi="Arial"/>
                <w:sz w:val="16"/>
                <w:szCs w:val="16"/>
                <w:color w:val="auto"/>
              </w:rPr>
              <w:t>Total Latin America</w:t>
            </w:r>
          </w:p>
        </w:tc>
        <w:tc>
          <w:tcPr>
            <w:tcW w:w="452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749</w:t>
            </w:r>
          </w:p>
        </w:tc>
        <w:tc>
          <w:tcPr>
            <w:tcW w:w="920" w:type="dxa"/>
            <w:vAlign w:val="bottom"/>
          </w:tcPr>
          <w:p>
            <w:pPr>
              <w:spacing w:after="0"/>
              <w:rPr>
                <w:sz w:val="17"/>
                <w:szCs w:val="17"/>
                <w:color w:val="auto"/>
              </w:rPr>
            </w:pPr>
          </w:p>
        </w:tc>
      </w:tr>
      <w:tr>
        <w:trPr>
          <w:trHeight w:val="258"/>
        </w:trPr>
        <w:tc>
          <w:tcPr>
            <w:tcW w:w="5000" w:type="dxa"/>
            <w:vAlign w:val="bottom"/>
          </w:tcPr>
          <w:p>
            <w:pPr>
              <w:ind w:left="2080"/>
              <w:spacing w:after="0"/>
              <w:rPr>
                <w:sz w:val="20"/>
                <w:szCs w:val="20"/>
                <w:color w:val="auto"/>
              </w:rPr>
            </w:pPr>
            <w:r>
              <w:rPr>
                <w:rFonts w:ascii="Arial" w:cs="Arial" w:eastAsia="Arial" w:hAnsi="Arial"/>
                <w:sz w:val="16"/>
                <w:szCs w:val="16"/>
                <w:b w:val="1"/>
                <w:bCs w:val="1"/>
                <w:color w:val="auto"/>
              </w:rPr>
              <w:t>Middle East/Africa</w:t>
            </w:r>
          </w:p>
        </w:tc>
        <w:tc>
          <w:tcPr>
            <w:tcW w:w="45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96"/>
        </w:trPr>
        <w:tc>
          <w:tcPr>
            <w:tcW w:w="5000" w:type="dxa"/>
            <w:vAlign w:val="bottom"/>
          </w:tcPr>
          <w:p>
            <w:pPr>
              <w:ind w:left="2320"/>
              <w:spacing w:after="0"/>
              <w:rPr>
                <w:sz w:val="20"/>
                <w:szCs w:val="20"/>
                <w:color w:val="auto"/>
              </w:rPr>
            </w:pPr>
            <w:r>
              <w:rPr>
                <w:rFonts w:ascii="Arial" w:cs="Arial" w:eastAsia="Arial" w:hAnsi="Arial"/>
                <w:sz w:val="16"/>
                <w:szCs w:val="16"/>
                <w:color w:val="auto"/>
              </w:rPr>
              <w:t>Owned/leased</w:t>
            </w:r>
          </w:p>
        </w:tc>
        <w:tc>
          <w:tcPr>
            <w:tcW w:w="5540" w:type="dxa"/>
            <w:vAlign w:val="bottom"/>
            <w:gridSpan w:val="2"/>
          </w:tcPr>
          <w:p>
            <w:pPr>
              <w:jc w:val="right"/>
              <w:spacing w:after="0"/>
              <w:rPr>
                <w:sz w:val="20"/>
                <w:szCs w:val="20"/>
                <w:color w:val="auto"/>
              </w:rPr>
            </w:pPr>
            <w:r>
              <w:rPr>
                <w:rFonts w:ascii="Arial" w:cs="Arial" w:eastAsia="Arial" w:hAnsi="Arial"/>
                <w:sz w:val="16"/>
                <w:szCs w:val="16"/>
                <w:color w:val="auto"/>
              </w:rPr>
              <w:t>404</w:t>
            </w:r>
          </w:p>
        </w:tc>
        <w:tc>
          <w:tcPr>
            <w:tcW w:w="920" w:type="dxa"/>
            <w:vAlign w:val="bottom"/>
          </w:tcPr>
          <w:p>
            <w:pPr>
              <w:spacing w:after="0"/>
              <w:rPr>
                <w:sz w:val="17"/>
                <w:szCs w:val="17"/>
                <w:color w:val="auto"/>
              </w:rPr>
            </w:pPr>
          </w:p>
        </w:tc>
      </w:tr>
      <w:tr>
        <w:trPr>
          <w:trHeight w:val="208"/>
        </w:trPr>
        <w:tc>
          <w:tcPr>
            <w:tcW w:w="5000" w:type="dxa"/>
            <w:vAlign w:val="bottom"/>
          </w:tcPr>
          <w:p>
            <w:pPr>
              <w:ind w:left="2320"/>
              <w:spacing w:after="0"/>
              <w:rPr>
                <w:sz w:val="20"/>
                <w:szCs w:val="20"/>
                <w:color w:val="auto"/>
              </w:rPr>
            </w:pPr>
            <w:r>
              <w:rPr>
                <w:rFonts w:ascii="Arial" w:cs="Arial" w:eastAsia="Arial" w:hAnsi="Arial"/>
                <w:sz w:val="16"/>
                <w:szCs w:val="16"/>
                <w:color w:val="auto"/>
              </w:rPr>
              <w:t>Distributors/resellers</w:t>
            </w:r>
          </w:p>
        </w:tc>
        <w:tc>
          <w:tcPr>
            <w:tcW w:w="5540" w:type="dxa"/>
            <w:vAlign w:val="bottom"/>
            <w:gridSpan w:val="2"/>
          </w:tcPr>
          <w:p>
            <w:pPr>
              <w:jc w:val="right"/>
              <w:spacing w:after="0"/>
              <w:rPr>
                <w:sz w:val="20"/>
                <w:szCs w:val="20"/>
                <w:color w:val="auto"/>
              </w:rPr>
            </w:pPr>
            <w:r>
              <w:rPr>
                <w:rFonts w:ascii="Arial" w:cs="Arial" w:eastAsia="Arial" w:hAnsi="Arial"/>
                <w:sz w:val="16"/>
                <w:szCs w:val="16"/>
                <w:color w:val="auto"/>
              </w:rPr>
              <w:t>231</w:t>
            </w:r>
          </w:p>
        </w:tc>
        <w:tc>
          <w:tcPr>
            <w:tcW w:w="920" w:type="dxa"/>
            <w:vAlign w:val="bottom"/>
          </w:tcPr>
          <w:p>
            <w:pPr>
              <w:spacing w:after="0"/>
              <w:rPr>
                <w:sz w:val="18"/>
                <w:szCs w:val="18"/>
                <w:color w:val="auto"/>
              </w:rPr>
            </w:pPr>
          </w:p>
        </w:tc>
      </w:tr>
      <w:tr>
        <w:trPr>
          <w:trHeight w:val="201"/>
        </w:trPr>
        <w:tc>
          <w:tcPr>
            <w:tcW w:w="5000" w:type="dxa"/>
            <w:vAlign w:val="bottom"/>
          </w:tcPr>
          <w:p>
            <w:pPr>
              <w:ind w:left="3120"/>
              <w:spacing w:after="0"/>
              <w:rPr>
                <w:sz w:val="20"/>
                <w:szCs w:val="20"/>
                <w:color w:val="auto"/>
              </w:rPr>
            </w:pPr>
            <w:r>
              <w:rPr>
                <w:rFonts w:ascii="Arial" w:cs="Arial" w:eastAsia="Arial" w:hAnsi="Arial"/>
                <w:sz w:val="16"/>
                <w:szCs w:val="16"/>
                <w:color w:val="auto"/>
              </w:rPr>
              <w:t>Total Middle East/Africa</w:t>
            </w:r>
          </w:p>
        </w:tc>
        <w:tc>
          <w:tcPr>
            <w:tcW w:w="452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635</w:t>
            </w:r>
          </w:p>
        </w:tc>
        <w:tc>
          <w:tcPr>
            <w:tcW w:w="920" w:type="dxa"/>
            <w:vAlign w:val="bottom"/>
          </w:tcPr>
          <w:p>
            <w:pPr>
              <w:spacing w:after="0"/>
              <w:rPr>
                <w:sz w:val="17"/>
                <w:szCs w:val="17"/>
                <w:color w:val="auto"/>
              </w:rPr>
            </w:pPr>
          </w:p>
        </w:tc>
      </w:tr>
      <w:tr>
        <w:trPr>
          <w:trHeight w:val="258"/>
        </w:trPr>
        <w:tc>
          <w:tcPr>
            <w:tcW w:w="5000" w:type="dxa"/>
            <w:vAlign w:val="bottom"/>
          </w:tcPr>
          <w:p>
            <w:pPr>
              <w:ind w:left="2080"/>
              <w:spacing w:after="0"/>
              <w:rPr>
                <w:sz w:val="20"/>
                <w:szCs w:val="20"/>
                <w:color w:val="auto"/>
              </w:rPr>
            </w:pPr>
            <w:r>
              <w:rPr>
                <w:rFonts w:ascii="Arial" w:cs="Arial" w:eastAsia="Arial" w:hAnsi="Arial"/>
                <w:sz w:val="16"/>
                <w:szCs w:val="16"/>
                <w:b w:val="1"/>
                <w:bCs w:val="1"/>
                <w:color w:val="auto"/>
              </w:rPr>
              <w:t>Worldwide</w:t>
            </w:r>
          </w:p>
        </w:tc>
        <w:tc>
          <w:tcPr>
            <w:tcW w:w="45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96"/>
        </w:trPr>
        <w:tc>
          <w:tcPr>
            <w:tcW w:w="5000" w:type="dxa"/>
            <w:vAlign w:val="bottom"/>
          </w:tcPr>
          <w:p>
            <w:pPr>
              <w:ind w:left="2320"/>
              <w:spacing w:after="0"/>
              <w:rPr>
                <w:sz w:val="20"/>
                <w:szCs w:val="20"/>
                <w:color w:val="auto"/>
              </w:rPr>
            </w:pPr>
            <w:r>
              <w:rPr>
                <w:rFonts w:ascii="Arial" w:cs="Arial" w:eastAsia="Arial" w:hAnsi="Arial"/>
                <w:sz w:val="16"/>
                <w:szCs w:val="16"/>
                <w:color w:val="auto"/>
              </w:rPr>
              <w:t>Owned/leased</w:t>
            </w:r>
          </w:p>
        </w:tc>
        <w:tc>
          <w:tcPr>
            <w:tcW w:w="5540" w:type="dxa"/>
            <w:vAlign w:val="bottom"/>
            <w:gridSpan w:val="2"/>
          </w:tcPr>
          <w:p>
            <w:pPr>
              <w:jc w:val="right"/>
              <w:spacing w:after="0"/>
              <w:rPr>
                <w:sz w:val="20"/>
                <w:szCs w:val="20"/>
                <w:color w:val="auto"/>
              </w:rPr>
            </w:pPr>
            <w:r>
              <w:rPr>
                <w:rFonts w:ascii="Arial" w:cs="Arial" w:eastAsia="Arial" w:hAnsi="Arial"/>
                <w:sz w:val="16"/>
                <w:szCs w:val="16"/>
                <w:color w:val="auto"/>
              </w:rPr>
              <w:t>4,754</w:t>
            </w:r>
          </w:p>
        </w:tc>
        <w:tc>
          <w:tcPr>
            <w:tcW w:w="920" w:type="dxa"/>
            <w:vAlign w:val="bottom"/>
          </w:tcPr>
          <w:p>
            <w:pPr>
              <w:spacing w:after="0"/>
              <w:rPr>
                <w:sz w:val="17"/>
                <w:szCs w:val="17"/>
                <w:color w:val="auto"/>
              </w:rPr>
            </w:pPr>
          </w:p>
        </w:tc>
      </w:tr>
      <w:tr>
        <w:trPr>
          <w:trHeight w:val="208"/>
        </w:trPr>
        <w:tc>
          <w:tcPr>
            <w:tcW w:w="5000" w:type="dxa"/>
            <w:vAlign w:val="bottom"/>
          </w:tcPr>
          <w:p>
            <w:pPr>
              <w:ind w:left="2320"/>
              <w:spacing w:after="0"/>
              <w:rPr>
                <w:sz w:val="20"/>
                <w:szCs w:val="20"/>
                <w:color w:val="auto"/>
              </w:rPr>
            </w:pPr>
            <w:r>
              <w:rPr>
                <w:rFonts w:ascii="Arial" w:cs="Arial" w:eastAsia="Arial" w:hAnsi="Arial"/>
                <w:sz w:val="16"/>
                <w:szCs w:val="16"/>
                <w:color w:val="auto"/>
              </w:rPr>
              <w:t>Distributors/resellers</w:t>
            </w:r>
          </w:p>
        </w:tc>
        <w:tc>
          <w:tcPr>
            <w:tcW w:w="5540" w:type="dxa"/>
            <w:vAlign w:val="bottom"/>
            <w:gridSpan w:val="2"/>
          </w:tcPr>
          <w:p>
            <w:pPr>
              <w:jc w:val="right"/>
              <w:spacing w:after="0"/>
              <w:rPr>
                <w:sz w:val="20"/>
                <w:szCs w:val="20"/>
                <w:color w:val="auto"/>
              </w:rPr>
            </w:pPr>
            <w:r>
              <w:rPr>
                <w:rFonts w:ascii="Arial" w:cs="Arial" w:eastAsia="Arial" w:hAnsi="Arial"/>
                <w:sz w:val="16"/>
                <w:szCs w:val="16"/>
                <w:color w:val="auto"/>
              </w:rPr>
              <w:t>15,463</w:t>
            </w:r>
          </w:p>
        </w:tc>
        <w:tc>
          <w:tcPr>
            <w:tcW w:w="920" w:type="dxa"/>
            <w:vAlign w:val="bottom"/>
          </w:tcPr>
          <w:p>
            <w:pPr>
              <w:spacing w:after="0"/>
              <w:rPr>
                <w:sz w:val="18"/>
                <w:szCs w:val="18"/>
                <w:color w:val="auto"/>
              </w:rPr>
            </w:pPr>
          </w:p>
        </w:tc>
      </w:tr>
      <w:tr>
        <w:trPr>
          <w:trHeight w:val="189"/>
        </w:trPr>
        <w:tc>
          <w:tcPr>
            <w:tcW w:w="5000" w:type="dxa"/>
            <w:vAlign w:val="bottom"/>
          </w:tcPr>
          <w:p>
            <w:pPr>
              <w:ind w:left="3120"/>
              <w:spacing w:after="0"/>
              <w:rPr>
                <w:sz w:val="20"/>
                <w:szCs w:val="20"/>
                <w:color w:val="auto"/>
              </w:rPr>
            </w:pPr>
            <w:r>
              <w:rPr>
                <w:rFonts w:ascii="Arial" w:cs="Arial" w:eastAsia="Arial" w:hAnsi="Arial"/>
                <w:sz w:val="16"/>
                <w:szCs w:val="16"/>
                <w:color w:val="auto"/>
              </w:rPr>
              <w:t>Total Worldwide</w:t>
            </w:r>
          </w:p>
        </w:tc>
        <w:tc>
          <w:tcPr>
            <w:tcW w:w="452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20,217</w:t>
            </w:r>
          </w:p>
        </w:tc>
        <w:tc>
          <w:tcPr>
            <w:tcW w:w="920" w:type="dxa"/>
            <w:vAlign w:val="bottom"/>
          </w:tcPr>
          <w:p>
            <w:pPr>
              <w:spacing w:after="0"/>
              <w:rPr>
                <w:sz w:val="16"/>
                <w:szCs w:val="16"/>
                <w:color w:val="auto"/>
              </w:rPr>
            </w:pPr>
          </w:p>
        </w:tc>
      </w:tr>
      <w:tr>
        <w:trPr>
          <w:trHeight w:val="212"/>
        </w:trPr>
        <w:tc>
          <w:tcPr>
            <w:tcW w:w="5000" w:type="dxa"/>
            <w:vAlign w:val="bottom"/>
          </w:tcPr>
          <w:p>
            <w:pPr>
              <w:spacing w:after="0"/>
              <w:rPr>
                <w:sz w:val="18"/>
                <w:szCs w:val="18"/>
                <w:color w:val="auto"/>
              </w:rPr>
            </w:pPr>
          </w:p>
        </w:tc>
        <w:tc>
          <w:tcPr>
            <w:tcW w:w="4520" w:type="dxa"/>
            <w:vAlign w:val="bottom"/>
          </w:tcPr>
          <w:p>
            <w:pPr>
              <w:jc w:val="right"/>
              <w:ind w:right="3078"/>
              <w:spacing w:after="0"/>
              <w:rPr>
                <w:sz w:val="20"/>
                <w:szCs w:val="20"/>
                <w:color w:val="auto"/>
              </w:rPr>
            </w:pPr>
            <w:r>
              <w:rPr>
                <w:rFonts w:ascii="Arial" w:cs="Arial" w:eastAsia="Arial" w:hAnsi="Arial"/>
                <w:sz w:val="16"/>
                <w:szCs w:val="16"/>
                <w:color w:val="auto"/>
              </w:rPr>
              <w:t>24</w:t>
            </w: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732"/>
        </w:trPr>
        <w:tc>
          <w:tcPr>
            <w:tcW w:w="500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654" w:right="19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Information with regard to the Chemical segment follows: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ExxonMobil’s Chemical segment manufactures and sells petrochemicals. The Chemical business supplies olefins, polyolefins, aromatics, and a wide variety o petrochemicals.</w:t>
      </w:r>
    </w:p>
    <w:p>
      <w:pPr>
        <w:spacing w:after="0" w:line="48"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 xml:space="preserve">Chemical Complex Capacity At Year-End 2014 </w:t>
      </w:r>
      <w:r>
        <w:rPr>
          <w:rFonts w:ascii="Arial" w:cs="Arial" w:eastAsia="Arial" w:hAnsi="Arial"/>
          <w:sz w:val="13"/>
          <w:szCs w:val="13"/>
          <w:i w:val="1"/>
          <w:iCs w:val="1"/>
          <w:color w:val="auto"/>
        </w:rPr>
        <w:t>(1)(2)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3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ExxonMo</w:t>
            </w:r>
          </w:p>
        </w:tc>
      </w:tr>
      <w:tr>
        <w:trPr>
          <w:trHeight w:val="196"/>
        </w:trPr>
        <w:tc>
          <w:tcPr>
            <w:tcW w:w="23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40" w:type="dxa"/>
            <w:vAlign w:val="bottom"/>
          </w:tcPr>
          <w:p>
            <w:pPr>
              <w:jc w:val="right"/>
              <w:ind w:right="379"/>
              <w:spacing w:after="0"/>
              <w:rPr>
                <w:sz w:val="20"/>
                <w:szCs w:val="20"/>
                <w:color w:val="auto"/>
              </w:rPr>
            </w:pPr>
            <w:r>
              <w:rPr>
                <w:rFonts w:ascii="Arial" w:cs="Arial" w:eastAsia="Arial" w:hAnsi="Arial"/>
                <w:sz w:val="13"/>
                <w:szCs w:val="13"/>
                <w:b w:val="1"/>
                <w:bCs w:val="1"/>
                <w:color w:val="auto"/>
              </w:rPr>
              <w:t>Ethylene</w:t>
            </w:r>
          </w:p>
        </w:tc>
        <w:tc>
          <w:tcPr>
            <w:tcW w:w="1520" w:type="dxa"/>
            <w:vAlign w:val="bottom"/>
          </w:tcPr>
          <w:p>
            <w:pPr>
              <w:jc w:val="right"/>
              <w:ind w:right="279"/>
              <w:spacing w:after="0"/>
              <w:rPr>
                <w:sz w:val="20"/>
                <w:szCs w:val="20"/>
                <w:color w:val="auto"/>
              </w:rPr>
            </w:pPr>
            <w:r>
              <w:rPr>
                <w:rFonts w:ascii="Arial" w:cs="Arial" w:eastAsia="Arial" w:hAnsi="Arial"/>
                <w:sz w:val="13"/>
                <w:szCs w:val="13"/>
                <w:b w:val="1"/>
                <w:bCs w:val="1"/>
                <w:color w:val="auto"/>
              </w:rPr>
              <w:t>Polyethylene</w:t>
            </w:r>
          </w:p>
        </w:tc>
        <w:tc>
          <w:tcPr>
            <w:tcW w:w="1540" w:type="dxa"/>
            <w:vAlign w:val="bottom"/>
          </w:tcPr>
          <w:p>
            <w:pPr>
              <w:jc w:val="right"/>
              <w:ind w:right="299"/>
              <w:spacing w:after="0"/>
              <w:rPr>
                <w:sz w:val="20"/>
                <w:szCs w:val="20"/>
                <w:color w:val="auto"/>
              </w:rPr>
            </w:pPr>
            <w:r>
              <w:rPr>
                <w:rFonts w:ascii="Arial" w:cs="Arial" w:eastAsia="Arial" w:hAnsi="Arial"/>
                <w:sz w:val="13"/>
                <w:szCs w:val="13"/>
                <w:b w:val="1"/>
                <w:bCs w:val="1"/>
                <w:color w:val="auto"/>
              </w:rPr>
              <w:t>Polypropylene</w:t>
            </w:r>
          </w:p>
        </w:tc>
        <w:tc>
          <w:tcPr>
            <w:tcW w:w="1440" w:type="dxa"/>
            <w:vAlign w:val="bottom"/>
          </w:tcPr>
          <w:p>
            <w:pPr>
              <w:jc w:val="right"/>
              <w:ind w:right="339"/>
              <w:spacing w:after="0"/>
              <w:rPr>
                <w:sz w:val="20"/>
                <w:szCs w:val="20"/>
                <w:color w:val="auto"/>
              </w:rPr>
            </w:pPr>
            <w:r>
              <w:rPr>
                <w:rFonts w:ascii="Arial" w:cs="Arial" w:eastAsia="Arial" w:hAnsi="Arial"/>
                <w:sz w:val="13"/>
                <w:szCs w:val="13"/>
                <w:b w:val="1"/>
                <w:bCs w:val="1"/>
                <w:color w:val="auto"/>
              </w:rPr>
              <w:t>Paraxylene</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Interest</w:t>
            </w:r>
          </w:p>
        </w:tc>
      </w:tr>
      <w:tr>
        <w:trPr>
          <w:trHeight w:val="23"/>
        </w:trPr>
        <w:tc>
          <w:tcPr>
            <w:tcW w:w="2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76"/>
        </w:trPr>
        <w:tc>
          <w:tcPr>
            <w:tcW w:w="2300" w:type="dxa"/>
            <w:vAlign w:val="bottom"/>
          </w:tcPr>
          <w:p>
            <w:pPr>
              <w:spacing w:after="0" w:line="176" w:lineRule="exact"/>
              <w:rPr>
                <w:sz w:val="20"/>
                <w:szCs w:val="20"/>
                <w:color w:val="auto"/>
              </w:rPr>
            </w:pPr>
            <w:r>
              <w:rPr>
                <w:rFonts w:ascii="Arial" w:cs="Arial" w:eastAsia="Arial" w:hAnsi="Arial"/>
                <w:sz w:val="16"/>
                <w:szCs w:val="16"/>
                <w:b w:val="1"/>
                <w:bCs w:val="1"/>
                <w:color w:val="auto"/>
              </w:rPr>
              <w:t>North America</w:t>
            </w:r>
          </w:p>
        </w:tc>
        <w:tc>
          <w:tcPr>
            <w:tcW w:w="18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6"/>
        </w:trPr>
        <w:tc>
          <w:tcPr>
            <w:tcW w:w="2300" w:type="dxa"/>
            <w:vAlign w:val="bottom"/>
          </w:tcPr>
          <w:p>
            <w:pPr>
              <w:ind w:left="240"/>
              <w:spacing w:after="0"/>
              <w:rPr>
                <w:sz w:val="20"/>
                <w:szCs w:val="20"/>
                <w:color w:val="auto"/>
              </w:rPr>
            </w:pPr>
            <w:r>
              <w:rPr>
                <w:rFonts w:ascii="Arial" w:cs="Arial" w:eastAsia="Arial" w:hAnsi="Arial"/>
                <w:sz w:val="16"/>
                <w:szCs w:val="16"/>
                <w:color w:val="auto"/>
              </w:rPr>
              <w:t>Baton Rouge</w:t>
            </w:r>
          </w:p>
        </w:tc>
        <w:tc>
          <w:tcPr>
            <w:tcW w:w="1840" w:type="dxa"/>
            <w:vAlign w:val="bottom"/>
          </w:tcPr>
          <w:p>
            <w:pPr>
              <w:ind w:left="460"/>
              <w:spacing w:after="0"/>
              <w:rPr>
                <w:sz w:val="20"/>
                <w:szCs w:val="20"/>
                <w:color w:val="auto"/>
              </w:rPr>
            </w:pPr>
            <w:r>
              <w:rPr>
                <w:rFonts w:ascii="Arial" w:cs="Arial" w:eastAsia="Arial" w:hAnsi="Arial"/>
                <w:sz w:val="16"/>
                <w:szCs w:val="16"/>
                <w:color w:val="auto"/>
              </w:rPr>
              <w:t>Louisiana</w:t>
            </w:r>
          </w:p>
        </w:tc>
        <w:tc>
          <w:tcPr>
            <w:tcW w:w="1440" w:type="dxa"/>
            <w:vAlign w:val="bottom"/>
          </w:tcPr>
          <w:p>
            <w:pPr>
              <w:jc w:val="right"/>
              <w:ind w:right="379"/>
              <w:spacing w:after="0"/>
              <w:rPr>
                <w:sz w:val="20"/>
                <w:szCs w:val="20"/>
                <w:color w:val="auto"/>
              </w:rPr>
            </w:pPr>
            <w:r>
              <w:rPr>
                <w:rFonts w:ascii="Arial" w:cs="Arial" w:eastAsia="Arial" w:hAnsi="Arial"/>
                <w:sz w:val="16"/>
                <w:szCs w:val="16"/>
                <w:color w:val="auto"/>
              </w:rPr>
              <w:t>1.0</w:t>
            </w:r>
          </w:p>
        </w:tc>
        <w:tc>
          <w:tcPr>
            <w:tcW w:w="1520" w:type="dxa"/>
            <w:vAlign w:val="bottom"/>
          </w:tcPr>
          <w:p>
            <w:pPr>
              <w:jc w:val="right"/>
              <w:ind w:right="399"/>
              <w:spacing w:after="0"/>
              <w:rPr>
                <w:sz w:val="20"/>
                <w:szCs w:val="20"/>
                <w:color w:val="auto"/>
              </w:rPr>
            </w:pPr>
            <w:r>
              <w:rPr>
                <w:rFonts w:ascii="Arial" w:cs="Arial" w:eastAsia="Arial" w:hAnsi="Arial"/>
                <w:sz w:val="16"/>
                <w:szCs w:val="16"/>
                <w:color w:val="auto"/>
              </w:rPr>
              <w:t>1.3</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0.4</w:t>
            </w:r>
          </w:p>
        </w:tc>
        <w:tc>
          <w:tcPr>
            <w:tcW w:w="14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196"/>
        </w:trPr>
        <w:tc>
          <w:tcPr>
            <w:tcW w:w="2300" w:type="dxa"/>
            <w:vAlign w:val="bottom"/>
          </w:tcPr>
          <w:p>
            <w:pPr>
              <w:ind w:left="240"/>
              <w:spacing w:after="0"/>
              <w:rPr>
                <w:sz w:val="20"/>
                <w:szCs w:val="20"/>
                <w:color w:val="auto"/>
              </w:rPr>
            </w:pPr>
            <w:r>
              <w:rPr>
                <w:rFonts w:ascii="Arial" w:cs="Arial" w:eastAsia="Arial" w:hAnsi="Arial"/>
                <w:sz w:val="16"/>
                <w:szCs w:val="16"/>
                <w:color w:val="auto"/>
              </w:rPr>
              <w:t>Baytown</w:t>
            </w:r>
          </w:p>
        </w:tc>
        <w:tc>
          <w:tcPr>
            <w:tcW w:w="1840" w:type="dxa"/>
            <w:vAlign w:val="bottom"/>
          </w:tcPr>
          <w:p>
            <w:pPr>
              <w:ind w:left="460"/>
              <w:spacing w:after="0"/>
              <w:rPr>
                <w:sz w:val="20"/>
                <w:szCs w:val="20"/>
                <w:color w:val="auto"/>
              </w:rPr>
            </w:pPr>
            <w:r>
              <w:rPr>
                <w:rFonts w:ascii="Arial" w:cs="Arial" w:eastAsia="Arial" w:hAnsi="Arial"/>
                <w:sz w:val="16"/>
                <w:szCs w:val="16"/>
                <w:color w:val="auto"/>
              </w:rPr>
              <w:t>Texas</w:t>
            </w:r>
          </w:p>
        </w:tc>
        <w:tc>
          <w:tcPr>
            <w:tcW w:w="1440" w:type="dxa"/>
            <w:vAlign w:val="bottom"/>
          </w:tcPr>
          <w:p>
            <w:pPr>
              <w:jc w:val="right"/>
              <w:ind w:right="379"/>
              <w:spacing w:after="0"/>
              <w:rPr>
                <w:sz w:val="20"/>
                <w:szCs w:val="20"/>
                <w:color w:val="auto"/>
              </w:rPr>
            </w:pPr>
            <w:r>
              <w:rPr>
                <w:rFonts w:ascii="Arial" w:cs="Arial" w:eastAsia="Arial" w:hAnsi="Arial"/>
                <w:sz w:val="16"/>
                <w:szCs w:val="16"/>
                <w:color w:val="auto"/>
              </w:rPr>
              <w:t>2.2</w:t>
            </w:r>
          </w:p>
        </w:tc>
        <w:tc>
          <w:tcPr>
            <w:tcW w:w="15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0.7</w:t>
            </w:r>
          </w:p>
        </w:tc>
        <w:tc>
          <w:tcPr>
            <w:tcW w:w="1440" w:type="dxa"/>
            <w:vAlign w:val="bottom"/>
          </w:tcPr>
          <w:p>
            <w:pPr>
              <w:jc w:val="right"/>
              <w:ind w:right="419"/>
              <w:spacing w:after="0"/>
              <w:rPr>
                <w:sz w:val="20"/>
                <w:szCs w:val="20"/>
                <w:color w:val="auto"/>
              </w:rPr>
            </w:pPr>
            <w:r>
              <w:rPr>
                <w:rFonts w:ascii="Arial" w:cs="Arial" w:eastAsia="Arial" w:hAnsi="Arial"/>
                <w:sz w:val="16"/>
                <w:szCs w:val="16"/>
                <w:color w:val="auto"/>
              </w:rPr>
              <w:t>0.6</w:t>
            </w:r>
          </w:p>
        </w:tc>
        <w:tc>
          <w:tcPr>
            <w:tcW w:w="8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196"/>
        </w:trPr>
        <w:tc>
          <w:tcPr>
            <w:tcW w:w="2300" w:type="dxa"/>
            <w:vAlign w:val="bottom"/>
          </w:tcPr>
          <w:p>
            <w:pPr>
              <w:ind w:left="240"/>
              <w:spacing w:after="0"/>
              <w:rPr>
                <w:sz w:val="20"/>
                <w:szCs w:val="20"/>
                <w:color w:val="auto"/>
              </w:rPr>
            </w:pPr>
            <w:r>
              <w:rPr>
                <w:rFonts w:ascii="Arial" w:cs="Arial" w:eastAsia="Arial" w:hAnsi="Arial"/>
                <w:sz w:val="16"/>
                <w:szCs w:val="16"/>
                <w:color w:val="auto"/>
              </w:rPr>
              <w:t>Beaumont</w:t>
            </w:r>
          </w:p>
        </w:tc>
        <w:tc>
          <w:tcPr>
            <w:tcW w:w="1840" w:type="dxa"/>
            <w:vAlign w:val="bottom"/>
          </w:tcPr>
          <w:p>
            <w:pPr>
              <w:ind w:left="460"/>
              <w:spacing w:after="0"/>
              <w:rPr>
                <w:sz w:val="20"/>
                <w:szCs w:val="20"/>
                <w:color w:val="auto"/>
              </w:rPr>
            </w:pPr>
            <w:r>
              <w:rPr>
                <w:rFonts w:ascii="Arial" w:cs="Arial" w:eastAsia="Arial" w:hAnsi="Arial"/>
                <w:sz w:val="16"/>
                <w:szCs w:val="16"/>
                <w:color w:val="auto"/>
              </w:rPr>
              <w:t>Texas</w:t>
            </w:r>
          </w:p>
        </w:tc>
        <w:tc>
          <w:tcPr>
            <w:tcW w:w="1440" w:type="dxa"/>
            <w:vAlign w:val="bottom"/>
          </w:tcPr>
          <w:p>
            <w:pPr>
              <w:jc w:val="right"/>
              <w:ind w:right="379"/>
              <w:spacing w:after="0"/>
              <w:rPr>
                <w:sz w:val="20"/>
                <w:szCs w:val="20"/>
                <w:color w:val="auto"/>
              </w:rPr>
            </w:pPr>
            <w:r>
              <w:rPr>
                <w:rFonts w:ascii="Arial" w:cs="Arial" w:eastAsia="Arial" w:hAnsi="Arial"/>
                <w:sz w:val="16"/>
                <w:szCs w:val="16"/>
                <w:color w:val="auto"/>
              </w:rPr>
              <w:t>0.9</w:t>
            </w:r>
          </w:p>
        </w:tc>
        <w:tc>
          <w:tcPr>
            <w:tcW w:w="1520" w:type="dxa"/>
            <w:vAlign w:val="bottom"/>
          </w:tcPr>
          <w:p>
            <w:pPr>
              <w:jc w:val="right"/>
              <w:ind w:right="399"/>
              <w:spacing w:after="0"/>
              <w:rPr>
                <w:sz w:val="20"/>
                <w:szCs w:val="20"/>
                <w:color w:val="auto"/>
              </w:rPr>
            </w:pPr>
            <w:r>
              <w:rPr>
                <w:rFonts w:ascii="Arial" w:cs="Arial" w:eastAsia="Arial" w:hAnsi="Arial"/>
                <w:sz w:val="16"/>
                <w:szCs w:val="16"/>
                <w:color w:val="auto"/>
              </w:rPr>
              <w:t>1.0</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19"/>
              <w:spacing w:after="0"/>
              <w:rPr>
                <w:sz w:val="20"/>
                <w:szCs w:val="20"/>
                <w:color w:val="auto"/>
              </w:rPr>
            </w:pPr>
            <w:r>
              <w:rPr>
                <w:rFonts w:ascii="Arial" w:cs="Arial" w:eastAsia="Arial" w:hAnsi="Arial"/>
                <w:sz w:val="16"/>
                <w:szCs w:val="16"/>
                <w:color w:val="auto"/>
              </w:rPr>
              <w:t>0.3</w:t>
            </w:r>
          </w:p>
        </w:tc>
        <w:tc>
          <w:tcPr>
            <w:tcW w:w="8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196"/>
        </w:trPr>
        <w:tc>
          <w:tcPr>
            <w:tcW w:w="2300" w:type="dxa"/>
            <w:vAlign w:val="bottom"/>
          </w:tcPr>
          <w:p>
            <w:pPr>
              <w:ind w:left="240"/>
              <w:spacing w:after="0"/>
              <w:rPr>
                <w:sz w:val="20"/>
                <w:szCs w:val="20"/>
                <w:color w:val="auto"/>
              </w:rPr>
            </w:pPr>
            <w:r>
              <w:rPr>
                <w:rFonts w:ascii="Arial" w:cs="Arial" w:eastAsia="Arial" w:hAnsi="Arial"/>
                <w:sz w:val="16"/>
                <w:szCs w:val="16"/>
                <w:color w:val="auto"/>
              </w:rPr>
              <w:t>Mont Belvieu</w:t>
            </w:r>
          </w:p>
        </w:tc>
        <w:tc>
          <w:tcPr>
            <w:tcW w:w="1840" w:type="dxa"/>
            <w:vAlign w:val="bottom"/>
          </w:tcPr>
          <w:p>
            <w:pPr>
              <w:ind w:left="460"/>
              <w:spacing w:after="0"/>
              <w:rPr>
                <w:sz w:val="20"/>
                <w:szCs w:val="20"/>
                <w:color w:val="auto"/>
              </w:rPr>
            </w:pPr>
            <w:r>
              <w:rPr>
                <w:rFonts w:ascii="Arial" w:cs="Arial" w:eastAsia="Arial" w:hAnsi="Arial"/>
                <w:sz w:val="16"/>
                <w:szCs w:val="16"/>
                <w:color w:val="auto"/>
              </w:rPr>
              <w:t>Texas</w:t>
            </w:r>
          </w:p>
        </w:tc>
        <w:tc>
          <w:tcPr>
            <w:tcW w:w="144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9"/>
              <w:spacing w:after="0"/>
              <w:rPr>
                <w:sz w:val="20"/>
                <w:szCs w:val="20"/>
                <w:color w:val="auto"/>
              </w:rPr>
            </w:pPr>
            <w:r>
              <w:rPr>
                <w:rFonts w:ascii="Arial" w:cs="Arial" w:eastAsia="Arial" w:hAnsi="Arial"/>
                <w:sz w:val="16"/>
                <w:szCs w:val="16"/>
                <w:color w:val="auto"/>
              </w:rPr>
              <w:t>1.0</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08"/>
        </w:trPr>
        <w:tc>
          <w:tcPr>
            <w:tcW w:w="2300" w:type="dxa"/>
            <w:vAlign w:val="bottom"/>
          </w:tcPr>
          <w:p>
            <w:pPr>
              <w:ind w:left="240"/>
              <w:spacing w:after="0"/>
              <w:rPr>
                <w:sz w:val="20"/>
                <w:szCs w:val="20"/>
                <w:color w:val="auto"/>
              </w:rPr>
            </w:pPr>
            <w:r>
              <w:rPr>
                <w:rFonts w:ascii="Arial" w:cs="Arial" w:eastAsia="Arial" w:hAnsi="Arial"/>
                <w:sz w:val="16"/>
                <w:szCs w:val="16"/>
                <w:color w:val="auto"/>
              </w:rPr>
              <w:t>Sarnia</w:t>
            </w:r>
          </w:p>
        </w:tc>
        <w:tc>
          <w:tcPr>
            <w:tcW w:w="1840" w:type="dxa"/>
            <w:vAlign w:val="bottom"/>
          </w:tcPr>
          <w:p>
            <w:pPr>
              <w:ind w:left="460"/>
              <w:spacing w:after="0"/>
              <w:rPr>
                <w:sz w:val="20"/>
                <w:szCs w:val="20"/>
                <w:color w:val="auto"/>
              </w:rPr>
            </w:pPr>
            <w:r>
              <w:rPr>
                <w:rFonts w:ascii="Arial" w:cs="Arial" w:eastAsia="Arial" w:hAnsi="Arial"/>
                <w:sz w:val="16"/>
                <w:szCs w:val="16"/>
                <w:color w:val="auto"/>
              </w:rPr>
              <w:t>Ontario</w:t>
            </w:r>
          </w:p>
        </w:tc>
        <w:tc>
          <w:tcPr>
            <w:tcW w:w="14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0.3</w:t>
            </w:r>
          </w:p>
        </w:tc>
        <w:tc>
          <w:tcPr>
            <w:tcW w:w="15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0.5</w:t>
            </w:r>
          </w:p>
        </w:tc>
        <w:tc>
          <w:tcPr>
            <w:tcW w:w="15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69.6</w:t>
            </w:r>
          </w:p>
        </w:tc>
      </w:tr>
      <w:tr>
        <w:trPr>
          <w:trHeight w:val="201"/>
        </w:trPr>
        <w:tc>
          <w:tcPr>
            <w:tcW w:w="2300" w:type="dxa"/>
            <w:vAlign w:val="bottom"/>
          </w:tcPr>
          <w:p>
            <w:pPr>
              <w:ind w:left="480"/>
              <w:spacing w:after="0"/>
              <w:rPr>
                <w:sz w:val="20"/>
                <w:szCs w:val="20"/>
                <w:color w:val="auto"/>
              </w:rPr>
            </w:pPr>
            <w:r>
              <w:rPr>
                <w:rFonts w:ascii="Arial" w:cs="Arial" w:eastAsia="Arial" w:hAnsi="Arial"/>
                <w:sz w:val="16"/>
                <w:szCs w:val="16"/>
                <w:color w:val="auto"/>
              </w:rPr>
              <w:t>Total North America</w:t>
            </w:r>
          </w:p>
        </w:tc>
        <w:tc>
          <w:tcPr>
            <w:tcW w:w="1840" w:type="dxa"/>
            <w:vAlign w:val="bottom"/>
          </w:tcPr>
          <w:p>
            <w:pPr>
              <w:spacing w:after="0"/>
              <w:rPr>
                <w:sz w:val="17"/>
                <w:szCs w:val="17"/>
                <w:color w:val="auto"/>
              </w:rPr>
            </w:pPr>
          </w:p>
        </w:tc>
        <w:tc>
          <w:tcPr>
            <w:tcW w:w="1440" w:type="dxa"/>
            <w:vAlign w:val="bottom"/>
          </w:tcPr>
          <w:p>
            <w:pPr>
              <w:jc w:val="right"/>
              <w:ind w:right="379"/>
              <w:spacing w:after="0"/>
              <w:rPr>
                <w:sz w:val="20"/>
                <w:szCs w:val="20"/>
                <w:color w:val="auto"/>
              </w:rPr>
            </w:pPr>
            <w:r>
              <w:rPr>
                <w:rFonts w:ascii="Arial" w:cs="Arial" w:eastAsia="Arial" w:hAnsi="Arial"/>
                <w:sz w:val="16"/>
                <w:szCs w:val="16"/>
                <w:color w:val="auto"/>
              </w:rPr>
              <w:t>4.4</w:t>
            </w:r>
          </w:p>
        </w:tc>
        <w:tc>
          <w:tcPr>
            <w:tcW w:w="1520" w:type="dxa"/>
            <w:vAlign w:val="bottom"/>
          </w:tcPr>
          <w:p>
            <w:pPr>
              <w:jc w:val="right"/>
              <w:ind w:right="399"/>
              <w:spacing w:after="0"/>
              <w:rPr>
                <w:sz w:val="20"/>
                <w:szCs w:val="20"/>
                <w:color w:val="auto"/>
              </w:rPr>
            </w:pPr>
            <w:r>
              <w:rPr>
                <w:rFonts w:ascii="Arial" w:cs="Arial" w:eastAsia="Arial" w:hAnsi="Arial"/>
                <w:sz w:val="16"/>
                <w:szCs w:val="16"/>
                <w:color w:val="auto"/>
              </w:rPr>
              <w:t>3.8</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1.1</w:t>
            </w:r>
          </w:p>
        </w:tc>
        <w:tc>
          <w:tcPr>
            <w:tcW w:w="1440" w:type="dxa"/>
            <w:vAlign w:val="bottom"/>
          </w:tcPr>
          <w:p>
            <w:pPr>
              <w:jc w:val="right"/>
              <w:ind w:right="419"/>
              <w:spacing w:after="0"/>
              <w:rPr>
                <w:sz w:val="20"/>
                <w:szCs w:val="20"/>
                <w:color w:val="auto"/>
              </w:rPr>
            </w:pPr>
            <w:r>
              <w:rPr>
                <w:rFonts w:ascii="Arial" w:cs="Arial" w:eastAsia="Arial" w:hAnsi="Arial"/>
                <w:sz w:val="16"/>
                <w:szCs w:val="16"/>
                <w:color w:val="auto"/>
              </w:rPr>
              <w:t>0.9</w:t>
            </w:r>
          </w:p>
        </w:tc>
        <w:tc>
          <w:tcPr>
            <w:tcW w:w="860" w:type="dxa"/>
            <w:vAlign w:val="bottom"/>
          </w:tcPr>
          <w:p>
            <w:pPr>
              <w:spacing w:after="0"/>
              <w:rPr>
                <w:sz w:val="17"/>
                <w:szCs w:val="17"/>
                <w:color w:val="auto"/>
              </w:rPr>
            </w:pPr>
          </w:p>
        </w:tc>
      </w:tr>
      <w:tr>
        <w:trPr>
          <w:trHeight w:val="368"/>
        </w:trPr>
        <w:tc>
          <w:tcPr>
            <w:tcW w:w="2300" w:type="dxa"/>
            <w:vAlign w:val="bottom"/>
          </w:tcPr>
          <w:p>
            <w:pPr>
              <w:spacing w:after="0"/>
              <w:rPr>
                <w:sz w:val="20"/>
                <w:szCs w:val="20"/>
                <w:color w:val="auto"/>
              </w:rPr>
            </w:pPr>
            <w:r>
              <w:rPr>
                <w:rFonts w:ascii="Arial" w:cs="Arial" w:eastAsia="Arial" w:hAnsi="Arial"/>
                <w:sz w:val="16"/>
                <w:szCs w:val="16"/>
                <w:b w:val="1"/>
                <w:bCs w:val="1"/>
                <w:color w:val="auto"/>
              </w:rPr>
              <w:t>Europe</w:t>
            </w:r>
          </w:p>
        </w:tc>
        <w:tc>
          <w:tcPr>
            <w:tcW w:w="1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2300" w:type="dxa"/>
            <w:vAlign w:val="bottom"/>
          </w:tcPr>
          <w:p>
            <w:pPr>
              <w:ind w:left="240"/>
              <w:spacing w:after="0"/>
              <w:rPr>
                <w:sz w:val="20"/>
                <w:szCs w:val="20"/>
                <w:color w:val="auto"/>
              </w:rPr>
            </w:pPr>
            <w:r>
              <w:rPr>
                <w:rFonts w:ascii="Arial" w:cs="Arial" w:eastAsia="Arial" w:hAnsi="Arial"/>
                <w:sz w:val="16"/>
                <w:szCs w:val="16"/>
                <w:color w:val="auto"/>
              </w:rPr>
              <w:t>Antwerp</w:t>
            </w:r>
          </w:p>
        </w:tc>
        <w:tc>
          <w:tcPr>
            <w:tcW w:w="1840" w:type="dxa"/>
            <w:vAlign w:val="bottom"/>
          </w:tcPr>
          <w:p>
            <w:pPr>
              <w:ind w:left="460"/>
              <w:spacing w:after="0"/>
              <w:rPr>
                <w:sz w:val="20"/>
                <w:szCs w:val="20"/>
                <w:color w:val="auto"/>
              </w:rPr>
            </w:pPr>
            <w:r>
              <w:rPr>
                <w:rFonts w:ascii="Arial" w:cs="Arial" w:eastAsia="Arial" w:hAnsi="Arial"/>
                <w:sz w:val="16"/>
                <w:szCs w:val="16"/>
                <w:color w:val="auto"/>
              </w:rPr>
              <w:t>Belgium</w:t>
            </w:r>
          </w:p>
        </w:tc>
        <w:tc>
          <w:tcPr>
            <w:tcW w:w="144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9"/>
              <w:spacing w:after="0"/>
              <w:rPr>
                <w:sz w:val="20"/>
                <w:szCs w:val="20"/>
                <w:color w:val="auto"/>
              </w:rPr>
            </w:pPr>
            <w:r>
              <w:rPr>
                <w:rFonts w:ascii="Arial" w:cs="Arial" w:eastAsia="Arial" w:hAnsi="Arial"/>
                <w:sz w:val="16"/>
                <w:szCs w:val="16"/>
                <w:color w:val="auto"/>
              </w:rPr>
              <w:t>0.4</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196"/>
        </w:trPr>
        <w:tc>
          <w:tcPr>
            <w:tcW w:w="2300" w:type="dxa"/>
            <w:vAlign w:val="bottom"/>
          </w:tcPr>
          <w:p>
            <w:pPr>
              <w:ind w:left="240"/>
              <w:spacing w:after="0"/>
              <w:rPr>
                <w:sz w:val="20"/>
                <w:szCs w:val="20"/>
                <w:color w:val="auto"/>
              </w:rPr>
            </w:pPr>
            <w:r>
              <w:rPr>
                <w:rFonts w:ascii="Arial" w:cs="Arial" w:eastAsia="Arial" w:hAnsi="Arial"/>
                <w:sz w:val="16"/>
                <w:szCs w:val="16"/>
                <w:color w:val="auto"/>
              </w:rPr>
              <w:t>Fife</w:t>
            </w:r>
          </w:p>
        </w:tc>
        <w:tc>
          <w:tcPr>
            <w:tcW w:w="1840" w:type="dxa"/>
            <w:vAlign w:val="bottom"/>
          </w:tcPr>
          <w:p>
            <w:pPr>
              <w:ind w:left="460"/>
              <w:spacing w:after="0"/>
              <w:rPr>
                <w:sz w:val="20"/>
                <w:szCs w:val="20"/>
                <w:color w:val="auto"/>
              </w:rPr>
            </w:pPr>
            <w:r>
              <w:rPr>
                <w:rFonts w:ascii="Arial" w:cs="Arial" w:eastAsia="Arial" w:hAnsi="Arial"/>
                <w:sz w:val="16"/>
                <w:szCs w:val="16"/>
                <w:color w:val="auto"/>
              </w:rPr>
              <w:t>United Kingdom</w:t>
            </w:r>
          </w:p>
        </w:tc>
        <w:tc>
          <w:tcPr>
            <w:tcW w:w="1440" w:type="dxa"/>
            <w:vAlign w:val="bottom"/>
          </w:tcPr>
          <w:p>
            <w:pPr>
              <w:jc w:val="right"/>
              <w:ind w:right="379"/>
              <w:spacing w:after="0"/>
              <w:rPr>
                <w:sz w:val="20"/>
                <w:szCs w:val="20"/>
                <w:color w:val="auto"/>
              </w:rPr>
            </w:pPr>
            <w:r>
              <w:rPr>
                <w:rFonts w:ascii="Arial" w:cs="Arial" w:eastAsia="Arial" w:hAnsi="Arial"/>
                <w:sz w:val="16"/>
                <w:szCs w:val="16"/>
                <w:color w:val="auto"/>
              </w:rPr>
              <w:t>0.4</w:t>
            </w:r>
          </w:p>
        </w:tc>
        <w:tc>
          <w:tcPr>
            <w:tcW w:w="15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196"/>
        </w:trPr>
        <w:tc>
          <w:tcPr>
            <w:tcW w:w="2300" w:type="dxa"/>
            <w:vAlign w:val="bottom"/>
          </w:tcPr>
          <w:p>
            <w:pPr>
              <w:ind w:left="240"/>
              <w:spacing w:after="0"/>
              <w:rPr>
                <w:sz w:val="20"/>
                <w:szCs w:val="20"/>
                <w:color w:val="auto"/>
              </w:rPr>
            </w:pPr>
            <w:r>
              <w:rPr>
                <w:rFonts w:ascii="Arial" w:cs="Arial" w:eastAsia="Arial" w:hAnsi="Arial"/>
                <w:sz w:val="16"/>
                <w:szCs w:val="16"/>
                <w:color w:val="auto"/>
              </w:rPr>
              <w:t>Meerhout</w:t>
            </w:r>
          </w:p>
        </w:tc>
        <w:tc>
          <w:tcPr>
            <w:tcW w:w="1840" w:type="dxa"/>
            <w:vAlign w:val="bottom"/>
          </w:tcPr>
          <w:p>
            <w:pPr>
              <w:ind w:left="460"/>
              <w:spacing w:after="0"/>
              <w:rPr>
                <w:sz w:val="20"/>
                <w:szCs w:val="20"/>
                <w:color w:val="auto"/>
              </w:rPr>
            </w:pPr>
            <w:r>
              <w:rPr>
                <w:rFonts w:ascii="Arial" w:cs="Arial" w:eastAsia="Arial" w:hAnsi="Arial"/>
                <w:sz w:val="16"/>
                <w:szCs w:val="16"/>
                <w:color w:val="auto"/>
              </w:rPr>
              <w:t>Belgium</w:t>
            </w:r>
          </w:p>
        </w:tc>
        <w:tc>
          <w:tcPr>
            <w:tcW w:w="144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9"/>
              <w:spacing w:after="0"/>
              <w:rPr>
                <w:sz w:val="20"/>
                <w:szCs w:val="20"/>
                <w:color w:val="auto"/>
              </w:rPr>
            </w:pPr>
            <w:r>
              <w:rPr>
                <w:rFonts w:ascii="Arial" w:cs="Arial" w:eastAsia="Arial" w:hAnsi="Arial"/>
                <w:sz w:val="16"/>
                <w:szCs w:val="16"/>
                <w:color w:val="auto"/>
              </w:rPr>
              <w:t>0.5</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196"/>
        </w:trPr>
        <w:tc>
          <w:tcPr>
            <w:tcW w:w="2300" w:type="dxa"/>
            <w:vAlign w:val="bottom"/>
          </w:tcPr>
          <w:p>
            <w:pPr>
              <w:ind w:left="240"/>
              <w:spacing w:after="0"/>
              <w:rPr>
                <w:sz w:val="20"/>
                <w:szCs w:val="20"/>
                <w:color w:val="auto"/>
              </w:rPr>
            </w:pPr>
            <w:r>
              <w:rPr>
                <w:rFonts w:ascii="Arial" w:cs="Arial" w:eastAsia="Arial" w:hAnsi="Arial"/>
                <w:sz w:val="16"/>
                <w:szCs w:val="16"/>
                <w:color w:val="auto"/>
              </w:rPr>
              <w:t>Gravenchon</w:t>
            </w:r>
          </w:p>
        </w:tc>
        <w:tc>
          <w:tcPr>
            <w:tcW w:w="1840" w:type="dxa"/>
            <w:vAlign w:val="bottom"/>
          </w:tcPr>
          <w:p>
            <w:pPr>
              <w:ind w:left="460"/>
              <w:spacing w:after="0"/>
              <w:rPr>
                <w:sz w:val="20"/>
                <w:szCs w:val="20"/>
                <w:color w:val="auto"/>
              </w:rPr>
            </w:pPr>
            <w:r>
              <w:rPr>
                <w:rFonts w:ascii="Arial" w:cs="Arial" w:eastAsia="Arial" w:hAnsi="Arial"/>
                <w:sz w:val="16"/>
                <w:szCs w:val="16"/>
                <w:color w:val="auto"/>
              </w:rPr>
              <w:t>France</w:t>
            </w:r>
          </w:p>
        </w:tc>
        <w:tc>
          <w:tcPr>
            <w:tcW w:w="1440" w:type="dxa"/>
            <w:vAlign w:val="bottom"/>
          </w:tcPr>
          <w:p>
            <w:pPr>
              <w:jc w:val="right"/>
              <w:ind w:right="379"/>
              <w:spacing w:after="0"/>
              <w:rPr>
                <w:sz w:val="20"/>
                <w:szCs w:val="20"/>
                <w:color w:val="auto"/>
              </w:rPr>
            </w:pPr>
            <w:r>
              <w:rPr>
                <w:rFonts w:ascii="Arial" w:cs="Arial" w:eastAsia="Arial" w:hAnsi="Arial"/>
                <w:sz w:val="16"/>
                <w:szCs w:val="16"/>
                <w:color w:val="auto"/>
              </w:rPr>
              <w:t>0.4</w:t>
            </w:r>
          </w:p>
        </w:tc>
        <w:tc>
          <w:tcPr>
            <w:tcW w:w="1520" w:type="dxa"/>
            <w:vAlign w:val="bottom"/>
          </w:tcPr>
          <w:p>
            <w:pPr>
              <w:jc w:val="right"/>
              <w:ind w:right="399"/>
              <w:spacing w:after="0"/>
              <w:rPr>
                <w:sz w:val="20"/>
                <w:szCs w:val="20"/>
                <w:color w:val="auto"/>
              </w:rPr>
            </w:pPr>
            <w:r>
              <w:rPr>
                <w:rFonts w:ascii="Arial" w:cs="Arial" w:eastAsia="Arial" w:hAnsi="Arial"/>
                <w:sz w:val="16"/>
                <w:szCs w:val="16"/>
                <w:color w:val="auto"/>
              </w:rPr>
              <w:t>0.4</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0.3</w:t>
            </w:r>
          </w:p>
        </w:tc>
        <w:tc>
          <w:tcPr>
            <w:tcW w:w="14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08"/>
        </w:trPr>
        <w:tc>
          <w:tcPr>
            <w:tcW w:w="2300" w:type="dxa"/>
            <w:vAlign w:val="bottom"/>
          </w:tcPr>
          <w:p>
            <w:pPr>
              <w:ind w:left="240"/>
              <w:spacing w:after="0"/>
              <w:rPr>
                <w:sz w:val="20"/>
                <w:szCs w:val="20"/>
                <w:color w:val="auto"/>
              </w:rPr>
            </w:pPr>
            <w:r>
              <w:rPr>
                <w:rFonts w:ascii="Arial" w:cs="Arial" w:eastAsia="Arial" w:hAnsi="Arial"/>
                <w:sz w:val="16"/>
                <w:szCs w:val="16"/>
                <w:color w:val="auto"/>
              </w:rPr>
              <w:t>Rotterdam</w:t>
            </w:r>
          </w:p>
        </w:tc>
        <w:tc>
          <w:tcPr>
            <w:tcW w:w="1840" w:type="dxa"/>
            <w:vAlign w:val="bottom"/>
          </w:tcPr>
          <w:p>
            <w:pPr>
              <w:ind w:left="460"/>
              <w:spacing w:after="0"/>
              <w:rPr>
                <w:sz w:val="20"/>
                <w:szCs w:val="20"/>
                <w:color w:val="auto"/>
              </w:rPr>
            </w:pPr>
            <w:r>
              <w:rPr>
                <w:rFonts w:ascii="Arial" w:cs="Arial" w:eastAsia="Arial" w:hAnsi="Arial"/>
                <w:sz w:val="16"/>
                <w:szCs w:val="16"/>
                <w:color w:val="auto"/>
              </w:rPr>
              <w:t>Netherlands</w:t>
            </w:r>
          </w:p>
        </w:tc>
        <w:tc>
          <w:tcPr>
            <w:tcW w:w="14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0.7</w:t>
            </w:r>
          </w:p>
        </w:tc>
        <w:tc>
          <w:tcPr>
            <w:tcW w:w="8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01"/>
        </w:trPr>
        <w:tc>
          <w:tcPr>
            <w:tcW w:w="2300" w:type="dxa"/>
            <w:vAlign w:val="bottom"/>
          </w:tcPr>
          <w:p>
            <w:pPr>
              <w:ind w:left="480"/>
              <w:spacing w:after="0"/>
              <w:rPr>
                <w:sz w:val="20"/>
                <w:szCs w:val="20"/>
                <w:color w:val="auto"/>
              </w:rPr>
            </w:pPr>
            <w:r>
              <w:rPr>
                <w:rFonts w:ascii="Arial" w:cs="Arial" w:eastAsia="Arial" w:hAnsi="Arial"/>
                <w:sz w:val="16"/>
                <w:szCs w:val="16"/>
                <w:color w:val="auto"/>
              </w:rPr>
              <w:t>Total Europe</w:t>
            </w:r>
          </w:p>
        </w:tc>
        <w:tc>
          <w:tcPr>
            <w:tcW w:w="1840" w:type="dxa"/>
            <w:vAlign w:val="bottom"/>
          </w:tcPr>
          <w:p>
            <w:pPr>
              <w:spacing w:after="0"/>
              <w:rPr>
                <w:sz w:val="17"/>
                <w:szCs w:val="17"/>
                <w:color w:val="auto"/>
              </w:rPr>
            </w:pPr>
          </w:p>
        </w:tc>
        <w:tc>
          <w:tcPr>
            <w:tcW w:w="1440" w:type="dxa"/>
            <w:vAlign w:val="bottom"/>
          </w:tcPr>
          <w:p>
            <w:pPr>
              <w:jc w:val="right"/>
              <w:ind w:right="379"/>
              <w:spacing w:after="0"/>
              <w:rPr>
                <w:sz w:val="20"/>
                <w:szCs w:val="20"/>
                <w:color w:val="auto"/>
              </w:rPr>
            </w:pPr>
            <w:r>
              <w:rPr>
                <w:rFonts w:ascii="Arial" w:cs="Arial" w:eastAsia="Arial" w:hAnsi="Arial"/>
                <w:sz w:val="16"/>
                <w:szCs w:val="16"/>
                <w:color w:val="auto"/>
              </w:rPr>
              <w:t>0.8</w:t>
            </w:r>
          </w:p>
        </w:tc>
        <w:tc>
          <w:tcPr>
            <w:tcW w:w="1520" w:type="dxa"/>
            <w:vAlign w:val="bottom"/>
          </w:tcPr>
          <w:p>
            <w:pPr>
              <w:jc w:val="right"/>
              <w:ind w:right="399"/>
              <w:spacing w:after="0"/>
              <w:rPr>
                <w:sz w:val="20"/>
                <w:szCs w:val="20"/>
                <w:color w:val="auto"/>
              </w:rPr>
            </w:pPr>
            <w:r>
              <w:rPr>
                <w:rFonts w:ascii="Arial" w:cs="Arial" w:eastAsia="Arial" w:hAnsi="Arial"/>
                <w:sz w:val="16"/>
                <w:szCs w:val="16"/>
                <w:color w:val="auto"/>
              </w:rPr>
              <w:t>1.3</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0.3</w:t>
            </w:r>
          </w:p>
        </w:tc>
        <w:tc>
          <w:tcPr>
            <w:tcW w:w="1440" w:type="dxa"/>
            <w:vAlign w:val="bottom"/>
          </w:tcPr>
          <w:p>
            <w:pPr>
              <w:jc w:val="right"/>
              <w:ind w:right="419"/>
              <w:spacing w:after="0"/>
              <w:rPr>
                <w:sz w:val="20"/>
                <w:szCs w:val="20"/>
                <w:color w:val="auto"/>
              </w:rPr>
            </w:pPr>
            <w:r>
              <w:rPr>
                <w:rFonts w:ascii="Arial" w:cs="Arial" w:eastAsia="Arial" w:hAnsi="Arial"/>
                <w:sz w:val="16"/>
                <w:szCs w:val="16"/>
                <w:color w:val="auto"/>
              </w:rPr>
              <w:t>0.7</w:t>
            </w:r>
          </w:p>
        </w:tc>
        <w:tc>
          <w:tcPr>
            <w:tcW w:w="860" w:type="dxa"/>
            <w:vAlign w:val="bottom"/>
          </w:tcPr>
          <w:p>
            <w:pPr>
              <w:spacing w:after="0"/>
              <w:rPr>
                <w:sz w:val="17"/>
                <w:szCs w:val="17"/>
                <w:color w:val="auto"/>
              </w:rPr>
            </w:pPr>
          </w:p>
        </w:tc>
      </w:tr>
      <w:tr>
        <w:trPr>
          <w:trHeight w:val="368"/>
        </w:trPr>
        <w:tc>
          <w:tcPr>
            <w:tcW w:w="2300" w:type="dxa"/>
            <w:vAlign w:val="bottom"/>
          </w:tcPr>
          <w:p>
            <w:pPr>
              <w:spacing w:after="0"/>
              <w:rPr>
                <w:sz w:val="20"/>
                <w:szCs w:val="20"/>
                <w:color w:val="auto"/>
              </w:rPr>
            </w:pPr>
            <w:r>
              <w:rPr>
                <w:rFonts w:ascii="Arial" w:cs="Arial" w:eastAsia="Arial" w:hAnsi="Arial"/>
                <w:sz w:val="16"/>
                <w:szCs w:val="16"/>
                <w:b w:val="1"/>
                <w:bCs w:val="1"/>
                <w:color w:val="auto"/>
              </w:rPr>
              <w:t>Middle East</w:t>
            </w:r>
          </w:p>
        </w:tc>
        <w:tc>
          <w:tcPr>
            <w:tcW w:w="1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2300" w:type="dxa"/>
            <w:vAlign w:val="bottom"/>
          </w:tcPr>
          <w:p>
            <w:pPr>
              <w:ind w:left="240"/>
              <w:spacing w:after="0"/>
              <w:rPr>
                <w:sz w:val="20"/>
                <w:szCs w:val="20"/>
                <w:color w:val="auto"/>
              </w:rPr>
            </w:pPr>
            <w:r>
              <w:rPr>
                <w:rFonts w:ascii="Arial" w:cs="Arial" w:eastAsia="Arial" w:hAnsi="Arial"/>
                <w:sz w:val="16"/>
                <w:szCs w:val="16"/>
                <w:color w:val="auto"/>
              </w:rPr>
              <w:t>Al Jubail</w:t>
            </w:r>
          </w:p>
        </w:tc>
        <w:tc>
          <w:tcPr>
            <w:tcW w:w="1840" w:type="dxa"/>
            <w:vAlign w:val="bottom"/>
          </w:tcPr>
          <w:p>
            <w:pPr>
              <w:ind w:left="460"/>
              <w:spacing w:after="0"/>
              <w:rPr>
                <w:sz w:val="20"/>
                <w:szCs w:val="20"/>
                <w:color w:val="auto"/>
              </w:rPr>
            </w:pPr>
            <w:r>
              <w:rPr>
                <w:rFonts w:ascii="Arial" w:cs="Arial" w:eastAsia="Arial" w:hAnsi="Arial"/>
                <w:sz w:val="16"/>
                <w:szCs w:val="16"/>
                <w:color w:val="auto"/>
              </w:rPr>
              <w:t>Saudi Arabia</w:t>
            </w:r>
          </w:p>
        </w:tc>
        <w:tc>
          <w:tcPr>
            <w:tcW w:w="1440" w:type="dxa"/>
            <w:vAlign w:val="bottom"/>
          </w:tcPr>
          <w:p>
            <w:pPr>
              <w:jc w:val="right"/>
              <w:ind w:right="379"/>
              <w:spacing w:after="0"/>
              <w:rPr>
                <w:sz w:val="20"/>
                <w:szCs w:val="20"/>
                <w:color w:val="auto"/>
              </w:rPr>
            </w:pPr>
            <w:r>
              <w:rPr>
                <w:rFonts w:ascii="Arial" w:cs="Arial" w:eastAsia="Arial" w:hAnsi="Arial"/>
                <w:sz w:val="16"/>
                <w:szCs w:val="16"/>
                <w:color w:val="auto"/>
              </w:rPr>
              <w:t>0.6</w:t>
            </w:r>
          </w:p>
        </w:tc>
        <w:tc>
          <w:tcPr>
            <w:tcW w:w="1520" w:type="dxa"/>
            <w:vAlign w:val="bottom"/>
          </w:tcPr>
          <w:p>
            <w:pPr>
              <w:jc w:val="right"/>
              <w:ind w:right="399"/>
              <w:spacing w:after="0"/>
              <w:rPr>
                <w:sz w:val="20"/>
                <w:szCs w:val="20"/>
                <w:color w:val="auto"/>
              </w:rPr>
            </w:pPr>
            <w:r>
              <w:rPr>
                <w:rFonts w:ascii="Arial" w:cs="Arial" w:eastAsia="Arial" w:hAnsi="Arial"/>
                <w:sz w:val="16"/>
                <w:szCs w:val="16"/>
                <w:color w:val="auto"/>
              </w:rPr>
              <w:t>0.7</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08"/>
        </w:trPr>
        <w:tc>
          <w:tcPr>
            <w:tcW w:w="2300" w:type="dxa"/>
            <w:vAlign w:val="bottom"/>
          </w:tcPr>
          <w:p>
            <w:pPr>
              <w:ind w:left="240"/>
              <w:spacing w:after="0"/>
              <w:rPr>
                <w:sz w:val="20"/>
                <w:szCs w:val="20"/>
                <w:color w:val="auto"/>
              </w:rPr>
            </w:pPr>
            <w:r>
              <w:rPr>
                <w:rFonts w:ascii="Arial" w:cs="Arial" w:eastAsia="Arial" w:hAnsi="Arial"/>
                <w:sz w:val="16"/>
                <w:szCs w:val="16"/>
                <w:color w:val="auto"/>
              </w:rPr>
              <w:t>Yanbu</w:t>
            </w:r>
          </w:p>
        </w:tc>
        <w:tc>
          <w:tcPr>
            <w:tcW w:w="1840" w:type="dxa"/>
            <w:vAlign w:val="bottom"/>
          </w:tcPr>
          <w:p>
            <w:pPr>
              <w:ind w:left="460"/>
              <w:spacing w:after="0"/>
              <w:rPr>
                <w:sz w:val="20"/>
                <w:szCs w:val="20"/>
                <w:color w:val="auto"/>
              </w:rPr>
            </w:pPr>
            <w:r>
              <w:rPr>
                <w:rFonts w:ascii="Arial" w:cs="Arial" w:eastAsia="Arial" w:hAnsi="Arial"/>
                <w:sz w:val="16"/>
                <w:szCs w:val="16"/>
                <w:color w:val="auto"/>
              </w:rPr>
              <w:t>Saudi Arabia</w:t>
            </w:r>
          </w:p>
        </w:tc>
        <w:tc>
          <w:tcPr>
            <w:tcW w:w="14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1.0</w:t>
            </w:r>
          </w:p>
        </w:tc>
        <w:tc>
          <w:tcPr>
            <w:tcW w:w="15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0.7</w:t>
            </w:r>
          </w:p>
        </w:tc>
        <w:tc>
          <w:tcPr>
            <w:tcW w:w="15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0.2</w:t>
            </w:r>
          </w:p>
        </w:tc>
        <w:tc>
          <w:tcPr>
            <w:tcW w:w="14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01"/>
        </w:trPr>
        <w:tc>
          <w:tcPr>
            <w:tcW w:w="2300" w:type="dxa"/>
            <w:vAlign w:val="bottom"/>
          </w:tcPr>
          <w:p>
            <w:pPr>
              <w:ind w:left="480"/>
              <w:spacing w:after="0"/>
              <w:rPr>
                <w:sz w:val="20"/>
                <w:szCs w:val="20"/>
                <w:color w:val="auto"/>
              </w:rPr>
            </w:pPr>
            <w:r>
              <w:rPr>
                <w:rFonts w:ascii="Arial" w:cs="Arial" w:eastAsia="Arial" w:hAnsi="Arial"/>
                <w:sz w:val="16"/>
                <w:szCs w:val="16"/>
                <w:color w:val="auto"/>
              </w:rPr>
              <w:t>Total Middle East</w:t>
            </w:r>
          </w:p>
        </w:tc>
        <w:tc>
          <w:tcPr>
            <w:tcW w:w="1840" w:type="dxa"/>
            <w:vAlign w:val="bottom"/>
          </w:tcPr>
          <w:p>
            <w:pPr>
              <w:spacing w:after="0"/>
              <w:rPr>
                <w:sz w:val="17"/>
                <w:szCs w:val="17"/>
                <w:color w:val="auto"/>
              </w:rPr>
            </w:pPr>
          </w:p>
        </w:tc>
        <w:tc>
          <w:tcPr>
            <w:tcW w:w="1440" w:type="dxa"/>
            <w:vAlign w:val="bottom"/>
          </w:tcPr>
          <w:p>
            <w:pPr>
              <w:jc w:val="right"/>
              <w:ind w:right="379"/>
              <w:spacing w:after="0"/>
              <w:rPr>
                <w:sz w:val="20"/>
                <w:szCs w:val="20"/>
                <w:color w:val="auto"/>
              </w:rPr>
            </w:pPr>
            <w:r>
              <w:rPr>
                <w:rFonts w:ascii="Arial" w:cs="Arial" w:eastAsia="Arial" w:hAnsi="Arial"/>
                <w:sz w:val="16"/>
                <w:szCs w:val="16"/>
                <w:color w:val="auto"/>
              </w:rPr>
              <w:t>1.6</w:t>
            </w:r>
          </w:p>
        </w:tc>
        <w:tc>
          <w:tcPr>
            <w:tcW w:w="1520" w:type="dxa"/>
            <w:vAlign w:val="bottom"/>
          </w:tcPr>
          <w:p>
            <w:pPr>
              <w:jc w:val="right"/>
              <w:ind w:right="399"/>
              <w:spacing w:after="0"/>
              <w:rPr>
                <w:sz w:val="20"/>
                <w:szCs w:val="20"/>
                <w:color w:val="auto"/>
              </w:rPr>
            </w:pPr>
            <w:r>
              <w:rPr>
                <w:rFonts w:ascii="Arial" w:cs="Arial" w:eastAsia="Arial" w:hAnsi="Arial"/>
                <w:sz w:val="16"/>
                <w:szCs w:val="16"/>
                <w:color w:val="auto"/>
              </w:rPr>
              <w:t>1.4</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0.2</w:t>
            </w:r>
          </w:p>
        </w:tc>
        <w:tc>
          <w:tcPr>
            <w:tcW w:w="14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7"/>
                <w:szCs w:val="17"/>
                <w:color w:val="auto"/>
              </w:rPr>
            </w:pPr>
          </w:p>
        </w:tc>
      </w:tr>
      <w:tr>
        <w:trPr>
          <w:trHeight w:val="368"/>
        </w:trPr>
        <w:tc>
          <w:tcPr>
            <w:tcW w:w="2300" w:type="dxa"/>
            <w:vAlign w:val="bottom"/>
          </w:tcPr>
          <w:p>
            <w:pPr>
              <w:spacing w:after="0"/>
              <w:rPr>
                <w:sz w:val="20"/>
                <w:szCs w:val="20"/>
                <w:color w:val="auto"/>
              </w:rPr>
            </w:pPr>
            <w:r>
              <w:rPr>
                <w:rFonts w:ascii="Arial" w:cs="Arial" w:eastAsia="Arial" w:hAnsi="Arial"/>
                <w:sz w:val="16"/>
                <w:szCs w:val="16"/>
                <w:b w:val="1"/>
                <w:bCs w:val="1"/>
                <w:color w:val="auto"/>
              </w:rPr>
              <w:t>Asia Pacific</w:t>
            </w:r>
          </w:p>
        </w:tc>
        <w:tc>
          <w:tcPr>
            <w:tcW w:w="1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2300" w:type="dxa"/>
            <w:vAlign w:val="bottom"/>
          </w:tcPr>
          <w:p>
            <w:pPr>
              <w:ind w:left="240"/>
              <w:spacing w:after="0"/>
              <w:rPr>
                <w:sz w:val="20"/>
                <w:szCs w:val="20"/>
                <w:color w:val="auto"/>
              </w:rPr>
            </w:pPr>
            <w:r>
              <w:rPr>
                <w:rFonts w:ascii="Arial" w:cs="Arial" w:eastAsia="Arial" w:hAnsi="Arial"/>
                <w:sz w:val="16"/>
                <w:szCs w:val="16"/>
                <w:color w:val="auto"/>
              </w:rPr>
              <w:t>Fujian</w:t>
            </w:r>
          </w:p>
        </w:tc>
        <w:tc>
          <w:tcPr>
            <w:tcW w:w="1840" w:type="dxa"/>
            <w:vAlign w:val="bottom"/>
          </w:tcPr>
          <w:p>
            <w:pPr>
              <w:ind w:left="460"/>
              <w:spacing w:after="0"/>
              <w:rPr>
                <w:sz w:val="20"/>
                <w:szCs w:val="20"/>
                <w:color w:val="auto"/>
              </w:rPr>
            </w:pPr>
            <w:r>
              <w:rPr>
                <w:rFonts w:ascii="Arial" w:cs="Arial" w:eastAsia="Arial" w:hAnsi="Arial"/>
                <w:sz w:val="16"/>
                <w:szCs w:val="16"/>
                <w:color w:val="auto"/>
              </w:rPr>
              <w:t>China</w:t>
            </w:r>
          </w:p>
        </w:tc>
        <w:tc>
          <w:tcPr>
            <w:tcW w:w="1440" w:type="dxa"/>
            <w:vAlign w:val="bottom"/>
          </w:tcPr>
          <w:p>
            <w:pPr>
              <w:jc w:val="right"/>
              <w:ind w:right="379"/>
              <w:spacing w:after="0"/>
              <w:rPr>
                <w:sz w:val="20"/>
                <w:szCs w:val="20"/>
                <w:color w:val="auto"/>
              </w:rPr>
            </w:pPr>
            <w:r>
              <w:rPr>
                <w:rFonts w:ascii="Arial" w:cs="Arial" w:eastAsia="Arial" w:hAnsi="Arial"/>
                <w:sz w:val="16"/>
                <w:szCs w:val="16"/>
                <w:color w:val="auto"/>
              </w:rPr>
              <w:t>0.3</w:t>
            </w:r>
          </w:p>
        </w:tc>
        <w:tc>
          <w:tcPr>
            <w:tcW w:w="1520" w:type="dxa"/>
            <w:vAlign w:val="bottom"/>
          </w:tcPr>
          <w:p>
            <w:pPr>
              <w:jc w:val="right"/>
              <w:ind w:right="399"/>
              <w:spacing w:after="0"/>
              <w:rPr>
                <w:sz w:val="20"/>
                <w:szCs w:val="20"/>
                <w:color w:val="auto"/>
              </w:rPr>
            </w:pPr>
            <w:r>
              <w:rPr>
                <w:rFonts w:ascii="Arial" w:cs="Arial" w:eastAsia="Arial" w:hAnsi="Arial"/>
                <w:sz w:val="16"/>
                <w:szCs w:val="16"/>
                <w:color w:val="auto"/>
              </w:rPr>
              <w:t>0.2</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0.2</w:t>
            </w:r>
          </w:p>
        </w:tc>
        <w:tc>
          <w:tcPr>
            <w:tcW w:w="1440" w:type="dxa"/>
            <w:vAlign w:val="bottom"/>
          </w:tcPr>
          <w:p>
            <w:pPr>
              <w:jc w:val="right"/>
              <w:ind w:right="419"/>
              <w:spacing w:after="0"/>
              <w:rPr>
                <w:sz w:val="20"/>
                <w:szCs w:val="20"/>
                <w:color w:val="auto"/>
              </w:rPr>
            </w:pPr>
            <w:r>
              <w:rPr>
                <w:rFonts w:ascii="Arial" w:cs="Arial" w:eastAsia="Arial" w:hAnsi="Arial"/>
                <w:sz w:val="16"/>
                <w:szCs w:val="16"/>
                <w:color w:val="auto"/>
              </w:rPr>
              <w:t>0.2</w:t>
            </w:r>
          </w:p>
        </w:tc>
        <w:tc>
          <w:tcPr>
            <w:tcW w:w="8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96"/>
        </w:trPr>
        <w:tc>
          <w:tcPr>
            <w:tcW w:w="2300" w:type="dxa"/>
            <w:vAlign w:val="bottom"/>
          </w:tcPr>
          <w:p>
            <w:pPr>
              <w:ind w:left="240"/>
              <w:spacing w:after="0"/>
              <w:rPr>
                <w:sz w:val="20"/>
                <w:szCs w:val="20"/>
                <w:color w:val="auto"/>
              </w:rPr>
            </w:pPr>
            <w:r>
              <w:rPr>
                <w:rFonts w:ascii="Arial" w:cs="Arial" w:eastAsia="Arial" w:hAnsi="Arial"/>
                <w:sz w:val="16"/>
                <w:szCs w:val="16"/>
                <w:color w:val="auto"/>
              </w:rPr>
              <w:t>Singapore</w:t>
            </w:r>
          </w:p>
        </w:tc>
        <w:tc>
          <w:tcPr>
            <w:tcW w:w="1840" w:type="dxa"/>
            <w:vAlign w:val="bottom"/>
          </w:tcPr>
          <w:p>
            <w:pPr>
              <w:ind w:left="460"/>
              <w:spacing w:after="0"/>
              <w:rPr>
                <w:sz w:val="20"/>
                <w:szCs w:val="20"/>
                <w:color w:val="auto"/>
              </w:rPr>
            </w:pPr>
            <w:r>
              <w:rPr>
                <w:rFonts w:ascii="Arial" w:cs="Arial" w:eastAsia="Arial" w:hAnsi="Arial"/>
                <w:sz w:val="16"/>
                <w:szCs w:val="16"/>
                <w:color w:val="auto"/>
              </w:rPr>
              <w:t>Singapore</w:t>
            </w:r>
          </w:p>
        </w:tc>
        <w:tc>
          <w:tcPr>
            <w:tcW w:w="1440" w:type="dxa"/>
            <w:vAlign w:val="bottom"/>
          </w:tcPr>
          <w:p>
            <w:pPr>
              <w:jc w:val="right"/>
              <w:ind w:right="379"/>
              <w:spacing w:after="0"/>
              <w:rPr>
                <w:sz w:val="20"/>
                <w:szCs w:val="20"/>
                <w:color w:val="auto"/>
              </w:rPr>
            </w:pPr>
            <w:r>
              <w:rPr>
                <w:rFonts w:ascii="Arial" w:cs="Arial" w:eastAsia="Arial" w:hAnsi="Arial"/>
                <w:sz w:val="16"/>
                <w:szCs w:val="16"/>
                <w:color w:val="auto"/>
              </w:rPr>
              <w:t>1.9</w:t>
            </w:r>
          </w:p>
        </w:tc>
        <w:tc>
          <w:tcPr>
            <w:tcW w:w="1520" w:type="dxa"/>
            <w:vAlign w:val="bottom"/>
          </w:tcPr>
          <w:p>
            <w:pPr>
              <w:jc w:val="right"/>
              <w:ind w:right="399"/>
              <w:spacing w:after="0"/>
              <w:rPr>
                <w:sz w:val="20"/>
                <w:szCs w:val="20"/>
                <w:color w:val="auto"/>
              </w:rPr>
            </w:pPr>
            <w:r>
              <w:rPr>
                <w:rFonts w:ascii="Arial" w:cs="Arial" w:eastAsia="Arial" w:hAnsi="Arial"/>
                <w:sz w:val="16"/>
                <w:szCs w:val="16"/>
                <w:color w:val="auto"/>
              </w:rPr>
              <w:t>1.9</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0.9</w:t>
            </w:r>
          </w:p>
        </w:tc>
        <w:tc>
          <w:tcPr>
            <w:tcW w:w="1440" w:type="dxa"/>
            <w:vAlign w:val="bottom"/>
          </w:tcPr>
          <w:p>
            <w:pPr>
              <w:jc w:val="right"/>
              <w:ind w:right="419"/>
              <w:spacing w:after="0"/>
              <w:rPr>
                <w:sz w:val="20"/>
                <w:szCs w:val="20"/>
                <w:color w:val="auto"/>
              </w:rPr>
            </w:pPr>
            <w:r>
              <w:rPr>
                <w:rFonts w:ascii="Arial" w:cs="Arial" w:eastAsia="Arial" w:hAnsi="Arial"/>
                <w:sz w:val="16"/>
                <w:szCs w:val="16"/>
                <w:color w:val="auto"/>
              </w:rPr>
              <w:t>1.0</w:t>
            </w:r>
          </w:p>
        </w:tc>
        <w:tc>
          <w:tcPr>
            <w:tcW w:w="8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08"/>
        </w:trPr>
        <w:tc>
          <w:tcPr>
            <w:tcW w:w="2300" w:type="dxa"/>
            <w:vAlign w:val="bottom"/>
          </w:tcPr>
          <w:p>
            <w:pPr>
              <w:ind w:left="240"/>
              <w:spacing w:after="0"/>
              <w:rPr>
                <w:sz w:val="20"/>
                <w:szCs w:val="20"/>
                <w:color w:val="auto"/>
              </w:rPr>
            </w:pPr>
            <w:r>
              <w:rPr>
                <w:rFonts w:ascii="Arial" w:cs="Arial" w:eastAsia="Arial" w:hAnsi="Arial"/>
                <w:sz w:val="16"/>
                <w:szCs w:val="16"/>
                <w:color w:val="auto"/>
              </w:rPr>
              <w:t>Sriracha</w:t>
            </w:r>
          </w:p>
        </w:tc>
        <w:tc>
          <w:tcPr>
            <w:tcW w:w="1840" w:type="dxa"/>
            <w:vAlign w:val="bottom"/>
          </w:tcPr>
          <w:p>
            <w:pPr>
              <w:ind w:left="460"/>
              <w:spacing w:after="0"/>
              <w:rPr>
                <w:sz w:val="20"/>
                <w:szCs w:val="20"/>
                <w:color w:val="auto"/>
              </w:rPr>
            </w:pPr>
            <w:r>
              <w:rPr>
                <w:rFonts w:ascii="Arial" w:cs="Arial" w:eastAsia="Arial" w:hAnsi="Arial"/>
                <w:sz w:val="16"/>
                <w:szCs w:val="16"/>
                <w:color w:val="auto"/>
              </w:rPr>
              <w:t>Thailand</w:t>
            </w:r>
          </w:p>
        </w:tc>
        <w:tc>
          <w:tcPr>
            <w:tcW w:w="14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0.5</w:t>
            </w:r>
          </w:p>
        </w:tc>
        <w:tc>
          <w:tcPr>
            <w:tcW w:w="8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01"/>
        </w:trPr>
        <w:tc>
          <w:tcPr>
            <w:tcW w:w="2300" w:type="dxa"/>
            <w:vAlign w:val="bottom"/>
          </w:tcPr>
          <w:p>
            <w:pPr>
              <w:ind w:left="480"/>
              <w:spacing w:after="0"/>
              <w:rPr>
                <w:sz w:val="20"/>
                <w:szCs w:val="20"/>
                <w:color w:val="auto"/>
              </w:rPr>
            </w:pPr>
            <w:r>
              <w:rPr>
                <w:rFonts w:ascii="Arial" w:cs="Arial" w:eastAsia="Arial" w:hAnsi="Arial"/>
                <w:sz w:val="16"/>
                <w:szCs w:val="16"/>
                <w:color w:val="auto"/>
              </w:rPr>
              <w:t>Total Asia Pacific</w:t>
            </w:r>
          </w:p>
        </w:tc>
        <w:tc>
          <w:tcPr>
            <w:tcW w:w="1840" w:type="dxa"/>
            <w:vAlign w:val="bottom"/>
          </w:tcPr>
          <w:p>
            <w:pPr>
              <w:spacing w:after="0"/>
              <w:rPr>
                <w:sz w:val="17"/>
                <w:szCs w:val="17"/>
                <w:color w:val="auto"/>
              </w:rPr>
            </w:pPr>
          </w:p>
        </w:tc>
        <w:tc>
          <w:tcPr>
            <w:tcW w:w="1440" w:type="dxa"/>
            <w:vAlign w:val="bottom"/>
          </w:tcPr>
          <w:p>
            <w:pPr>
              <w:jc w:val="right"/>
              <w:ind w:right="379"/>
              <w:spacing w:after="0"/>
              <w:rPr>
                <w:sz w:val="20"/>
                <w:szCs w:val="20"/>
                <w:color w:val="auto"/>
              </w:rPr>
            </w:pPr>
            <w:r>
              <w:rPr>
                <w:rFonts w:ascii="Arial" w:cs="Arial" w:eastAsia="Arial" w:hAnsi="Arial"/>
                <w:sz w:val="16"/>
                <w:szCs w:val="16"/>
                <w:color w:val="auto"/>
              </w:rPr>
              <w:t>2.2</w:t>
            </w:r>
          </w:p>
        </w:tc>
        <w:tc>
          <w:tcPr>
            <w:tcW w:w="1520" w:type="dxa"/>
            <w:vAlign w:val="bottom"/>
          </w:tcPr>
          <w:p>
            <w:pPr>
              <w:jc w:val="right"/>
              <w:ind w:right="399"/>
              <w:spacing w:after="0"/>
              <w:rPr>
                <w:sz w:val="20"/>
                <w:szCs w:val="20"/>
                <w:color w:val="auto"/>
              </w:rPr>
            </w:pPr>
            <w:r>
              <w:rPr>
                <w:rFonts w:ascii="Arial" w:cs="Arial" w:eastAsia="Arial" w:hAnsi="Arial"/>
                <w:sz w:val="16"/>
                <w:szCs w:val="16"/>
                <w:color w:val="auto"/>
              </w:rPr>
              <w:t>2.1</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1.1</w:t>
            </w:r>
          </w:p>
        </w:tc>
        <w:tc>
          <w:tcPr>
            <w:tcW w:w="1440" w:type="dxa"/>
            <w:vAlign w:val="bottom"/>
          </w:tcPr>
          <w:p>
            <w:pPr>
              <w:jc w:val="right"/>
              <w:ind w:right="419"/>
              <w:spacing w:after="0"/>
              <w:rPr>
                <w:sz w:val="20"/>
                <w:szCs w:val="20"/>
                <w:color w:val="auto"/>
              </w:rPr>
            </w:pPr>
            <w:r>
              <w:rPr>
                <w:rFonts w:ascii="Arial" w:cs="Arial" w:eastAsia="Arial" w:hAnsi="Arial"/>
                <w:sz w:val="16"/>
                <w:szCs w:val="16"/>
                <w:color w:val="auto"/>
              </w:rPr>
              <w:t>1.7</w:t>
            </w:r>
          </w:p>
        </w:tc>
        <w:tc>
          <w:tcPr>
            <w:tcW w:w="860" w:type="dxa"/>
            <w:vAlign w:val="bottom"/>
          </w:tcPr>
          <w:p>
            <w:pPr>
              <w:spacing w:after="0"/>
              <w:rPr>
                <w:sz w:val="17"/>
                <w:szCs w:val="17"/>
                <w:color w:val="auto"/>
              </w:rPr>
            </w:pPr>
          </w:p>
        </w:tc>
      </w:tr>
      <w:tr>
        <w:trPr>
          <w:trHeight w:val="380"/>
        </w:trPr>
        <w:tc>
          <w:tcPr>
            <w:tcW w:w="2300" w:type="dxa"/>
            <w:vAlign w:val="bottom"/>
          </w:tcPr>
          <w:p>
            <w:pPr>
              <w:spacing w:after="0"/>
              <w:rPr>
                <w:sz w:val="20"/>
                <w:szCs w:val="20"/>
                <w:color w:val="auto"/>
              </w:rPr>
            </w:pPr>
            <w:r>
              <w:rPr>
                <w:rFonts w:ascii="Arial" w:cs="Arial" w:eastAsia="Arial" w:hAnsi="Arial"/>
                <w:sz w:val="16"/>
                <w:szCs w:val="16"/>
                <w:color w:val="auto"/>
              </w:rPr>
              <w:t>All Other</w:t>
            </w:r>
          </w:p>
        </w:tc>
        <w:tc>
          <w:tcPr>
            <w:tcW w:w="1840" w:type="dxa"/>
            <w:vAlign w:val="bottom"/>
          </w:tcPr>
          <w:p>
            <w:pPr>
              <w:spacing w:after="0"/>
              <w:rPr>
                <w:sz w:val="24"/>
                <w:szCs w:val="24"/>
                <w:color w:val="auto"/>
              </w:rPr>
            </w:pPr>
          </w:p>
        </w:tc>
        <w:tc>
          <w:tcPr>
            <w:tcW w:w="14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0.1</w:t>
            </w:r>
          </w:p>
        </w:tc>
        <w:tc>
          <w:tcPr>
            <w:tcW w:w="860" w:type="dxa"/>
            <w:vAlign w:val="bottom"/>
          </w:tcPr>
          <w:p>
            <w:pPr>
              <w:spacing w:after="0"/>
              <w:rPr>
                <w:sz w:val="24"/>
                <w:szCs w:val="24"/>
                <w:color w:val="auto"/>
              </w:rPr>
            </w:pPr>
          </w:p>
        </w:tc>
      </w:tr>
      <w:tr>
        <w:trPr>
          <w:trHeight w:val="189"/>
        </w:trPr>
        <w:tc>
          <w:tcPr>
            <w:tcW w:w="2300" w:type="dxa"/>
            <w:vAlign w:val="bottom"/>
          </w:tcPr>
          <w:p>
            <w:pPr>
              <w:spacing w:after="0"/>
              <w:rPr>
                <w:sz w:val="20"/>
                <w:szCs w:val="20"/>
                <w:color w:val="auto"/>
              </w:rPr>
            </w:pPr>
            <w:r>
              <w:rPr>
                <w:rFonts w:ascii="Arial" w:cs="Arial" w:eastAsia="Arial" w:hAnsi="Arial"/>
                <w:sz w:val="16"/>
                <w:szCs w:val="16"/>
                <w:b w:val="1"/>
                <w:bCs w:val="1"/>
                <w:color w:val="auto"/>
              </w:rPr>
              <w:t>Total Worldwide</w:t>
            </w:r>
          </w:p>
        </w:tc>
        <w:tc>
          <w:tcPr>
            <w:tcW w:w="1840" w:type="dxa"/>
            <w:vAlign w:val="bottom"/>
          </w:tcPr>
          <w:p>
            <w:pPr>
              <w:spacing w:after="0"/>
              <w:rPr>
                <w:sz w:val="16"/>
                <w:szCs w:val="16"/>
                <w:color w:val="auto"/>
              </w:rPr>
            </w:pPr>
          </w:p>
        </w:tc>
        <w:tc>
          <w:tcPr>
            <w:tcW w:w="14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9.0</w:t>
            </w:r>
          </w:p>
        </w:tc>
        <w:tc>
          <w:tcPr>
            <w:tcW w:w="15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8.6</w:t>
            </w:r>
          </w:p>
        </w:tc>
        <w:tc>
          <w:tcPr>
            <w:tcW w:w="15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2.7</w:t>
            </w:r>
          </w:p>
        </w:tc>
        <w:tc>
          <w:tcPr>
            <w:tcW w:w="14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3.4</w:t>
            </w:r>
          </w:p>
        </w:tc>
        <w:tc>
          <w:tcPr>
            <w:tcW w:w="860" w:type="dxa"/>
            <w:vAlign w:val="bottom"/>
          </w:tcPr>
          <w:p>
            <w:pPr>
              <w:spacing w:after="0"/>
              <w:rPr>
                <w:sz w:val="16"/>
                <w:szCs w:val="16"/>
                <w:color w:val="auto"/>
              </w:rPr>
            </w:pPr>
          </w:p>
        </w:tc>
      </w:tr>
    </w:tbl>
    <w:p>
      <w:pPr>
        <w:spacing w:after="0" w:line="233" w:lineRule="exact"/>
        <w:rPr>
          <w:sz w:val="20"/>
          <w:szCs w:val="20"/>
          <w:color w:val="auto"/>
        </w:rPr>
      </w:pPr>
    </w:p>
    <w:p>
      <w:pPr>
        <w:ind w:left="320" w:hanging="314"/>
        <w:spacing w:after="0"/>
        <w:tabs>
          <w:tab w:leader="none" w:pos="32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Capacity for ethylene, polyethylene, polypropylene and paraxylene in millions of metric tons per year.</w:t>
      </w:r>
    </w:p>
    <w:p>
      <w:pPr>
        <w:spacing w:after="0" w:line="61" w:lineRule="exact"/>
        <w:rPr>
          <w:rFonts w:ascii="Arial" w:cs="Arial" w:eastAsia="Arial" w:hAnsi="Arial"/>
          <w:sz w:val="16"/>
          <w:szCs w:val="16"/>
          <w:i w:val="1"/>
          <w:iCs w:val="1"/>
          <w:color w:val="auto"/>
        </w:rPr>
      </w:pPr>
    </w:p>
    <w:p>
      <w:pPr>
        <w:ind w:left="320" w:hanging="314"/>
        <w:spacing w:after="0"/>
        <w:tabs>
          <w:tab w:leader="none" w:pos="3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Capacity reflects 100 percent for operations of ExxonMobil and majority-owned subsidiaries. For companies owned 50 percent or less, capacity is ExxonMobil’s i</w:t>
      </w:r>
    </w:p>
    <w:p>
      <w:pPr>
        <w:spacing w:after="0" w:line="59" w:lineRule="exact"/>
        <w:rPr>
          <w:rFonts w:ascii="Arial" w:cs="Arial" w:eastAsia="Arial" w:hAnsi="Arial"/>
          <w:sz w:val="14"/>
          <w:szCs w:val="14"/>
          <w:i w:val="1"/>
          <w:iCs w:val="1"/>
          <w:color w:val="auto"/>
        </w:rPr>
      </w:pPr>
    </w:p>
    <w:p>
      <w:pPr>
        <w:ind w:left="5620"/>
        <w:spacing w:after="0"/>
        <w:rPr>
          <w:rFonts w:ascii="Arial" w:cs="Arial" w:eastAsia="Arial" w:hAnsi="Arial"/>
          <w:sz w:val="14"/>
          <w:szCs w:val="14"/>
          <w:i w:val="1"/>
          <w:iCs w:val="1"/>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650" w:right="139" w:bottom="1440" w:gutter="0" w:footer="0" w:header="0"/>
        </w:sectPr>
      </w:pPr>
    </w:p>
    <w:bookmarkStart w:id="27" w:name="page28"/>
    <w:bookmarkEnd w:id="27"/>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Regarding the discussions between Chalmette Refining LLC (CRLLC), owner of the Chalmette Refinery (operated by ExxonMobil Oil Corporation), and the Lo Department of Environmental Quality (LDEQ) to resolve self-reported deviations from refinery operations and relating to certain Clean Air Act Title V permit con limits and other requirements reported in the Corporation’s Form 10-Q for the second quarter of 2012, on November 14, 2014, CRLLC received a Consolidated Com Order and Notice of Potential Penalty (CCO/NOPP) from LDEQ covering the deviations between 2009 and 2010. CRLLC and LDEQ have entered a dispute res agreement, which suspends enforcement of the CCO/NOPP while negotiations are ongoing.</w:t>
      </w:r>
    </w:p>
    <w:p>
      <w:pPr>
        <w:spacing w:after="0" w:line="46" w:lineRule="exact"/>
        <w:rPr>
          <w:sz w:val="20"/>
          <w:szCs w:val="20"/>
          <w:color w:val="auto"/>
        </w:rPr>
      </w:pPr>
    </w:p>
    <w:p>
      <w:pPr>
        <w:jc w:val="both"/>
        <w:ind w:firstLine="200"/>
        <w:spacing w:after="0" w:line="265" w:lineRule="auto"/>
        <w:rPr>
          <w:sz w:val="20"/>
          <w:szCs w:val="20"/>
          <w:color w:val="auto"/>
        </w:rPr>
      </w:pPr>
      <w:r>
        <w:rPr>
          <w:rFonts w:ascii="Arial" w:cs="Arial" w:eastAsia="Arial" w:hAnsi="Arial"/>
          <w:sz w:val="16"/>
          <w:szCs w:val="16"/>
          <w:color w:val="auto"/>
        </w:rPr>
        <w:t>Regarding allegations raised by LDEQ concerning the April 28, 2012, discharge of crude oil from the ExxonMobil Pipeline Company’s (EMPCo) North Line Pipeli Torbert in Pointe Coupee Parish, Louisiana, previously reported in the Corporation’s Forms 10-Q for the third quarter of 2013 and the third quarter of 2014, on Dece 2014, LDEQ notified EMPCo that it was seeking a Penalty Assessment of $471,000 related to the discharge. EMPCo has timely requested an adjudicatory hearing on d issues of fact and law related to the proposed penalty assessment.</w:t>
      </w:r>
    </w:p>
    <w:p>
      <w:pPr>
        <w:spacing w:after="0" w:line="45" w:lineRule="exact"/>
        <w:rPr>
          <w:sz w:val="20"/>
          <w:szCs w:val="20"/>
          <w:color w:val="auto"/>
        </w:rPr>
      </w:pPr>
    </w:p>
    <w:p>
      <w:pPr>
        <w:jc w:val="both"/>
        <w:ind w:firstLine="200"/>
        <w:spacing w:after="0" w:line="265" w:lineRule="auto"/>
        <w:rPr>
          <w:sz w:val="20"/>
          <w:szCs w:val="20"/>
          <w:color w:val="auto"/>
        </w:rPr>
      </w:pPr>
      <w:r>
        <w:rPr>
          <w:rFonts w:ascii="Arial" w:cs="Arial" w:eastAsia="Arial" w:hAnsi="Arial"/>
          <w:sz w:val="16"/>
          <w:szCs w:val="16"/>
          <w:color w:val="auto"/>
        </w:rPr>
        <w:t>With respect to the enforcement action filed by the United States, on behalf of the United States Environmental Protection Agency (USEPA), and the State of Arka behalf of the Arkansas Department of Environmental Quality, against EMPCo related to the discharge of crude oil from the Pegasus Pipeline in Mayflower, Faulkner Arkansas, previously reported in the Corporation’s Forms 10-Q for the first, second and third quarters of 2013 and the first and second quarters of 2014, a motion h filed to extend an earlier court approved stay of discovery to allow the parties to pursue settlement discussions.</w:t>
      </w:r>
    </w:p>
    <w:p>
      <w:pPr>
        <w:spacing w:after="0" w:line="45" w:lineRule="exact"/>
        <w:rPr>
          <w:sz w:val="20"/>
          <w:szCs w:val="20"/>
          <w:color w:val="auto"/>
        </w:rPr>
      </w:pPr>
    </w:p>
    <w:p>
      <w:pPr>
        <w:jc w:val="both"/>
        <w:ind w:firstLine="200"/>
        <w:spacing w:after="0" w:line="284" w:lineRule="auto"/>
        <w:rPr>
          <w:sz w:val="20"/>
          <w:szCs w:val="20"/>
          <w:color w:val="auto"/>
        </w:rPr>
      </w:pPr>
      <w:r>
        <w:rPr>
          <w:rFonts w:ascii="Arial" w:cs="Arial" w:eastAsia="Arial" w:hAnsi="Arial"/>
          <w:sz w:val="15"/>
          <w:szCs w:val="15"/>
          <w:color w:val="auto"/>
        </w:rPr>
        <w:t>Regarding the $1.7 million penalty assessment against EMPCo by the U.S. Department of Transportation Pipeline &amp; Hazardous Materials Safety Administration (P for alleged violations of the federal Pipeline Safety Regulations in connection with the July 1, 2011, discharge of crude oil into the Yellowstone River from EMPCo’s S Pipeline near Laurel, Montana, reported in the Corporation’s Forms 10-Q for the first and second quarters of 2013 and the second quarter of 2014, following administrative hearing requested by EMPCo to contest PHMSA allegations and the proposed penalty, on January 23, 2015, PHMSA announced a final order reduc penalty to $1.05 million. On February 12, 2015, EMPCo filed a motion for reconsideration of the final order.</w:t>
      </w:r>
    </w:p>
    <w:p>
      <w:pPr>
        <w:spacing w:after="0" w:line="33" w:lineRule="exact"/>
        <w:rPr>
          <w:sz w:val="20"/>
          <w:szCs w:val="20"/>
          <w:color w:val="auto"/>
        </w:rPr>
      </w:pPr>
    </w:p>
    <w:p>
      <w:pPr>
        <w:jc w:val="both"/>
        <w:ind w:firstLine="200"/>
        <w:spacing w:after="0" w:line="260" w:lineRule="auto"/>
        <w:rPr>
          <w:sz w:val="20"/>
          <w:szCs w:val="20"/>
          <w:color w:val="auto"/>
        </w:rPr>
      </w:pPr>
      <w:r>
        <w:rPr>
          <w:rFonts w:ascii="Arial" w:cs="Arial" w:eastAsia="Arial" w:hAnsi="Arial"/>
          <w:sz w:val="16"/>
          <w:szCs w:val="16"/>
          <w:color w:val="auto"/>
        </w:rPr>
        <w:t>With respect to the administrative orders alleging Clean Water Act violations issued by the USEPA with regard to three locations of XTO Energy, Inc. (XTO) Virginia and the five unresolved additional West Virginia sites voluntarily disclosed by XTO to the USEPA reported in the Corporation’s Forms 10-Q for the first qu 2012 and the first three quarters of 2014, in December 2014, XTO agreed to a settlement with the Department of Justice, USEPA and West Virginia Depart Environmental Protections (WVDEP) pursuant to which XTO would pay a civil penalty of $2.3 million and enter into a Consent Decree with the Department of USEPA and WVDEP. The Consent Decree requires XTO to prepare and submit restoration plans for approval by USEPA and WVDEP and conduct approximate million in restoration and mitigation activities at the impacted locations or at alternative locations approved by the USEPA and WVDEP. The Consent Decree is su Court approval. On January 6, 2015, the Justice Department published a notice in the Federal Register stating that the Consent Decree had been lodged with the Co soliciting public comment for a period of 30 days.</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Refer to the relevant portions of “Note 16: Litigation and Other Contingencies” of the Financial Section of this report for additional information on legal proceeding</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355"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_______________________</w:t>
      </w:r>
    </w:p>
    <w:p>
      <w:pPr>
        <w:spacing w:after="0" w:line="306"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646" w:right="1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Executive Officers of the Registrant [pursuant to Instruction 3 to Regulation S-K, Item 401(b)]</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Rex W. Tillerson</w:t>
            </w:r>
          </w:p>
        </w:tc>
        <w:tc>
          <w:tcPr>
            <w:tcW w:w="4480" w:type="dxa"/>
            <w:vAlign w:val="bottom"/>
            <w:tcBorders>
              <w:top w:val="single" w:sz="8" w:color="auto"/>
            </w:tcBorders>
          </w:tcPr>
          <w:p>
            <w:pPr>
              <w:ind w:left="1020"/>
              <w:spacing w:after="0"/>
              <w:rPr>
                <w:sz w:val="20"/>
                <w:szCs w:val="20"/>
                <w:color w:val="auto"/>
              </w:rPr>
            </w:pPr>
            <w:r>
              <w:rPr>
                <w:rFonts w:ascii="Arial" w:cs="Arial" w:eastAsia="Arial" w:hAnsi="Arial"/>
                <w:sz w:val="16"/>
                <w:szCs w:val="16"/>
                <w:i w:val="1"/>
                <w:iCs w:val="1"/>
                <w:color w:val="auto"/>
              </w:rPr>
              <w:t>Chairman of the Board</w:t>
            </w:r>
          </w:p>
        </w:tc>
        <w:tc>
          <w:tcPr>
            <w:tcW w:w="3700" w:type="dxa"/>
            <w:vAlign w:val="bottom"/>
            <w:tcBorders>
              <w:top w:val="single" w:sz="8" w:color="auto"/>
            </w:tcBorders>
          </w:tcPr>
          <w:p>
            <w:pPr>
              <w:spacing w:after="0"/>
              <w:rPr>
                <w:sz w:val="20"/>
                <w:szCs w:val="20"/>
                <w:color w:val="auto"/>
              </w:rPr>
            </w:pPr>
          </w:p>
        </w:tc>
      </w:tr>
      <w:tr>
        <w:trPr>
          <w:trHeight w:val="376"/>
        </w:trPr>
        <w:tc>
          <w:tcPr>
            <w:tcW w:w="2760" w:type="dxa"/>
            <w:vAlign w:val="bottom"/>
          </w:tcPr>
          <w:p>
            <w:pPr>
              <w:ind w:left="200"/>
              <w:spacing w:after="0"/>
              <w:rPr>
                <w:sz w:val="20"/>
                <w:szCs w:val="20"/>
                <w:color w:val="auto"/>
              </w:rPr>
            </w:pPr>
            <w:r>
              <w:rPr>
                <w:rFonts w:ascii="Arial" w:cs="Arial" w:eastAsia="Arial" w:hAnsi="Arial"/>
                <w:sz w:val="16"/>
                <w:szCs w:val="16"/>
                <w:color w:val="auto"/>
              </w:rPr>
              <w:t>Held current title since:</w:t>
            </w:r>
          </w:p>
        </w:tc>
        <w:tc>
          <w:tcPr>
            <w:tcW w:w="4480" w:type="dxa"/>
            <w:vAlign w:val="bottom"/>
          </w:tcPr>
          <w:p>
            <w:pPr>
              <w:ind w:left="1020"/>
              <w:spacing w:after="0"/>
              <w:rPr>
                <w:sz w:val="20"/>
                <w:szCs w:val="20"/>
                <w:color w:val="auto"/>
              </w:rPr>
            </w:pPr>
            <w:r>
              <w:rPr>
                <w:rFonts w:ascii="Arial" w:cs="Arial" w:eastAsia="Arial" w:hAnsi="Arial"/>
                <w:sz w:val="16"/>
                <w:szCs w:val="16"/>
                <w:color w:val="auto"/>
              </w:rPr>
              <w:t>January 1, 2006</w:t>
            </w:r>
          </w:p>
        </w:tc>
        <w:tc>
          <w:tcPr>
            <w:tcW w:w="3700" w:type="dxa"/>
            <w:vAlign w:val="bottom"/>
          </w:tcPr>
          <w:p>
            <w:pPr>
              <w:ind w:left="1940"/>
              <w:spacing w:after="0"/>
              <w:rPr>
                <w:sz w:val="20"/>
                <w:szCs w:val="20"/>
                <w:color w:val="auto"/>
              </w:rPr>
            </w:pPr>
            <w:r>
              <w:rPr>
                <w:rFonts w:ascii="Arial" w:cs="Arial" w:eastAsia="Arial" w:hAnsi="Arial"/>
                <w:sz w:val="16"/>
                <w:szCs w:val="16"/>
                <w:color w:val="auto"/>
              </w:rPr>
              <w:t>Age: 62</w:t>
            </w:r>
          </w:p>
        </w:tc>
      </w:tr>
    </w:tbl>
    <w:p>
      <w:pPr>
        <w:spacing w:after="0" w:line="1" w:lineRule="exact"/>
        <w:rPr>
          <w:sz w:val="20"/>
          <w:szCs w:val="20"/>
          <w:color w:val="auto"/>
        </w:rPr>
      </w:pPr>
    </w:p>
    <w:p>
      <w:pPr>
        <w:jc w:val="both"/>
        <w:ind w:left="200" w:right="20"/>
        <w:spacing w:after="0" w:line="286" w:lineRule="auto"/>
        <w:rPr>
          <w:sz w:val="20"/>
          <w:szCs w:val="20"/>
          <w:color w:val="auto"/>
        </w:rPr>
      </w:pPr>
      <w:r>
        <w:rPr>
          <w:rFonts w:ascii="Arial" w:cs="Arial" w:eastAsia="Arial" w:hAnsi="Arial"/>
          <w:sz w:val="16"/>
          <w:szCs w:val="16"/>
          <w:color w:val="auto"/>
        </w:rPr>
        <w:t>Mr. Rex W. Tillerson became a Director and President of Exxon Mobil Corporation on March 1, 2004. He became Chairman of the Board and Chief Executive Of January 1, 2006. He still holds these positions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-277495</wp:posOffset>
            </wp:positionV>
            <wp:extent cx="694309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43090" cy="762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Mark W. Albers</w:t>
            </w:r>
          </w:p>
        </w:tc>
        <w:tc>
          <w:tcPr>
            <w:tcW w:w="4460" w:type="dxa"/>
            <w:vAlign w:val="bottom"/>
            <w:tcBorders>
              <w:top w:val="single" w:sz="8" w:color="auto"/>
            </w:tcBorders>
          </w:tcPr>
          <w:p>
            <w:pPr>
              <w:ind w:left="1020"/>
              <w:spacing w:after="0"/>
              <w:rPr>
                <w:sz w:val="20"/>
                <w:szCs w:val="20"/>
                <w:color w:val="auto"/>
              </w:rPr>
            </w:pPr>
            <w:r>
              <w:rPr>
                <w:rFonts w:ascii="Arial" w:cs="Arial" w:eastAsia="Arial" w:hAnsi="Arial"/>
                <w:sz w:val="16"/>
                <w:szCs w:val="16"/>
                <w:i w:val="1"/>
                <w:iCs w:val="1"/>
                <w:color w:val="auto"/>
              </w:rPr>
              <w:t>Senior Vice President</w:t>
            </w:r>
          </w:p>
        </w:tc>
        <w:tc>
          <w:tcPr>
            <w:tcW w:w="3720" w:type="dxa"/>
            <w:vAlign w:val="bottom"/>
            <w:tcBorders>
              <w:top w:val="single" w:sz="8" w:color="auto"/>
            </w:tcBorders>
          </w:tcPr>
          <w:p>
            <w:pPr>
              <w:spacing w:after="0"/>
              <w:rPr>
                <w:sz w:val="20"/>
                <w:szCs w:val="20"/>
                <w:color w:val="auto"/>
              </w:rPr>
            </w:pPr>
          </w:p>
        </w:tc>
      </w:tr>
      <w:tr>
        <w:trPr>
          <w:trHeight w:val="376"/>
        </w:trPr>
        <w:tc>
          <w:tcPr>
            <w:tcW w:w="2760" w:type="dxa"/>
            <w:vAlign w:val="bottom"/>
          </w:tcPr>
          <w:p>
            <w:pPr>
              <w:ind w:left="200"/>
              <w:spacing w:after="0"/>
              <w:rPr>
                <w:sz w:val="20"/>
                <w:szCs w:val="20"/>
                <w:color w:val="auto"/>
              </w:rPr>
            </w:pPr>
            <w:r>
              <w:rPr>
                <w:rFonts w:ascii="Arial" w:cs="Arial" w:eastAsia="Arial" w:hAnsi="Arial"/>
                <w:sz w:val="16"/>
                <w:szCs w:val="16"/>
                <w:color w:val="auto"/>
              </w:rPr>
              <w:t>Held current title since:</w:t>
            </w:r>
          </w:p>
        </w:tc>
        <w:tc>
          <w:tcPr>
            <w:tcW w:w="4460" w:type="dxa"/>
            <w:vAlign w:val="bottom"/>
          </w:tcPr>
          <w:p>
            <w:pPr>
              <w:ind w:left="1020"/>
              <w:spacing w:after="0"/>
              <w:rPr>
                <w:sz w:val="20"/>
                <w:szCs w:val="20"/>
                <w:color w:val="auto"/>
              </w:rPr>
            </w:pPr>
            <w:r>
              <w:rPr>
                <w:rFonts w:ascii="Arial" w:cs="Arial" w:eastAsia="Arial" w:hAnsi="Arial"/>
                <w:sz w:val="16"/>
                <w:szCs w:val="16"/>
                <w:color w:val="auto"/>
              </w:rPr>
              <w:t>April 1, 2007</w:t>
            </w:r>
          </w:p>
        </w:tc>
        <w:tc>
          <w:tcPr>
            <w:tcW w:w="3720" w:type="dxa"/>
            <w:vAlign w:val="bottom"/>
          </w:tcPr>
          <w:p>
            <w:pPr>
              <w:ind w:left="2020"/>
              <w:spacing w:after="0"/>
              <w:rPr>
                <w:sz w:val="20"/>
                <w:szCs w:val="20"/>
                <w:color w:val="auto"/>
              </w:rPr>
            </w:pPr>
            <w:r>
              <w:rPr>
                <w:rFonts w:ascii="Arial" w:cs="Arial" w:eastAsia="Arial" w:hAnsi="Arial"/>
                <w:sz w:val="16"/>
                <w:szCs w:val="16"/>
                <w:color w:val="auto"/>
              </w:rPr>
              <w:t>Age: 58</w:t>
            </w:r>
          </w:p>
        </w:tc>
      </w:tr>
    </w:tbl>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Mr. Mark W. Albers became Senior Vice President of Exxon Mobil Corporation on April 1, 2007, a position he still holds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694309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43090" cy="762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Michael J. Dolan</w:t>
            </w:r>
          </w:p>
        </w:tc>
        <w:tc>
          <w:tcPr>
            <w:tcW w:w="4460" w:type="dxa"/>
            <w:vAlign w:val="bottom"/>
            <w:tcBorders>
              <w:top w:val="single" w:sz="8" w:color="auto"/>
            </w:tcBorders>
          </w:tcPr>
          <w:p>
            <w:pPr>
              <w:ind w:left="1020"/>
              <w:spacing w:after="0"/>
              <w:rPr>
                <w:sz w:val="20"/>
                <w:szCs w:val="20"/>
                <w:color w:val="auto"/>
              </w:rPr>
            </w:pPr>
            <w:r>
              <w:rPr>
                <w:rFonts w:ascii="Arial" w:cs="Arial" w:eastAsia="Arial" w:hAnsi="Arial"/>
                <w:sz w:val="16"/>
                <w:szCs w:val="16"/>
                <w:i w:val="1"/>
                <w:iCs w:val="1"/>
                <w:color w:val="auto"/>
              </w:rPr>
              <w:t>Senior Vice President</w:t>
            </w:r>
          </w:p>
        </w:tc>
        <w:tc>
          <w:tcPr>
            <w:tcW w:w="3720" w:type="dxa"/>
            <w:vAlign w:val="bottom"/>
            <w:tcBorders>
              <w:top w:val="single" w:sz="8" w:color="auto"/>
            </w:tcBorders>
          </w:tcPr>
          <w:p>
            <w:pPr>
              <w:spacing w:after="0"/>
              <w:rPr>
                <w:sz w:val="20"/>
                <w:szCs w:val="20"/>
                <w:color w:val="auto"/>
              </w:rPr>
            </w:pPr>
          </w:p>
        </w:tc>
      </w:tr>
      <w:tr>
        <w:trPr>
          <w:trHeight w:val="376"/>
        </w:trPr>
        <w:tc>
          <w:tcPr>
            <w:tcW w:w="2760" w:type="dxa"/>
            <w:vAlign w:val="bottom"/>
          </w:tcPr>
          <w:p>
            <w:pPr>
              <w:ind w:left="200"/>
              <w:spacing w:after="0"/>
              <w:rPr>
                <w:sz w:val="20"/>
                <w:szCs w:val="20"/>
                <w:color w:val="auto"/>
              </w:rPr>
            </w:pPr>
            <w:r>
              <w:rPr>
                <w:rFonts w:ascii="Arial" w:cs="Arial" w:eastAsia="Arial" w:hAnsi="Arial"/>
                <w:sz w:val="16"/>
                <w:szCs w:val="16"/>
                <w:color w:val="auto"/>
              </w:rPr>
              <w:t>Held current title since:</w:t>
            </w:r>
          </w:p>
        </w:tc>
        <w:tc>
          <w:tcPr>
            <w:tcW w:w="4460" w:type="dxa"/>
            <w:vAlign w:val="bottom"/>
          </w:tcPr>
          <w:p>
            <w:pPr>
              <w:ind w:left="1020"/>
              <w:spacing w:after="0"/>
              <w:rPr>
                <w:sz w:val="20"/>
                <w:szCs w:val="20"/>
                <w:color w:val="auto"/>
              </w:rPr>
            </w:pPr>
            <w:r>
              <w:rPr>
                <w:rFonts w:ascii="Arial" w:cs="Arial" w:eastAsia="Arial" w:hAnsi="Arial"/>
                <w:sz w:val="16"/>
                <w:szCs w:val="16"/>
                <w:color w:val="auto"/>
              </w:rPr>
              <w:t>April 1, 2008</w:t>
            </w:r>
          </w:p>
        </w:tc>
        <w:tc>
          <w:tcPr>
            <w:tcW w:w="3720" w:type="dxa"/>
            <w:vAlign w:val="bottom"/>
          </w:tcPr>
          <w:p>
            <w:pPr>
              <w:ind w:left="2020"/>
              <w:spacing w:after="0"/>
              <w:rPr>
                <w:sz w:val="20"/>
                <w:szCs w:val="20"/>
                <w:color w:val="auto"/>
              </w:rPr>
            </w:pPr>
            <w:r>
              <w:rPr>
                <w:rFonts w:ascii="Arial" w:cs="Arial" w:eastAsia="Arial" w:hAnsi="Arial"/>
                <w:sz w:val="16"/>
                <w:szCs w:val="16"/>
                <w:color w:val="auto"/>
              </w:rPr>
              <w:t>Age: 61</w:t>
            </w:r>
          </w:p>
        </w:tc>
      </w:tr>
    </w:tbl>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Mr. Michael J. Dolan became Senior Vice President of Exxon Mobil Corporation on April 1, 2008, a position he still holds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694309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43090" cy="762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Andrew P. Swiger</w:t>
            </w:r>
          </w:p>
        </w:tc>
        <w:tc>
          <w:tcPr>
            <w:tcW w:w="4460" w:type="dxa"/>
            <w:vAlign w:val="bottom"/>
            <w:tcBorders>
              <w:top w:val="single" w:sz="8" w:color="auto"/>
            </w:tcBorders>
          </w:tcPr>
          <w:p>
            <w:pPr>
              <w:ind w:left="1020"/>
              <w:spacing w:after="0"/>
              <w:rPr>
                <w:sz w:val="20"/>
                <w:szCs w:val="20"/>
                <w:color w:val="auto"/>
              </w:rPr>
            </w:pPr>
            <w:r>
              <w:rPr>
                <w:rFonts w:ascii="Arial" w:cs="Arial" w:eastAsia="Arial" w:hAnsi="Arial"/>
                <w:sz w:val="16"/>
                <w:szCs w:val="16"/>
                <w:i w:val="1"/>
                <w:iCs w:val="1"/>
                <w:color w:val="auto"/>
              </w:rPr>
              <w:t>Senior Vice President</w:t>
            </w:r>
          </w:p>
        </w:tc>
        <w:tc>
          <w:tcPr>
            <w:tcW w:w="3720" w:type="dxa"/>
            <w:vAlign w:val="bottom"/>
            <w:tcBorders>
              <w:top w:val="single" w:sz="8" w:color="auto"/>
            </w:tcBorders>
          </w:tcPr>
          <w:p>
            <w:pPr>
              <w:spacing w:after="0"/>
              <w:rPr>
                <w:sz w:val="20"/>
                <w:szCs w:val="20"/>
                <w:color w:val="auto"/>
              </w:rPr>
            </w:pPr>
          </w:p>
        </w:tc>
      </w:tr>
      <w:tr>
        <w:trPr>
          <w:trHeight w:val="376"/>
        </w:trPr>
        <w:tc>
          <w:tcPr>
            <w:tcW w:w="2760" w:type="dxa"/>
            <w:vAlign w:val="bottom"/>
          </w:tcPr>
          <w:p>
            <w:pPr>
              <w:ind w:left="200"/>
              <w:spacing w:after="0"/>
              <w:rPr>
                <w:sz w:val="20"/>
                <w:szCs w:val="20"/>
                <w:color w:val="auto"/>
              </w:rPr>
            </w:pPr>
            <w:r>
              <w:rPr>
                <w:rFonts w:ascii="Arial" w:cs="Arial" w:eastAsia="Arial" w:hAnsi="Arial"/>
                <w:sz w:val="16"/>
                <w:szCs w:val="16"/>
                <w:color w:val="auto"/>
              </w:rPr>
              <w:t>Held current title since:</w:t>
            </w:r>
          </w:p>
        </w:tc>
        <w:tc>
          <w:tcPr>
            <w:tcW w:w="4460" w:type="dxa"/>
            <w:vAlign w:val="bottom"/>
          </w:tcPr>
          <w:p>
            <w:pPr>
              <w:ind w:left="1020"/>
              <w:spacing w:after="0"/>
              <w:rPr>
                <w:sz w:val="20"/>
                <w:szCs w:val="20"/>
                <w:color w:val="auto"/>
              </w:rPr>
            </w:pPr>
            <w:r>
              <w:rPr>
                <w:rFonts w:ascii="Arial" w:cs="Arial" w:eastAsia="Arial" w:hAnsi="Arial"/>
                <w:sz w:val="16"/>
                <w:szCs w:val="16"/>
                <w:color w:val="auto"/>
              </w:rPr>
              <w:t>April 1, 2009</w:t>
            </w:r>
          </w:p>
        </w:tc>
        <w:tc>
          <w:tcPr>
            <w:tcW w:w="3720" w:type="dxa"/>
            <w:vAlign w:val="bottom"/>
          </w:tcPr>
          <w:p>
            <w:pPr>
              <w:ind w:left="2020"/>
              <w:spacing w:after="0"/>
              <w:rPr>
                <w:sz w:val="20"/>
                <w:szCs w:val="20"/>
                <w:color w:val="auto"/>
              </w:rPr>
            </w:pPr>
            <w:r>
              <w:rPr>
                <w:rFonts w:ascii="Arial" w:cs="Arial" w:eastAsia="Arial" w:hAnsi="Arial"/>
                <w:sz w:val="16"/>
                <w:szCs w:val="16"/>
                <w:color w:val="auto"/>
              </w:rPr>
              <w:t>Age: 58</w:t>
            </w:r>
          </w:p>
        </w:tc>
      </w:tr>
    </w:tbl>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Mr. Andrew P. Swiger became Senior Vice President of Exxon Mobil Corporation on April 1, 2009, a position he still holds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694309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43090" cy="762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Jack P. Williams, Jr.</w:t>
            </w:r>
          </w:p>
        </w:tc>
        <w:tc>
          <w:tcPr>
            <w:tcW w:w="4460" w:type="dxa"/>
            <w:vAlign w:val="bottom"/>
            <w:tcBorders>
              <w:top w:val="single" w:sz="8" w:color="auto"/>
            </w:tcBorders>
          </w:tcPr>
          <w:p>
            <w:pPr>
              <w:ind w:left="1020"/>
              <w:spacing w:after="0"/>
              <w:rPr>
                <w:sz w:val="20"/>
                <w:szCs w:val="20"/>
                <w:color w:val="auto"/>
              </w:rPr>
            </w:pPr>
            <w:r>
              <w:rPr>
                <w:rFonts w:ascii="Arial" w:cs="Arial" w:eastAsia="Arial" w:hAnsi="Arial"/>
                <w:sz w:val="16"/>
                <w:szCs w:val="16"/>
                <w:i w:val="1"/>
                <w:iCs w:val="1"/>
                <w:color w:val="auto"/>
              </w:rPr>
              <w:t>Senior Vice President</w:t>
            </w:r>
          </w:p>
        </w:tc>
        <w:tc>
          <w:tcPr>
            <w:tcW w:w="3720" w:type="dxa"/>
            <w:vAlign w:val="bottom"/>
            <w:tcBorders>
              <w:top w:val="single" w:sz="8" w:color="auto"/>
            </w:tcBorders>
          </w:tcPr>
          <w:p>
            <w:pPr>
              <w:spacing w:after="0"/>
              <w:rPr>
                <w:sz w:val="20"/>
                <w:szCs w:val="20"/>
                <w:color w:val="auto"/>
              </w:rPr>
            </w:pPr>
          </w:p>
        </w:tc>
      </w:tr>
      <w:tr>
        <w:trPr>
          <w:trHeight w:val="376"/>
        </w:trPr>
        <w:tc>
          <w:tcPr>
            <w:tcW w:w="2760" w:type="dxa"/>
            <w:vAlign w:val="bottom"/>
          </w:tcPr>
          <w:p>
            <w:pPr>
              <w:ind w:left="200"/>
              <w:spacing w:after="0"/>
              <w:rPr>
                <w:sz w:val="20"/>
                <w:szCs w:val="20"/>
                <w:color w:val="auto"/>
              </w:rPr>
            </w:pPr>
            <w:r>
              <w:rPr>
                <w:rFonts w:ascii="Arial" w:cs="Arial" w:eastAsia="Arial" w:hAnsi="Arial"/>
                <w:sz w:val="16"/>
                <w:szCs w:val="16"/>
                <w:color w:val="auto"/>
              </w:rPr>
              <w:t>Held current title since:</w:t>
            </w:r>
          </w:p>
        </w:tc>
        <w:tc>
          <w:tcPr>
            <w:tcW w:w="4460" w:type="dxa"/>
            <w:vAlign w:val="bottom"/>
          </w:tcPr>
          <w:p>
            <w:pPr>
              <w:ind w:left="1020"/>
              <w:spacing w:after="0"/>
              <w:rPr>
                <w:sz w:val="20"/>
                <w:szCs w:val="20"/>
                <w:color w:val="auto"/>
              </w:rPr>
            </w:pPr>
            <w:r>
              <w:rPr>
                <w:rFonts w:ascii="Arial" w:cs="Arial" w:eastAsia="Arial" w:hAnsi="Arial"/>
                <w:sz w:val="16"/>
                <w:szCs w:val="16"/>
                <w:color w:val="auto"/>
              </w:rPr>
              <w:t>June 1, 2014</w:t>
            </w:r>
          </w:p>
        </w:tc>
        <w:tc>
          <w:tcPr>
            <w:tcW w:w="3720" w:type="dxa"/>
            <w:vAlign w:val="bottom"/>
          </w:tcPr>
          <w:p>
            <w:pPr>
              <w:ind w:left="2020"/>
              <w:spacing w:after="0"/>
              <w:rPr>
                <w:sz w:val="20"/>
                <w:szCs w:val="20"/>
                <w:color w:val="auto"/>
              </w:rPr>
            </w:pPr>
            <w:r>
              <w:rPr>
                <w:rFonts w:ascii="Arial" w:cs="Arial" w:eastAsia="Arial" w:hAnsi="Arial"/>
                <w:sz w:val="16"/>
                <w:szCs w:val="16"/>
                <w:color w:val="auto"/>
              </w:rPr>
              <w:t>Age: 51</w:t>
            </w:r>
          </w:p>
        </w:tc>
      </w:tr>
    </w:tbl>
    <w:p>
      <w:pPr>
        <w:spacing w:after="0" w:line="1" w:lineRule="exact"/>
        <w:rPr>
          <w:sz w:val="20"/>
          <w:szCs w:val="20"/>
          <w:color w:val="auto"/>
        </w:rPr>
      </w:pPr>
    </w:p>
    <w:p>
      <w:pPr>
        <w:jc w:val="both"/>
        <w:ind w:left="200"/>
        <w:spacing w:after="0" w:line="271" w:lineRule="auto"/>
        <w:rPr>
          <w:sz w:val="20"/>
          <w:szCs w:val="20"/>
          <w:color w:val="auto"/>
        </w:rPr>
      </w:pPr>
      <w:r>
        <w:rPr>
          <w:rFonts w:ascii="Arial" w:cs="Arial" w:eastAsia="Arial" w:hAnsi="Arial"/>
          <w:sz w:val="16"/>
          <w:szCs w:val="16"/>
          <w:color w:val="auto"/>
        </w:rPr>
        <w:t>Mr. Jack P. Williams, Jr. was Vice President of ExxonMobil Development Company May 1, 2009 – July 1, 2010. He was President of XTO Energy Inc. June 25, May 31, 2013. He was Executive Vice President of ExxonMobil Production Company June 1, 2013 – June 30, 2014. He became Senior Vice President of Exxon Corporation on June 1, 2014, a position he still holds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-394970</wp:posOffset>
            </wp:positionV>
            <wp:extent cx="694309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43090" cy="762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Darren W. Woods</w:t>
            </w:r>
          </w:p>
        </w:tc>
        <w:tc>
          <w:tcPr>
            <w:tcW w:w="5340" w:type="dxa"/>
            <w:vAlign w:val="bottom"/>
            <w:tcBorders>
              <w:top w:val="single" w:sz="8" w:color="auto"/>
            </w:tcBorders>
          </w:tcPr>
          <w:p>
            <w:pPr>
              <w:ind w:left="1020"/>
              <w:spacing w:after="0"/>
              <w:rPr>
                <w:sz w:val="20"/>
                <w:szCs w:val="20"/>
                <w:color w:val="auto"/>
              </w:rPr>
            </w:pPr>
            <w:r>
              <w:rPr>
                <w:rFonts w:ascii="Arial" w:cs="Arial" w:eastAsia="Arial" w:hAnsi="Arial"/>
                <w:sz w:val="16"/>
                <w:szCs w:val="16"/>
                <w:i w:val="1"/>
                <w:iCs w:val="1"/>
                <w:color w:val="auto"/>
              </w:rPr>
              <w:t>Senior Vice President</w:t>
            </w:r>
          </w:p>
        </w:tc>
        <w:tc>
          <w:tcPr>
            <w:tcW w:w="2840" w:type="dxa"/>
            <w:vAlign w:val="bottom"/>
            <w:tcBorders>
              <w:top w:val="single" w:sz="8" w:color="auto"/>
            </w:tcBorders>
          </w:tcPr>
          <w:p>
            <w:pPr>
              <w:spacing w:after="0"/>
              <w:rPr>
                <w:sz w:val="20"/>
                <w:szCs w:val="20"/>
                <w:color w:val="auto"/>
              </w:rPr>
            </w:pPr>
          </w:p>
        </w:tc>
      </w:tr>
      <w:tr>
        <w:trPr>
          <w:trHeight w:val="376"/>
        </w:trPr>
        <w:tc>
          <w:tcPr>
            <w:tcW w:w="276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Held current title since:</w:t>
            </w:r>
          </w:p>
        </w:tc>
        <w:tc>
          <w:tcPr>
            <w:tcW w:w="534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June 1, 2014</w:t>
            </w:r>
          </w:p>
        </w:tc>
        <w:tc>
          <w:tcPr>
            <w:tcW w:w="284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Age: 50</w:t>
            </w:r>
          </w:p>
        </w:tc>
      </w:tr>
      <w:tr>
        <w:trPr>
          <w:trHeight w:val="190"/>
        </w:trPr>
        <w:tc>
          <w:tcPr>
            <w:tcW w:w="8100" w:type="dxa"/>
            <w:vAlign w:val="bottom"/>
            <w:gridSpan w:val="2"/>
          </w:tcPr>
          <w:p>
            <w:pPr>
              <w:ind w:left="200"/>
              <w:spacing w:after="0"/>
              <w:rPr>
                <w:sz w:val="20"/>
                <w:szCs w:val="20"/>
                <w:color w:val="auto"/>
              </w:rPr>
            </w:pPr>
            <w:r>
              <w:rPr>
                <w:rFonts w:ascii="Arial" w:cs="Arial" w:eastAsia="Arial" w:hAnsi="Arial"/>
                <w:sz w:val="16"/>
                <w:szCs w:val="16"/>
                <w:color w:val="auto"/>
                <w:w w:val="98"/>
              </w:rPr>
              <w:t>Mr. Darren W. Woods was Director, Refining Europe/Africa/Middle East, ExxonMobil Refining &amp; Supply Company</w:t>
            </w:r>
          </w:p>
        </w:tc>
        <w:tc>
          <w:tcPr>
            <w:tcW w:w="2840" w:type="dxa"/>
            <w:vAlign w:val="bottom"/>
          </w:tcPr>
          <w:p>
            <w:pPr>
              <w:ind w:left="140"/>
              <w:spacing w:after="0"/>
              <w:rPr>
                <w:sz w:val="20"/>
                <w:szCs w:val="20"/>
                <w:color w:val="auto"/>
              </w:rPr>
            </w:pPr>
            <w:r>
              <w:rPr>
                <w:rFonts w:ascii="Arial" w:cs="Arial" w:eastAsia="Arial" w:hAnsi="Arial"/>
                <w:sz w:val="16"/>
                <w:szCs w:val="16"/>
                <w:color w:val="auto"/>
                <w:w w:val="93"/>
              </w:rPr>
              <w:t>February 1, 2008 – June 30, 2010. He w</w:t>
            </w:r>
          </w:p>
        </w:tc>
      </w:tr>
    </w:tbl>
    <w:p>
      <w:pPr>
        <w:jc w:val="both"/>
        <w:ind w:left="200"/>
        <w:spacing w:after="0" w:line="261" w:lineRule="auto"/>
        <w:rPr>
          <w:sz w:val="20"/>
          <w:szCs w:val="20"/>
          <w:color w:val="auto"/>
        </w:rPr>
      </w:pPr>
      <w:r>
        <w:rPr>
          <w:rFonts w:ascii="Arial" w:cs="Arial" w:eastAsia="Arial" w:hAnsi="Arial"/>
          <w:sz w:val="16"/>
          <w:szCs w:val="16"/>
          <w:color w:val="auto"/>
        </w:rPr>
        <w:t>President, Supply &amp; Transportation, ExxonMobil Refining &amp; Supply Company July 1, 2010 – July 31, 2012. He was President of ExxonMobil Refining &amp; Company August 1, 2012 – July 31, 2014 and Vice President of Exxon Mobil Corporation August 1, 2012 – May 31, 2014. He became Senior Vice President of Mobil Corporation on June 1, 2014, a position he still holds as of this filing date.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 Jack Balagia</w:t>
            </w:r>
          </w:p>
        </w:tc>
        <w:tc>
          <w:tcPr>
            <w:tcW w:w="4900" w:type="dxa"/>
            <w:vAlign w:val="bottom"/>
            <w:tcBorders>
              <w:top w:val="single" w:sz="8" w:color="auto"/>
            </w:tcBorders>
          </w:tcPr>
          <w:p>
            <w:pPr>
              <w:ind w:left="1020"/>
              <w:spacing w:after="0"/>
              <w:rPr>
                <w:sz w:val="20"/>
                <w:szCs w:val="20"/>
                <w:color w:val="auto"/>
              </w:rPr>
            </w:pPr>
            <w:r>
              <w:rPr>
                <w:rFonts w:ascii="Arial" w:cs="Arial" w:eastAsia="Arial" w:hAnsi="Arial"/>
                <w:sz w:val="16"/>
                <w:szCs w:val="16"/>
                <w:i w:val="1"/>
                <w:iCs w:val="1"/>
                <w:color w:val="auto"/>
              </w:rPr>
              <w:t>Vice President and General Counsel</w:t>
            </w:r>
          </w:p>
        </w:tc>
        <w:tc>
          <w:tcPr>
            <w:tcW w:w="3280" w:type="dxa"/>
            <w:vAlign w:val="bottom"/>
            <w:tcBorders>
              <w:top w:val="single" w:sz="8" w:color="auto"/>
            </w:tcBorders>
          </w:tcPr>
          <w:p>
            <w:pPr>
              <w:spacing w:after="0"/>
              <w:rPr>
                <w:sz w:val="20"/>
                <w:szCs w:val="20"/>
                <w:color w:val="auto"/>
              </w:rPr>
            </w:pPr>
          </w:p>
        </w:tc>
      </w:tr>
      <w:tr>
        <w:trPr>
          <w:trHeight w:val="437"/>
        </w:trPr>
        <w:tc>
          <w:tcPr>
            <w:tcW w:w="2760" w:type="dxa"/>
            <w:vAlign w:val="bottom"/>
          </w:tcPr>
          <w:p>
            <w:pPr>
              <w:ind w:left="200"/>
              <w:spacing w:after="0"/>
              <w:rPr>
                <w:sz w:val="20"/>
                <w:szCs w:val="20"/>
                <w:color w:val="auto"/>
              </w:rPr>
            </w:pPr>
            <w:r>
              <w:rPr>
                <w:rFonts w:ascii="Arial" w:cs="Arial" w:eastAsia="Arial" w:hAnsi="Arial"/>
                <w:sz w:val="16"/>
                <w:szCs w:val="16"/>
                <w:color w:val="auto"/>
              </w:rPr>
              <w:t>Held current title since:</w:t>
            </w:r>
          </w:p>
        </w:tc>
        <w:tc>
          <w:tcPr>
            <w:tcW w:w="4900" w:type="dxa"/>
            <w:vAlign w:val="bottom"/>
          </w:tcPr>
          <w:p>
            <w:pPr>
              <w:ind w:left="1020"/>
              <w:spacing w:after="0"/>
              <w:rPr>
                <w:sz w:val="20"/>
                <w:szCs w:val="20"/>
                <w:color w:val="auto"/>
              </w:rPr>
            </w:pPr>
            <w:r>
              <w:rPr>
                <w:rFonts w:ascii="Arial" w:cs="Arial" w:eastAsia="Arial" w:hAnsi="Arial"/>
                <w:sz w:val="16"/>
                <w:szCs w:val="16"/>
                <w:color w:val="auto"/>
              </w:rPr>
              <w:t>March 1, 2010</w:t>
            </w:r>
          </w:p>
        </w:tc>
        <w:tc>
          <w:tcPr>
            <w:tcW w:w="3280" w:type="dxa"/>
            <w:vAlign w:val="bottom"/>
          </w:tcPr>
          <w:p>
            <w:pPr>
              <w:ind w:left="1520"/>
              <w:spacing w:after="0"/>
              <w:rPr>
                <w:sz w:val="20"/>
                <w:szCs w:val="20"/>
                <w:color w:val="auto"/>
              </w:rPr>
            </w:pPr>
            <w:r>
              <w:rPr>
                <w:rFonts w:ascii="Arial" w:cs="Arial" w:eastAsia="Arial" w:hAnsi="Arial"/>
                <w:sz w:val="16"/>
                <w:szCs w:val="16"/>
                <w:color w:val="auto"/>
              </w:rPr>
              <w:t>Age: 63</w:t>
            </w:r>
          </w:p>
        </w:tc>
      </w:tr>
    </w:tbl>
    <w:p>
      <w:pPr>
        <w:spacing w:after="0" w:line="1"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Mr. S. Jack Balagia was Assistant General Counsel of Exxon Mobil Corporation April 1, 2004 – March 1, 2010. He became Vice President and General Counsel of Mobil Corporation on March 1, 2010, positions he still holds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694309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43090" cy="15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-277495</wp:posOffset>
            </wp:positionV>
            <wp:extent cx="694309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43090" cy="762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650" w:right="1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6"/>
        </w:trPr>
        <w:tc>
          <w:tcPr>
            <w:tcW w:w="27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Neil A. Chapman</w:t>
            </w:r>
          </w:p>
        </w:tc>
        <w:tc>
          <w:tcPr>
            <w:tcW w:w="4240" w:type="dxa"/>
            <w:vAlign w:val="bottom"/>
            <w:tcBorders>
              <w:top w:val="single" w:sz="8" w:color="auto"/>
            </w:tcBorders>
          </w:tcPr>
          <w:p>
            <w:pPr>
              <w:ind w:left="1020"/>
              <w:spacing w:after="0"/>
              <w:rPr>
                <w:sz w:val="20"/>
                <w:szCs w:val="20"/>
                <w:color w:val="auto"/>
              </w:rPr>
            </w:pPr>
            <w:r>
              <w:rPr>
                <w:rFonts w:ascii="Arial" w:cs="Arial" w:eastAsia="Arial" w:hAnsi="Arial"/>
                <w:sz w:val="16"/>
                <w:szCs w:val="16"/>
                <w:i w:val="1"/>
                <w:iCs w:val="1"/>
                <w:color w:val="auto"/>
              </w:rPr>
              <w:t>Vice President</w:t>
            </w:r>
          </w:p>
        </w:tc>
        <w:tc>
          <w:tcPr>
            <w:tcW w:w="3940" w:type="dxa"/>
            <w:vAlign w:val="bottom"/>
            <w:tcBorders>
              <w:top w:val="single" w:sz="8" w:color="auto"/>
            </w:tcBorders>
          </w:tcPr>
          <w:p>
            <w:pPr>
              <w:spacing w:after="0"/>
              <w:rPr>
                <w:sz w:val="20"/>
                <w:szCs w:val="20"/>
                <w:color w:val="auto"/>
              </w:rPr>
            </w:pPr>
          </w:p>
        </w:tc>
      </w:tr>
      <w:tr>
        <w:trPr>
          <w:trHeight w:val="437"/>
        </w:trPr>
        <w:tc>
          <w:tcPr>
            <w:tcW w:w="2760" w:type="dxa"/>
            <w:vAlign w:val="bottom"/>
          </w:tcPr>
          <w:p>
            <w:pPr>
              <w:ind w:left="200"/>
              <w:spacing w:after="0"/>
              <w:rPr>
                <w:sz w:val="20"/>
                <w:szCs w:val="20"/>
                <w:color w:val="auto"/>
              </w:rPr>
            </w:pPr>
            <w:r>
              <w:rPr>
                <w:rFonts w:ascii="Arial" w:cs="Arial" w:eastAsia="Arial" w:hAnsi="Arial"/>
                <w:sz w:val="16"/>
                <w:szCs w:val="16"/>
                <w:color w:val="auto"/>
              </w:rPr>
              <w:t>Held current title since:</w:t>
            </w:r>
          </w:p>
        </w:tc>
        <w:tc>
          <w:tcPr>
            <w:tcW w:w="4240" w:type="dxa"/>
            <w:vAlign w:val="bottom"/>
          </w:tcPr>
          <w:p>
            <w:pPr>
              <w:ind w:left="1020"/>
              <w:spacing w:after="0"/>
              <w:rPr>
                <w:sz w:val="20"/>
                <w:szCs w:val="20"/>
                <w:color w:val="auto"/>
              </w:rPr>
            </w:pPr>
            <w:r>
              <w:rPr>
                <w:rFonts w:ascii="Arial" w:cs="Arial" w:eastAsia="Arial" w:hAnsi="Arial"/>
                <w:sz w:val="16"/>
                <w:szCs w:val="16"/>
                <w:color w:val="auto"/>
              </w:rPr>
              <w:t>January 1, 2015</w:t>
            </w:r>
          </w:p>
        </w:tc>
        <w:tc>
          <w:tcPr>
            <w:tcW w:w="3940" w:type="dxa"/>
            <w:vAlign w:val="bottom"/>
          </w:tcPr>
          <w:p>
            <w:pPr>
              <w:ind w:left="2180"/>
              <w:spacing w:after="0"/>
              <w:rPr>
                <w:sz w:val="20"/>
                <w:szCs w:val="20"/>
                <w:color w:val="auto"/>
              </w:rPr>
            </w:pPr>
            <w:r>
              <w:rPr>
                <w:rFonts w:ascii="Arial" w:cs="Arial" w:eastAsia="Arial" w:hAnsi="Arial"/>
                <w:sz w:val="16"/>
                <w:szCs w:val="16"/>
                <w:color w:val="auto"/>
              </w:rPr>
              <w:t>Age: 52</w:t>
            </w:r>
          </w:p>
        </w:tc>
      </w:tr>
    </w:tbl>
    <w:p>
      <w:pPr>
        <w:spacing w:after="0" w:line="1" w:lineRule="exact"/>
        <w:rPr>
          <w:sz w:val="20"/>
          <w:szCs w:val="20"/>
          <w:color w:val="auto"/>
        </w:rPr>
      </w:pPr>
    </w:p>
    <w:p>
      <w:pPr>
        <w:jc w:val="both"/>
        <w:ind w:left="200"/>
        <w:spacing w:after="0" w:line="271" w:lineRule="auto"/>
        <w:rPr>
          <w:sz w:val="20"/>
          <w:szCs w:val="20"/>
          <w:color w:val="auto"/>
        </w:rPr>
      </w:pPr>
      <w:r>
        <w:rPr>
          <w:rFonts w:ascii="Arial" w:cs="Arial" w:eastAsia="Arial" w:hAnsi="Arial"/>
          <w:sz w:val="16"/>
          <w:szCs w:val="16"/>
          <w:color w:val="auto"/>
        </w:rPr>
        <w:t>Mr. Neil A. Chapman was President of ExxonMobil Global Services Company April 4, 2007 – March 31, 2011. He was Senior Vice President, ExxonMobil C Company April 1, 2011 – December 31, 2014. He became President of ExxonMobil Chemical Company and Vice President of Exxon Mobil Corporation on Jan 2015, positions he still holds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-394970</wp:posOffset>
            </wp:positionV>
            <wp:extent cx="694309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43090" cy="762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Randy J. Cleveland</w:t>
            </w:r>
          </w:p>
        </w:tc>
        <w:tc>
          <w:tcPr>
            <w:tcW w:w="5700" w:type="dxa"/>
            <w:vAlign w:val="bottom"/>
            <w:tcBorders>
              <w:top w:val="single" w:sz="8" w:color="auto"/>
            </w:tcBorders>
          </w:tcPr>
          <w:p>
            <w:pPr>
              <w:ind w:left="1020"/>
              <w:spacing w:after="0"/>
              <w:rPr>
                <w:sz w:val="20"/>
                <w:szCs w:val="20"/>
                <w:color w:val="auto"/>
              </w:rPr>
            </w:pPr>
            <w:r>
              <w:rPr>
                <w:rFonts w:ascii="Arial" w:cs="Arial" w:eastAsia="Arial" w:hAnsi="Arial"/>
                <w:sz w:val="16"/>
                <w:szCs w:val="16"/>
                <w:i w:val="1"/>
                <w:iCs w:val="1"/>
                <w:color w:val="auto"/>
              </w:rPr>
              <w:t>President, XTO Energy Inc., a subsidiary of the Corporation</w:t>
            </w:r>
          </w:p>
        </w:tc>
        <w:tc>
          <w:tcPr>
            <w:tcW w:w="2480" w:type="dxa"/>
            <w:vAlign w:val="bottom"/>
            <w:tcBorders>
              <w:top w:val="single" w:sz="8" w:color="auto"/>
            </w:tcBorders>
          </w:tcPr>
          <w:p>
            <w:pPr>
              <w:spacing w:after="0"/>
              <w:rPr>
                <w:sz w:val="20"/>
                <w:szCs w:val="20"/>
                <w:color w:val="auto"/>
              </w:rPr>
            </w:pPr>
          </w:p>
        </w:tc>
      </w:tr>
      <w:tr>
        <w:trPr>
          <w:trHeight w:val="376"/>
        </w:trPr>
        <w:tc>
          <w:tcPr>
            <w:tcW w:w="2760" w:type="dxa"/>
            <w:vAlign w:val="bottom"/>
          </w:tcPr>
          <w:p>
            <w:pPr>
              <w:ind w:left="200"/>
              <w:spacing w:after="0"/>
              <w:rPr>
                <w:sz w:val="20"/>
                <w:szCs w:val="20"/>
                <w:color w:val="auto"/>
              </w:rPr>
            </w:pPr>
            <w:r>
              <w:rPr>
                <w:rFonts w:ascii="Arial" w:cs="Arial" w:eastAsia="Arial" w:hAnsi="Arial"/>
                <w:sz w:val="16"/>
                <w:szCs w:val="16"/>
                <w:color w:val="auto"/>
              </w:rPr>
              <w:t>Held current title since:</w:t>
            </w:r>
          </w:p>
        </w:tc>
        <w:tc>
          <w:tcPr>
            <w:tcW w:w="5700" w:type="dxa"/>
            <w:vAlign w:val="bottom"/>
          </w:tcPr>
          <w:p>
            <w:pPr>
              <w:ind w:left="1020"/>
              <w:spacing w:after="0"/>
              <w:rPr>
                <w:sz w:val="20"/>
                <w:szCs w:val="20"/>
                <w:color w:val="auto"/>
              </w:rPr>
            </w:pPr>
            <w:r>
              <w:rPr>
                <w:rFonts w:ascii="Arial" w:cs="Arial" w:eastAsia="Arial" w:hAnsi="Arial"/>
                <w:sz w:val="16"/>
                <w:szCs w:val="16"/>
                <w:color w:val="auto"/>
              </w:rPr>
              <w:t>June 1, 2013</w:t>
            </w:r>
          </w:p>
        </w:tc>
        <w:tc>
          <w:tcPr>
            <w:tcW w:w="2480" w:type="dxa"/>
            <w:vAlign w:val="bottom"/>
          </w:tcPr>
          <w:p>
            <w:pPr>
              <w:ind w:left="720"/>
              <w:spacing w:after="0"/>
              <w:rPr>
                <w:sz w:val="20"/>
                <w:szCs w:val="20"/>
                <w:color w:val="auto"/>
              </w:rPr>
            </w:pPr>
            <w:r>
              <w:rPr>
                <w:rFonts w:ascii="Arial" w:cs="Arial" w:eastAsia="Arial" w:hAnsi="Arial"/>
                <w:sz w:val="16"/>
                <w:szCs w:val="16"/>
                <w:color w:val="auto"/>
              </w:rPr>
              <w:t>Age: 53</w:t>
            </w:r>
          </w:p>
        </w:tc>
      </w:tr>
    </w:tbl>
    <w:p>
      <w:pPr>
        <w:spacing w:after="0" w:line="1" w:lineRule="exact"/>
        <w:rPr>
          <w:sz w:val="20"/>
          <w:szCs w:val="20"/>
          <w:color w:val="auto"/>
        </w:rPr>
      </w:pPr>
    </w:p>
    <w:p>
      <w:pPr>
        <w:jc w:val="both"/>
        <w:ind w:left="200" w:right="20"/>
        <w:spacing w:after="0" w:line="271" w:lineRule="auto"/>
        <w:rPr>
          <w:sz w:val="20"/>
          <w:szCs w:val="20"/>
          <w:color w:val="auto"/>
        </w:rPr>
      </w:pPr>
      <w:r>
        <w:rPr>
          <w:rFonts w:ascii="Arial" w:cs="Arial" w:eastAsia="Arial" w:hAnsi="Arial"/>
          <w:sz w:val="16"/>
          <w:szCs w:val="16"/>
          <w:color w:val="auto"/>
        </w:rPr>
        <w:t>Mr. Randy J. Cleveland was Planning &amp; Commercial Manager, ExxonMobil Production Company May 1, 2009 – June 24, 2010. He was Vice President, XTO Inte XTO Energy Inc. June 25, 2010 – January 31, 2012. He was Executive Vice President, XTO Energy Inc. February 1, 2012 – May 31, 2013. He became President Energy Inc. on June 1, 2013, a position he still holds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-394970</wp:posOffset>
            </wp:positionV>
            <wp:extent cx="694309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43090" cy="762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William M. Colton</w:t>
            </w:r>
          </w:p>
        </w:tc>
        <w:tc>
          <w:tcPr>
            <w:tcW w:w="5240" w:type="dxa"/>
            <w:vAlign w:val="bottom"/>
            <w:tcBorders>
              <w:top w:val="single" w:sz="8" w:color="auto"/>
            </w:tcBorders>
          </w:tcPr>
          <w:p>
            <w:pPr>
              <w:ind w:left="1020"/>
              <w:spacing w:after="0"/>
              <w:rPr>
                <w:sz w:val="20"/>
                <w:szCs w:val="20"/>
                <w:color w:val="auto"/>
              </w:rPr>
            </w:pPr>
            <w:r>
              <w:rPr>
                <w:rFonts w:ascii="Arial" w:cs="Arial" w:eastAsia="Arial" w:hAnsi="Arial"/>
                <w:sz w:val="16"/>
                <w:szCs w:val="16"/>
                <w:i w:val="1"/>
                <w:iCs w:val="1"/>
                <w:color w:val="auto"/>
              </w:rPr>
              <w:t>Vice President – Corporate Strategic Planning</w:t>
            </w:r>
          </w:p>
        </w:tc>
        <w:tc>
          <w:tcPr>
            <w:tcW w:w="2940" w:type="dxa"/>
            <w:vAlign w:val="bottom"/>
            <w:tcBorders>
              <w:top w:val="single" w:sz="8" w:color="auto"/>
            </w:tcBorders>
          </w:tcPr>
          <w:p>
            <w:pPr>
              <w:spacing w:after="0"/>
              <w:rPr>
                <w:sz w:val="20"/>
                <w:szCs w:val="20"/>
                <w:color w:val="auto"/>
              </w:rPr>
            </w:pPr>
          </w:p>
        </w:tc>
      </w:tr>
      <w:tr>
        <w:trPr>
          <w:trHeight w:val="437"/>
        </w:trPr>
        <w:tc>
          <w:tcPr>
            <w:tcW w:w="2760" w:type="dxa"/>
            <w:vAlign w:val="bottom"/>
          </w:tcPr>
          <w:p>
            <w:pPr>
              <w:ind w:left="200"/>
              <w:spacing w:after="0"/>
              <w:rPr>
                <w:sz w:val="20"/>
                <w:szCs w:val="20"/>
                <w:color w:val="auto"/>
              </w:rPr>
            </w:pPr>
            <w:r>
              <w:rPr>
                <w:rFonts w:ascii="Arial" w:cs="Arial" w:eastAsia="Arial" w:hAnsi="Arial"/>
                <w:sz w:val="16"/>
                <w:szCs w:val="16"/>
                <w:color w:val="auto"/>
              </w:rPr>
              <w:t>Held current title since:</w:t>
            </w:r>
          </w:p>
        </w:tc>
        <w:tc>
          <w:tcPr>
            <w:tcW w:w="5240" w:type="dxa"/>
            <w:vAlign w:val="bottom"/>
          </w:tcPr>
          <w:p>
            <w:pPr>
              <w:ind w:left="1020"/>
              <w:spacing w:after="0"/>
              <w:rPr>
                <w:sz w:val="20"/>
                <w:szCs w:val="20"/>
                <w:color w:val="auto"/>
              </w:rPr>
            </w:pPr>
            <w:r>
              <w:rPr>
                <w:rFonts w:ascii="Arial" w:cs="Arial" w:eastAsia="Arial" w:hAnsi="Arial"/>
                <w:sz w:val="16"/>
                <w:szCs w:val="16"/>
                <w:color w:val="auto"/>
              </w:rPr>
              <w:t>February 1, 2009</w:t>
            </w:r>
          </w:p>
        </w:tc>
        <w:tc>
          <w:tcPr>
            <w:tcW w:w="2940" w:type="dxa"/>
            <w:vAlign w:val="bottom"/>
          </w:tcPr>
          <w:p>
            <w:pPr>
              <w:ind w:left="1180"/>
              <w:spacing w:after="0"/>
              <w:rPr>
                <w:sz w:val="20"/>
                <w:szCs w:val="20"/>
                <w:color w:val="auto"/>
              </w:rPr>
            </w:pPr>
            <w:r>
              <w:rPr>
                <w:rFonts w:ascii="Arial" w:cs="Arial" w:eastAsia="Arial" w:hAnsi="Arial"/>
                <w:sz w:val="16"/>
                <w:szCs w:val="16"/>
                <w:color w:val="auto"/>
              </w:rPr>
              <w:t>Age: 61</w:t>
            </w:r>
          </w:p>
        </w:tc>
      </w:tr>
    </w:tbl>
    <w:p>
      <w:pPr>
        <w:spacing w:after="0" w:line="1"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Mr. William M. Colton became Vice President – Corporate Strategic Planning of Exxon Mobil Corporation on February 1, 2009, a position he still holds as of th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-277495</wp:posOffset>
            </wp:positionV>
            <wp:extent cx="694309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43090" cy="762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Michael G. Cousins</w:t>
            </w:r>
          </w:p>
        </w:tc>
        <w:tc>
          <w:tcPr>
            <w:tcW w:w="4180" w:type="dxa"/>
            <w:vAlign w:val="bottom"/>
            <w:tcBorders>
              <w:top w:val="single" w:sz="8" w:color="auto"/>
            </w:tcBorders>
          </w:tcPr>
          <w:p>
            <w:pPr>
              <w:ind w:left="1000"/>
              <w:spacing w:after="0"/>
              <w:rPr>
                <w:sz w:val="20"/>
                <w:szCs w:val="20"/>
                <w:color w:val="auto"/>
              </w:rPr>
            </w:pPr>
            <w:r>
              <w:rPr>
                <w:rFonts w:ascii="Arial" w:cs="Arial" w:eastAsia="Arial" w:hAnsi="Arial"/>
                <w:sz w:val="16"/>
                <w:szCs w:val="16"/>
                <w:i w:val="1"/>
                <w:iCs w:val="1"/>
                <w:color w:val="auto"/>
              </w:rPr>
              <w:t>Vice President</w:t>
            </w:r>
          </w:p>
        </w:tc>
        <w:tc>
          <w:tcPr>
            <w:tcW w:w="3980" w:type="dxa"/>
            <w:vAlign w:val="bottom"/>
            <w:tcBorders>
              <w:top w:val="single" w:sz="8" w:color="auto"/>
            </w:tcBorders>
          </w:tcPr>
          <w:p>
            <w:pPr>
              <w:spacing w:after="0"/>
              <w:rPr>
                <w:sz w:val="20"/>
                <w:szCs w:val="20"/>
                <w:color w:val="auto"/>
              </w:rPr>
            </w:pPr>
          </w:p>
        </w:tc>
      </w:tr>
      <w:tr>
        <w:trPr>
          <w:trHeight w:val="376"/>
        </w:trPr>
        <w:tc>
          <w:tcPr>
            <w:tcW w:w="2780" w:type="dxa"/>
            <w:vAlign w:val="bottom"/>
          </w:tcPr>
          <w:p>
            <w:pPr>
              <w:ind w:left="220"/>
              <w:spacing w:after="0"/>
              <w:rPr>
                <w:sz w:val="20"/>
                <w:szCs w:val="20"/>
                <w:color w:val="auto"/>
              </w:rPr>
            </w:pPr>
            <w:r>
              <w:rPr>
                <w:rFonts w:ascii="Arial" w:cs="Arial" w:eastAsia="Arial" w:hAnsi="Arial"/>
                <w:sz w:val="16"/>
                <w:szCs w:val="16"/>
                <w:color w:val="auto"/>
              </w:rPr>
              <w:t>Held current title since:</w:t>
            </w:r>
          </w:p>
        </w:tc>
        <w:tc>
          <w:tcPr>
            <w:tcW w:w="4180" w:type="dxa"/>
            <w:vAlign w:val="bottom"/>
          </w:tcPr>
          <w:p>
            <w:pPr>
              <w:ind w:left="1000"/>
              <w:spacing w:after="0"/>
              <w:rPr>
                <w:sz w:val="20"/>
                <w:szCs w:val="20"/>
                <w:color w:val="auto"/>
              </w:rPr>
            </w:pPr>
            <w:r>
              <w:rPr>
                <w:rFonts w:ascii="Arial" w:cs="Arial" w:eastAsia="Arial" w:hAnsi="Arial"/>
                <w:sz w:val="16"/>
                <w:szCs w:val="16"/>
                <w:color w:val="auto"/>
              </w:rPr>
              <w:t>March 1, 2013</w:t>
            </w:r>
          </w:p>
        </w:tc>
        <w:tc>
          <w:tcPr>
            <w:tcW w:w="3980" w:type="dxa"/>
            <w:vAlign w:val="bottom"/>
          </w:tcPr>
          <w:p>
            <w:pPr>
              <w:ind w:left="2220"/>
              <w:spacing w:after="0"/>
              <w:rPr>
                <w:sz w:val="20"/>
                <w:szCs w:val="20"/>
                <w:color w:val="auto"/>
              </w:rPr>
            </w:pPr>
            <w:r>
              <w:rPr>
                <w:rFonts w:ascii="Arial" w:cs="Arial" w:eastAsia="Arial" w:hAnsi="Arial"/>
                <w:sz w:val="16"/>
                <w:szCs w:val="16"/>
                <w:color w:val="auto"/>
              </w:rPr>
              <w:t>Age: 54</w:t>
            </w:r>
          </w:p>
        </w:tc>
      </w:tr>
    </w:tbl>
    <w:p>
      <w:pPr>
        <w:spacing w:after="0" w:line="1" w:lineRule="exact"/>
        <w:rPr>
          <w:sz w:val="20"/>
          <w:szCs w:val="20"/>
          <w:color w:val="auto"/>
        </w:rPr>
      </w:pPr>
    </w:p>
    <w:p>
      <w:pPr>
        <w:jc w:val="both"/>
        <w:ind w:left="220"/>
        <w:spacing w:after="0" w:line="271" w:lineRule="auto"/>
        <w:rPr>
          <w:sz w:val="20"/>
          <w:szCs w:val="20"/>
          <w:color w:val="auto"/>
        </w:rPr>
      </w:pPr>
      <w:r>
        <w:rPr>
          <w:rFonts w:ascii="Arial" w:cs="Arial" w:eastAsia="Arial" w:hAnsi="Arial"/>
          <w:sz w:val="16"/>
          <w:szCs w:val="16"/>
          <w:color w:val="auto"/>
        </w:rPr>
        <w:t>Mr. Michael G. Cousins was Vice President, Asia Pacific/Middle East, ExxonMobil Exploration Company June 1, 2009 – March 31, 2012. He was Executive Assi the Chairman, Exxon Mobil Corporation April 1, 2012 – February 28, 2013. He became President of ExxonMobil Upstream Ventures and Vice President of Exxo Corporation on March 1, 2013, positions he still holds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-394970</wp:posOffset>
            </wp:positionV>
            <wp:extent cx="694309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43090" cy="762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Neil W. Duffin</w:t>
            </w:r>
          </w:p>
        </w:tc>
        <w:tc>
          <w:tcPr>
            <w:tcW w:w="5220" w:type="dxa"/>
            <w:vAlign w:val="bottom"/>
            <w:tcBorders>
              <w:top w:val="single" w:sz="8" w:color="auto"/>
            </w:tcBorders>
          </w:tcPr>
          <w:p>
            <w:pPr>
              <w:ind w:left="940"/>
              <w:spacing w:after="0"/>
              <w:rPr>
                <w:sz w:val="20"/>
                <w:szCs w:val="20"/>
                <w:color w:val="auto"/>
              </w:rPr>
            </w:pPr>
            <w:r>
              <w:rPr>
                <w:rFonts w:ascii="Arial" w:cs="Arial" w:eastAsia="Arial" w:hAnsi="Arial"/>
                <w:sz w:val="16"/>
                <w:szCs w:val="16"/>
                <w:i w:val="1"/>
                <w:iCs w:val="1"/>
                <w:color w:val="auto"/>
              </w:rPr>
              <w:t>President, ExxonMobil Development Company</w:t>
            </w:r>
          </w:p>
        </w:tc>
        <w:tc>
          <w:tcPr>
            <w:tcW w:w="3000" w:type="dxa"/>
            <w:vAlign w:val="bottom"/>
            <w:tcBorders>
              <w:top w:val="single" w:sz="8" w:color="auto"/>
            </w:tcBorders>
          </w:tcPr>
          <w:p>
            <w:pPr>
              <w:spacing w:after="0"/>
              <w:rPr>
                <w:sz w:val="20"/>
                <w:szCs w:val="20"/>
                <w:color w:val="auto"/>
              </w:rPr>
            </w:pPr>
          </w:p>
        </w:tc>
      </w:tr>
      <w:tr>
        <w:trPr>
          <w:trHeight w:val="376"/>
        </w:trPr>
        <w:tc>
          <w:tcPr>
            <w:tcW w:w="2720" w:type="dxa"/>
            <w:vAlign w:val="bottom"/>
          </w:tcPr>
          <w:p>
            <w:pPr>
              <w:ind w:left="220"/>
              <w:spacing w:after="0"/>
              <w:rPr>
                <w:sz w:val="20"/>
                <w:szCs w:val="20"/>
                <w:color w:val="auto"/>
              </w:rPr>
            </w:pPr>
            <w:r>
              <w:rPr>
                <w:rFonts w:ascii="Arial" w:cs="Arial" w:eastAsia="Arial" w:hAnsi="Arial"/>
                <w:sz w:val="16"/>
                <w:szCs w:val="16"/>
                <w:color w:val="auto"/>
              </w:rPr>
              <w:t>Held current title since:</w:t>
            </w:r>
          </w:p>
        </w:tc>
        <w:tc>
          <w:tcPr>
            <w:tcW w:w="5220" w:type="dxa"/>
            <w:vAlign w:val="bottom"/>
          </w:tcPr>
          <w:p>
            <w:pPr>
              <w:ind w:left="940"/>
              <w:spacing w:after="0"/>
              <w:rPr>
                <w:sz w:val="20"/>
                <w:szCs w:val="20"/>
                <w:color w:val="auto"/>
              </w:rPr>
            </w:pPr>
            <w:r>
              <w:rPr>
                <w:rFonts w:ascii="Arial" w:cs="Arial" w:eastAsia="Arial" w:hAnsi="Arial"/>
                <w:sz w:val="16"/>
                <w:szCs w:val="16"/>
                <w:color w:val="auto"/>
              </w:rPr>
              <w:t>April 13, 2007</w:t>
            </w:r>
          </w:p>
        </w:tc>
        <w:tc>
          <w:tcPr>
            <w:tcW w:w="3000" w:type="dxa"/>
            <w:vAlign w:val="bottom"/>
          </w:tcPr>
          <w:p>
            <w:pPr>
              <w:ind w:left="1180"/>
              <w:spacing w:after="0"/>
              <w:rPr>
                <w:sz w:val="20"/>
                <w:szCs w:val="20"/>
                <w:color w:val="auto"/>
              </w:rPr>
            </w:pPr>
            <w:r>
              <w:rPr>
                <w:rFonts w:ascii="Arial" w:cs="Arial" w:eastAsia="Arial" w:hAnsi="Arial"/>
                <w:sz w:val="16"/>
                <w:szCs w:val="16"/>
                <w:color w:val="auto"/>
              </w:rPr>
              <w:t>Age: 58</w:t>
            </w:r>
          </w:p>
        </w:tc>
      </w:tr>
    </w:tbl>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Mr. Neil W. Duffin became President of ExxonMobil Development Company on April 13, 2007, a position he still holds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694309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43090" cy="762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Robert S. Franklin</w:t>
            </w:r>
          </w:p>
        </w:tc>
        <w:tc>
          <w:tcPr>
            <w:tcW w:w="4160" w:type="dxa"/>
            <w:vAlign w:val="bottom"/>
            <w:tcBorders>
              <w:top w:val="single" w:sz="8" w:color="auto"/>
            </w:tcBorders>
          </w:tcPr>
          <w:p>
            <w:pPr>
              <w:ind w:left="960"/>
              <w:spacing w:after="0"/>
              <w:rPr>
                <w:sz w:val="20"/>
                <w:szCs w:val="20"/>
                <w:color w:val="auto"/>
              </w:rPr>
            </w:pPr>
            <w:r>
              <w:rPr>
                <w:rFonts w:ascii="Arial" w:cs="Arial" w:eastAsia="Arial" w:hAnsi="Arial"/>
                <w:sz w:val="16"/>
                <w:szCs w:val="16"/>
                <w:i w:val="1"/>
                <w:iCs w:val="1"/>
                <w:color w:val="auto"/>
              </w:rPr>
              <w:t>Vice President</w:t>
            </w:r>
          </w:p>
        </w:tc>
        <w:tc>
          <w:tcPr>
            <w:tcW w:w="4080" w:type="dxa"/>
            <w:vAlign w:val="bottom"/>
            <w:tcBorders>
              <w:top w:val="single" w:sz="8" w:color="auto"/>
            </w:tcBorders>
          </w:tcPr>
          <w:p>
            <w:pPr>
              <w:spacing w:after="0"/>
              <w:rPr>
                <w:sz w:val="20"/>
                <w:szCs w:val="20"/>
                <w:color w:val="auto"/>
              </w:rPr>
            </w:pPr>
          </w:p>
        </w:tc>
      </w:tr>
      <w:tr>
        <w:trPr>
          <w:trHeight w:val="376"/>
        </w:trPr>
        <w:tc>
          <w:tcPr>
            <w:tcW w:w="2700" w:type="dxa"/>
            <w:vAlign w:val="bottom"/>
          </w:tcPr>
          <w:p>
            <w:pPr>
              <w:ind w:left="200"/>
              <w:spacing w:after="0"/>
              <w:rPr>
                <w:sz w:val="20"/>
                <w:szCs w:val="20"/>
                <w:color w:val="auto"/>
              </w:rPr>
            </w:pPr>
            <w:r>
              <w:rPr>
                <w:rFonts w:ascii="Arial" w:cs="Arial" w:eastAsia="Arial" w:hAnsi="Arial"/>
                <w:sz w:val="16"/>
                <w:szCs w:val="16"/>
                <w:color w:val="auto"/>
              </w:rPr>
              <w:t>Held current title since:</w:t>
            </w:r>
          </w:p>
        </w:tc>
        <w:tc>
          <w:tcPr>
            <w:tcW w:w="4160" w:type="dxa"/>
            <w:vAlign w:val="bottom"/>
          </w:tcPr>
          <w:p>
            <w:pPr>
              <w:ind w:left="960"/>
              <w:spacing w:after="0"/>
              <w:rPr>
                <w:sz w:val="20"/>
                <w:szCs w:val="20"/>
                <w:color w:val="auto"/>
              </w:rPr>
            </w:pPr>
            <w:r>
              <w:rPr>
                <w:rFonts w:ascii="Arial" w:cs="Arial" w:eastAsia="Arial" w:hAnsi="Arial"/>
                <w:sz w:val="16"/>
                <w:szCs w:val="16"/>
                <w:color w:val="auto"/>
              </w:rPr>
              <w:t>May 1, 2009</w:t>
            </w:r>
          </w:p>
        </w:tc>
        <w:tc>
          <w:tcPr>
            <w:tcW w:w="4080" w:type="dxa"/>
            <w:vAlign w:val="bottom"/>
          </w:tcPr>
          <w:p>
            <w:pPr>
              <w:ind w:left="2260"/>
              <w:spacing w:after="0"/>
              <w:rPr>
                <w:sz w:val="20"/>
                <w:szCs w:val="20"/>
                <w:color w:val="auto"/>
              </w:rPr>
            </w:pPr>
            <w:r>
              <w:rPr>
                <w:rFonts w:ascii="Arial" w:cs="Arial" w:eastAsia="Arial" w:hAnsi="Arial"/>
                <w:sz w:val="16"/>
                <w:szCs w:val="16"/>
                <w:color w:val="auto"/>
              </w:rPr>
              <w:t>Age: 57</w:t>
            </w:r>
          </w:p>
        </w:tc>
      </w:tr>
    </w:tbl>
    <w:p>
      <w:pPr>
        <w:spacing w:after="0" w:line="1" w:lineRule="exact"/>
        <w:rPr>
          <w:sz w:val="20"/>
          <w:szCs w:val="20"/>
          <w:color w:val="auto"/>
        </w:rPr>
      </w:pPr>
    </w:p>
    <w:p>
      <w:pPr>
        <w:jc w:val="both"/>
        <w:ind w:left="220"/>
        <w:spacing w:after="0" w:line="271" w:lineRule="auto"/>
        <w:rPr>
          <w:sz w:val="20"/>
          <w:szCs w:val="20"/>
          <w:color w:val="auto"/>
        </w:rPr>
      </w:pPr>
      <w:r>
        <w:rPr>
          <w:rFonts w:ascii="Arial" w:cs="Arial" w:eastAsia="Arial" w:hAnsi="Arial"/>
          <w:sz w:val="16"/>
          <w:szCs w:val="16"/>
          <w:color w:val="auto"/>
        </w:rPr>
        <w:t>Mr. Robert S. Franklin was President of ExxonMobil Upstream Ventures and Vice President of Exxon Mobil Corporation May 1, 2009 – February 28, 2013. He President of ExxonMobil Gas &amp; Power Marketing Company and Vice President of Exxon Mobil Corporation on March 1, 2013, positions he still holds as of thi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-394970</wp:posOffset>
            </wp:positionV>
            <wp:extent cx="694309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43090" cy="762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Stephen M. Greenlee</w:t>
            </w:r>
          </w:p>
        </w:tc>
        <w:tc>
          <w:tcPr>
            <w:tcW w:w="4320" w:type="dxa"/>
            <w:vAlign w:val="bottom"/>
            <w:tcBorders>
              <w:top w:val="single" w:sz="8" w:color="auto"/>
            </w:tcBorders>
          </w:tcPr>
          <w:p>
            <w:pPr>
              <w:ind w:left="960"/>
              <w:spacing w:after="0"/>
              <w:rPr>
                <w:sz w:val="20"/>
                <w:szCs w:val="20"/>
                <w:color w:val="auto"/>
              </w:rPr>
            </w:pPr>
            <w:r>
              <w:rPr>
                <w:rFonts w:ascii="Arial" w:cs="Arial" w:eastAsia="Arial" w:hAnsi="Arial"/>
                <w:sz w:val="16"/>
                <w:szCs w:val="16"/>
                <w:i w:val="1"/>
                <w:iCs w:val="1"/>
                <w:color w:val="auto"/>
              </w:rPr>
              <w:t>Vice President</w:t>
            </w:r>
          </w:p>
        </w:tc>
        <w:tc>
          <w:tcPr>
            <w:tcW w:w="3920" w:type="dxa"/>
            <w:vAlign w:val="bottom"/>
            <w:tcBorders>
              <w:top w:val="single" w:sz="8" w:color="auto"/>
            </w:tcBorders>
          </w:tcPr>
          <w:p>
            <w:pPr>
              <w:spacing w:after="0"/>
              <w:rPr>
                <w:sz w:val="20"/>
                <w:szCs w:val="20"/>
                <w:color w:val="auto"/>
              </w:rPr>
            </w:pPr>
          </w:p>
        </w:tc>
      </w:tr>
      <w:tr>
        <w:trPr>
          <w:trHeight w:val="376"/>
        </w:trPr>
        <w:tc>
          <w:tcPr>
            <w:tcW w:w="2700" w:type="dxa"/>
            <w:vAlign w:val="bottom"/>
          </w:tcPr>
          <w:p>
            <w:pPr>
              <w:ind w:left="200"/>
              <w:spacing w:after="0"/>
              <w:rPr>
                <w:sz w:val="20"/>
                <w:szCs w:val="20"/>
                <w:color w:val="auto"/>
              </w:rPr>
            </w:pPr>
            <w:r>
              <w:rPr>
                <w:rFonts w:ascii="Arial" w:cs="Arial" w:eastAsia="Arial" w:hAnsi="Arial"/>
                <w:sz w:val="16"/>
                <w:szCs w:val="16"/>
                <w:color w:val="auto"/>
              </w:rPr>
              <w:t>Held current title since:</w:t>
            </w:r>
          </w:p>
        </w:tc>
        <w:tc>
          <w:tcPr>
            <w:tcW w:w="4320" w:type="dxa"/>
            <w:vAlign w:val="bottom"/>
          </w:tcPr>
          <w:p>
            <w:pPr>
              <w:ind w:left="960"/>
              <w:spacing w:after="0"/>
              <w:rPr>
                <w:sz w:val="20"/>
                <w:szCs w:val="20"/>
                <w:color w:val="auto"/>
              </w:rPr>
            </w:pPr>
            <w:r>
              <w:rPr>
                <w:rFonts w:ascii="Arial" w:cs="Arial" w:eastAsia="Arial" w:hAnsi="Arial"/>
                <w:sz w:val="16"/>
                <w:szCs w:val="16"/>
                <w:color w:val="auto"/>
              </w:rPr>
              <w:t>September 1, 2010</w:t>
            </w:r>
          </w:p>
        </w:tc>
        <w:tc>
          <w:tcPr>
            <w:tcW w:w="3920" w:type="dxa"/>
            <w:vAlign w:val="bottom"/>
          </w:tcPr>
          <w:p>
            <w:pPr>
              <w:ind w:left="2100"/>
              <w:spacing w:after="0"/>
              <w:rPr>
                <w:sz w:val="20"/>
                <w:szCs w:val="20"/>
                <w:color w:val="auto"/>
              </w:rPr>
            </w:pPr>
            <w:r>
              <w:rPr>
                <w:rFonts w:ascii="Arial" w:cs="Arial" w:eastAsia="Arial" w:hAnsi="Arial"/>
                <w:sz w:val="16"/>
                <w:szCs w:val="16"/>
                <w:color w:val="auto"/>
              </w:rPr>
              <w:t>Age: 57</w:t>
            </w:r>
          </w:p>
        </w:tc>
      </w:tr>
    </w:tbl>
    <w:p>
      <w:pPr>
        <w:spacing w:after="0" w:line="1"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Mr. Stephen M. Greenlee was President of ExxonMobil Upstream Research Company June 1, 2009 – August 31, 2010. He became President of ExxonMobil Exp Company and Vice President of Exxon Mobil Corporation on September 1, 2010, positions he still holds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694309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43090" cy="15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-277495</wp:posOffset>
            </wp:positionV>
            <wp:extent cx="694309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430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472440</wp:posOffset>
            </wp:positionV>
            <wp:extent cx="727964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646" w:right="1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6"/>
        </w:trPr>
        <w:tc>
          <w:tcPr>
            <w:tcW w:w="27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Alan J. Kelly</w:t>
            </w:r>
          </w:p>
        </w:tc>
        <w:tc>
          <w:tcPr>
            <w:tcW w:w="4340" w:type="dxa"/>
            <w:vAlign w:val="bottom"/>
            <w:tcBorders>
              <w:top w:val="single" w:sz="8" w:color="auto"/>
            </w:tcBorders>
          </w:tcPr>
          <w:p>
            <w:pPr>
              <w:ind w:left="1020"/>
              <w:spacing w:after="0"/>
              <w:rPr>
                <w:sz w:val="20"/>
                <w:szCs w:val="20"/>
                <w:color w:val="auto"/>
              </w:rPr>
            </w:pPr>
            <w:r>
              <w:rPr>
                <w:rFonts w:ascii="Arial" w:cs="Arial" w:eastAsia="Arial" w:hAnsi="Arial"/>
                <w:sz w:val="16"/>
                <w:szCs w:val="16"/>
                <w:i w:val="1"/>
                <w:iCs w:val="1"/>
                <w:color w:val="auto"/>
              </w:rPr>
              <w:t>Vice President</w:t>
            </w:r>
          </w:p>
        </w:tc>
        <w:tc>
          <w:tcPr>
            <w:tcW w:w="3840" w:type="dxa"/>
            <w:vAlign w:val="bottom"/>
            <w:tcBorders>
              <w:top w:val="single" w:sz="8" w:color="auto"/>
            </w:tcBorders>
          </w:tcPr>
          <w:p>
            <w:pPr>
              <w:spacing w:after="0"/>
              <w:rPr>
                <w:sz w:val="20"/>
                <w:szCs w:val="20"/>
                <w:color w:val="auto"/>
              </w:rPr>
            </w:pPr>
          </w:p>
        </w:tc>
      </w:tr>
      <w:tr>
        <w:trPr>
          <w:trHeight w:val="376"/>
        </w:trPr>
        <w:tc>
          <w:tcPr>
            <w:tcW w:w="2760" w:type="dxa"/>
            <w:vAlign w:val="bottom"/>
          </w:tcPr>
          <w:p>
            <w:pPr>
              <w:ind w:left="200"/>
              <w:spacing w:after="0"/>
              <w:rPr>
                <w:sz w:val="20"/>
                <w:szCs w:val="20"/>
                <w:color w:val="auto"/>
              </w:rPr>
            </w:pPr>
            <w:r>
              <w:rPr>
                <w:rFonts w:ascii="Arial" w:cs="Arial" w:eastAsia="Arial" w:hAnsi="Arial"/>
                <w:sz w:val="16"/>
                <w:szCs w:val="16"/>
                <w:color w:val="auto"/>
              </w:rPr>
              <w:t>Held current title since:</w:t>
            </w:r>
          </w:p>
        </w:tc>
        <w:tc>
          <w:tcPr>
            <w:tcW w:w="4340" w:type="dxa"/>
            <w:vAlign w:val="bottom"/>
          </w:tcPr>
          <w:p>
            <w:pPr>
              <w:ind w:left="1020"/>
              <w:spacing w:after="0"/>
              <w:rPr>
                <w:sz w:val="20"/>
                <w:szCs w:val="20"/>
                <w:color w:val="auto"/>
              </w:rPr>
            </w:pPr>
            <w:r>
              <w:rPr>
                <w:rFonts w:ascii="Arial" w:cs="Arial" w:eastAsia="Arial" w:hAnsi="Arial"/>
                <w:sz w:val="16"/>
                <w:szCs w:val="16"/>
                <w:color w:val="auto"/>
              </w:rPr>
              <w:t>December 1, 2007</w:t>
            </w:r>
          </w:p>
        </w:tc>
        <w:tc>
          <w:tcPr>
            <w:tcW w:w="3840" w:type="dxa"/>
            <w:vAlign w:val="bottom"/>
          </w:tcPr>
          <w:p>
            <w:pPr>
              <w:ind w:left="2140"/>
              <w:spacing w:after="0"/>
              <w:rPr>
                <w:sz w:val="20"/>
                <w:szCs w:val="20"/>
                <w:color w:val="auto"/>
              </w:rPr>
            </w:pPr>
            <w:r>
              <w:rPr>
                <w:rFonts w:ascii="Arial" w:cs="Arial" w:eastAsia="Arial" w:hAnsi="Arial"/>
                <w:sz w:val="16"/>
                <w:szCs w:val="16"/>
                <w:color w:val="auto"/>
              </w:rPr>
              <w:t>Age: 57</w:t>
            </w:r>
          </w:p>
        </w:tc>
      </w:tr>
    </w:tbl>
    <w:p>
      <w:pPr>
        <w:spacing w:after="0" w:line="1" w:lineRule="exact"/>
        <w:rPr>
          <w:sz w:val="20"/>
          <w:szCs w:val="20"/>
          <w:color w:val="auto"/>
        </w:rPr>
      </w:pPr>
    </w:p>
    <w:p>
      <w:pPr>
        <w:jc w:val="both"/>
        <w:ind w:left="200"/>
        <w:spacing w:after="0" w:line="265" w:lineRule="auto"/>
        <w:rPr>
          <w:sz w:val="20"/>
          <w:szCs w:val="20"/>
          <w:color w:val="auto"/>
        </w:rPr>
      </w:pPr>
      <w:r>
        <w:rPr>
          <w:rFonts w:ascii="Arial" w:cs="Arial" w:eastAsia="Arial" w:hAnsi="Arial"/>
          <w:sz w:val="16"/>
          <w:szCs w:val="16"/>
          <w:color w:val="auto"/>
        </w:rPr>
        <w:t>Mr. Alan J. Kelly became President of ExxonMobil Lubricants &amp; Petroleum Specialties Company and Vice President of Exxon Mobil Corporation on December 1 On February 1, 2012, the businesses of ExxonMobil Lubricants &amp; Petroleum Specialties Company and ExxonMobil Fuels Marketing Company were consolidated Kelly became President of the combined ExxonMobil Fuels, Lubricants &amp; Specialties Marketing Company and Vice President of Exxon Mobil Corporation, posit still holds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-514985</wp:posOffset>
            </wp:positionV>
            <wp:extent cx="694309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43090" cy="7620"/>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David S. Rosenthal</w:t>
            </w:r>
          </w:p>
        </w:tc>
        <w:tc>
          <w:tcPr>
            <w:tcW w:w="4800" w:type="dxa"/>
            <w:vAlign w:val="bottom"/>
            <w:tcBorders>
              <w:top w:val="single" w:sz="8" w:color="auto"/>
            </w:tcBorders>
          </w:tcPr>
          <w:p>
            <w:pPr>
              <w:ind w:left="1020"/>
              <w:spacing w:after="0"/>
              <w:rPr>
                <w:sz w:val="20"/>
                <w:szCs w:val="20"/>
                <w:color w:val="auto"/>
              </w:rPr>
            </w:pPr>
            <w:r>
              <w:rPr>
                <w:rFonts w:ascii="Arial" w:cs="Arial" w:eastAsia="Arial" w:hAnsi="Arial"/>
                <w:sz w:val="16"/>
                <w:szCs w:val="16"/>
                <w:i w:val="1"/>
                <w:iCs w:val="1"/>
                <w:color w:val="auto"/>
              </w:rPr>
              <w:t>Vice President and Controller</w:t>
            </w:r>
          </w:p>
        </w:tc>
        <w:tc>
          <w:tcPr>
            <w:tcW w:w="3380" w:type="dxa"/>
            <w:vAlign w:val="bottom"/>
            <w:tcBorders>
              <w:top w:val="single" w:sz="8" w:color="auto"/>
            </w:tcBorders>
          </w:tcPr>
          <w:p>
            <w:pPr>
              <w:spacing w:after="0"/>
              <w:rPr>
                <w:sz w:val="20"/>
                <w:szCs w:val="20"/>
                <w:color w:val="auto"/>
              </w:rPr>
            </w:pPr>
          </w:p>
        </w:tc>
      </w:tr>
      <w:tr>
        <w:trPr>
          <w:trHeight w:val="364"/>
        </w:trPr>
        <w:tc>
          <w:tcPr>
            <w:tcW w:w="2760" w:type="dxa"/>
            <w:vAlign w:val="bottom"/>
          </w:tcPr>
          <w:p>
            <w:pPr>
              <w:ind w:left="200"/>
              <w:spacing w:after="0"/>
              <w:rPr>
                <w:sz w:val="20"/>
                <w:szCs w:val="20"/>
                <w:color w:val="auto"/>
              </w:rPr>
            </w:pPr>
            <w:r>
              <w:rPr>
                <w:rFonts w:ascii="Arial" w:cs="Arial" w:eastAsia="Arial" w:hAnsi="Arial"/>
                <w:sz w:val="16"/>
                <w:szCs w:val="16"/>
                <w:color w:val="auto"/>
              </w:rPr>
              <w:t>Held current title since:</w:t>
            </w:r>
          </w:p>
        </w:tc>
        <w:tc>
          <w:tcPr>
            <w:tcW w:w="4800" w:type="dxa"/>
            <w:vAlign w:val="bottom"/>
          </w:tcPr>
          <w:p>
            <w:pPr>
              <w:ind w:left="1020"/>
              <w:spacing w:after="0"/>
              <w:rPr>
                <w:sz w:val="20"/>
                <w:szCs w:val="20"/>
                <w:color w:val="auto"/>
              </w:rPr>
            </w:pPr>
            <w:r>
              <w:rPr>
                <w:rFonts w:ascii="Arial" w:cs="Arial" w:eastAsia="Arial" w:hAnsi="Arial"/>
                <w:sz w:val="16"/>
                <w:szCs w:val="16"/>
                <w:color w:val="auto"/>
              </w:rPr>
              <w:t>October 1, 2008 (Vice President)</w:t>
            </w:r>
          </w:p>
        </w:tc>
        <w:tc>
          <w:tcPr>
            <w:tcW w:w="3380" w:type="dxa"/>
            <w:vAlign w:val="bottom"/>
          </w:tcPr>
          <w:p>
            <w:pPr>
              <w:ind w:left="1620"/>
              <w:spacing w:after="0"/>
              <w:rPr>
                <w:sz w:val="20"/>
                <w:szCs w:val="20"/>
                <w:color w:val="auto"/>
              </w:rPr>
            </w:pPr>
            <w:r>
              <w:rPr>
                <w:rFonts w:ascii="Arial" w:cs="Arial" w:eastAsia="Arial" w:hAnsi="Arial"/>
                <w:sz w:val="16"/>
                <w:szCs w:val="16"/>
                <w:color w:val="auto"/>
              </w:rPr>
              <w:t>Age: 58</w:t>
            </w:r>
          </w:p>
        </w:tc>
      </w:tr>
      <w:tr>
        <w:trPr>
          <w:trHeight w:val="208"/>
        </w:trPr>
        <w:tc>
          <w:tcPr>
            <w:tcW w:w="2760" w:type="dxa"/>
            <w:vAlign w:val="bottom"/>
          </w:tcPr>
          <w:p>
            <w:pPr>
              <w:spacing w:after="0"/>
              <w:rPr>
                <w:sz w:val="18"/>
                <w:szCs w:val="18"/>
                <w:color w:val="auto"/>
              </w:rPr>
            </w:pPr>
          </w:p>
        </w:tc>
        <w:tc>
          <w:tcPr>
            <w:tcW w:w="4800" w:type="dxa"/>
            <w:vAlign w:val="bottom"/>
          </w:tcPr>
          <w:p>
            <w:pPr>
              <w:ind w:left="1020"/>
              <w:spacing w:after="0"/>
              <w:rPr>
                <w:sz w:val="20"/>
                <w:szCs w:val="20"/>
                <w:color w:val="auto"/>
              </w:rPr>
            </w:pPr>
            <w:r>
              <w:rPr>
                <w:rFonts w:ascii="Arial" w:cs="Arial" w:eastAsia="Arial" w:hAnsi="Arial"/>
                <w:sz w:val="16"/>
                <w:szCs w:val="16"/>
                <w:color w:val="auto"/>
              </w:rPr>
              <w:t>September 1, 2014 (Controller)</w:t>
            </w:r>
          </w:p>
        </w:tc>
        <w:tc>
          <w:tcPr>
            <w:tcW w:w="3380" w:type="dxa"/>
            <w:vAlign w:val="bottom"/>
          </w:tcPr>
          <w:p>
            <w:pPr>
              <w:spacing w:after="0"/>
              <w:rPr>
                <w:sz w:val="18"/>
                <w:szCs w:val="18"/>
                <w:color w:val="auto"/>
              </w:rPr>
            </w:pPr>
          </w:p>
        </w:tc>
      </w:tr>
    </w:tbl>
    <w:p>
      <w:pPr>
        <w:spacing w:after="0" w:line="1"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Mr. David S. Rosenthal was Vice President – Investor Relations and Secretary of Exxon Mobil Corporation October 1, 2008 – August 31, 2014. He became Vice P and Controller of Exxon Mobil Corporation on September 1, 2014, positions he still holds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-277495</wp:posOffset>
            </wp:positionV>
            <wp:extent cx="694309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43090" cy="762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Robert N. Schleckser</w:t>
            </w:r>
          </w:p>
        </w:tc>
        <w:tc>
          <w:tcPr>
            <w:tcW w:w="4640" w:type="dxa"/>
            <w:vAlign w:val="bottom"/>
            <w:tcBorders>
              <w:top w:val="single" w:sz="8" w:color="auto"/>
            </w:tcBorders>
          </w:tcPr>
          <w:p>
            <w:pPr>
              <w:ind w:left="960"/>
              <w:spacing w:after="0"/>
              <w:rPr>
                <w:sz w:val="20"/>
                <w:szCs w:val="20"/>
                <w:color w:val="auto"/>
              </w:rPr>
            </w:pPr>
            <w:r>
              <w:rPr>
                <w:rFonts w:ascii="Arial" w:cs="Arial" w:eastAsia="Arial" w:hAnsi="Arial"/>
                <w:sz w:val="16"/>
                <w:szCs w:val="16"/>
                <w:i w:val="1"/>
                <w:iCs w:val="1"/>
                <w:color w:val="auto"/>
              </w:rPr>
              <w:t>Vice President and Treasurer</w:t>
            </w:r>
          </w:p>
        </w:tc>
        <w:tc>
          <w:tcPr>
            <w:tcW w:w="3600" w:type="dxa"/>
            <w:vAlign w:val="bottom"/>
            <w:tcBorders>
              <w:top w:val="single" w:sz="8" w:color="auto"/>
            </w:tcBorders>
          </w:tcPr>
          <w:p>
            <w:pPr>
              <w:spacing w:after="0"/>
              <w:rPr>
                <w:sz w:val="20"/>
                <w:szCs w:val="20"/>
                <w:color w:val="auto"/>
              </w:rPr>
            </w:pPr>
          </w:p>
        </w:tc>
      </w:tr>
      <w:tr>
        <w:trPr>
          <w:trHeight w:val="376"/>
        </w:trPr>
        <w:tc>
          <w:tcPr>
            <w:tcW w:w="2700" w:type="dxa"/>
            <w:vAlign w:val="bottom"/>
          </w:tcPr>
          <w:p>
            <w:pPr>
              <w:ind w:left="200"/>
              <w:spacing w:after="0"/>
              <w:rPr>
                <w:sz w:val="20"/>
                <w:szCs w:val="20"/>
                <w:color w:val="auto"/>
              </w:rPr>
            </w:pPr>
            <w:r>
              <w:rPr>
                <w:rFonts w:ascii="Arial" w:cs="Arial" w:eastAsia="Arial" w:hAnsi="Arial"/>
                <w:sz w:val="16"/>
                <w:szCs w:val="16"/>
                <w:color w:val="auto"/>
              </w:rPr>
              <w:t>Held current title since:</w:t>
            </w:r>
          </w:p>
        </w:tc>
        <w:tc>
          <w:tcPr>
            <w:tcW w:w="4640" w:type="dxa"/>
            <w:vAlign w:val="bottom"/>
          </w:tcPr>
          <w:p>
            <w:pPr>
              <w:ind w:left="960"/>
              <w:spacing w:after="0"/>
              <w:rPr>
                <w:sz w:val="20"/>
                <w:szCs w:val="20"/>
                <w:color w:val="auto"/>
              </w:rPr>
            </w:pPr>
            <w:r>
              <w:rPr>
                <w:rFonts w:ascii="Arial" w:cs="Arial" w:eastAsia="Arial" w:hAnsi="Arial"/>
                <w:sz w:val="16"/>
                <w:szCs w:val="16"/>
                <w:color w:val="auto"/>
              </w:rPr>
              <w:t>May 1, 2011</w:t>
            </w:r>
          </w:p>
        </w:tc>
        <w:tc>
          <w:tcPr>
            <w:tcW w:w="3600" w:type="dxa"/>
            <w:vAlign w:val="bottom"/>
          </w:tcPr>
          <w:p>
            <w:pPr>
              <w:ind w:left="1780"/>
              <w:spacing w:after="0"/>
              <w:rPr>
                <w:sz w:val="20"/>
                <w:szCs w:val="20"/>
                <w:color w:val="auto"/>
              </w:rPr>
            </w:pPr>
            <w:r>
              <w:rPr>
                <w:rFonts w:ascii="Arial" w:cs="Arial" w:eastAsia="Arial" w:hAnsi="Arial"/>
                <w:sz w:val="16"/>
                <w:szCs w:val="16"/>
                <w:color w:val="auto"/>
              </w:rPr>
              <w:t>Age: 58</w:t>
            </w:r>
          </w:p>
        </w:tc>
      </w:tr>
    </w:tbl>
    <w:p>
      <w:pPr>
        <w:spacing w:after="0" w:line="1" w:lineRule="exact"/>
        <w:rPr>
          <w:sz w:val="20"/>
          <w:szCs w:val="20"/>
          <w:color w:val="auto"/>
        </w:rPr>
      </w:pPr>
    </w:p>
    <w:p>
      <w:pPr>
        <w:jc w:val="both"/>
        <w:ind w:left="200"/>
        <w:spacing w:after="0" w:line="286" w:lineRule="auto"/>
        <w:rPr>
          <w:sz w:val="20"/>
          <w:szCs w:val="20"/>
          <w:color w:val="auto"/>
        </w:rPr>
      </w:pPr>
      <w:r>
        <w:rPr>
          <w:rFonts w:ascii="Arial" w:cs="Arial" w:eastAsia="Arial" w:hAnsi="Arial"/>
          <w:sz w:val="16"/>
          <w:szCs w:val="16"/>
          <w:color w:val="auto"/>
        </w:rPr>
        <w:t>Mr. Robert N. Schleckser was Assistant Treasurer of Exxon Mobil Corporation February 1, 2009 – April 30, 2011. He became Vice President and Treasurer of Mobil Corporation on May 1, 2011, positions he still holds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-277495</wp:posOffset>
            </wp:positionV>
            <wp:extent cx="694309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43090" cy="762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James M. Spellings, Jr.</w:t>
            </w:r>
          </w:p>
        </w:tc>
        <w:tc>
          <w:tcPr>
            <w:tcW w:w="5020" w:type="dxa"/>
            <w:vAlign w:val="bottom"/>
            <w:tcBorders>
              <w:top w:val="single" w:sz="8" w:color="auto"/>
            </w:tcBorders>
          </w:tcPr>
          <w:p>
            <w:pPr>
              <w:ind w:left="960"/>
              <w:spacing w:after="0"/>
              <w:rPr>
                <w:sz w:val="20"/>
                <w:szCs w:val="20"/>
                <w:color w:val="auto"/>
              </w:rPr>
            </w:pPr>
            <w:r>
              <w:rPr>
                <w:rFonts w:ascii="Arial" w:cs="Arial" w:eastAsia="Arial" w:hAnsi="Arial"/>
                <w:sz w:val="16"/>
                <w:szCs w:val="16"/>
                <w:i w:val="1"/>
                <w:iCs w:val="1"/>
                <w:color w:val="auto"/>
              </w:rPr>
              <w:t>Vice President and General Tax Counsel</w:t>
            </w:r>
          </w:p>
        </w:tc>
        <w:tc>
          <w:tcPr>
            <w:tcW w:w="3220" w:type="dxa"/>
            <w:vAlign w:val="bottom"/>
            <w:tcBorders>
              <w:top w:val="single" w:sz="8" w:color="auto"/>
            </w:tcBorders>
          </w:tcPr>
          <w:p>
            <w:pPr>
              <w:spacing w:after="0"/>
              <w:rPr>
                <w:sz w:val="20"/>
                <w:szCs w:val="20"/>
                <w:color w:val="auto"/>
              </w:rPr>
            </w:pPr>
          </w:p>
        </w:tc>
      </w:tr>
      <w:tr>
        <w:trPr>
          <w:trHeight w:val="376"/>
        </w:trPr>
        <w:tc>
          <w:tcPr>
            <w:tcW w:w="2700" w:type="dxa"/>
            <w:vAlign w:val="bottom"/>
          </w:tcPr>
          <w:p>
            <w:pPr>
              <w:ind w:left="200"/>
              <w:spacing w:after="0"/>
              <w:rPr>
                <w:sz w:val="20"/>
                <w:szCs w:val="20"/>
                <w:color w:val="auto"/>
              </w:rPr>
            </w:pPr>
            <w:r>
              <w:rPr>
                <w:rFonts w:ascii="Arial" w:cs="Arial" w:eastAsia="Arial" w:hAnsi="Arial"/>
                <w:sz w:val="16"/>
                <w:szCs w:val="16"/>
                <w:color w:val="auto"/>
              </w:rPr>
              <w:t>Held current title since:</w:t>
            </w:r>
          </w:p>
        </w:tc>
        <w:tc>
          <w:tcPr>
            <w:tcW w:w="5020" w:type="dxa"/>
            <w:vAlign w:val="bottom"/>
          </w:tcPr>
          <w:p>
            <w:pPr>
              <w:ind w:left="960"/>
              <w:spacing w:after="0"/>
              <w:rPr>
                <w:sz w:val="20"/>
                <w:szCs w:val="20"/>
                <w:color w:val="auto"/>
              </w:rPr>
            </w:pPr>
            <w:r>
              <w:rPr>
                <w:rFonts w:ascii="Arial" w:cs="Arial" w:eastAsia="Arial" w:hAnsi="Arial"/>
                <w:sz w:val="16"/>
                <w:szCs w:val="16"/>
                <w:color w:val="auto"/>
              </w:rPr>
              <w:t>March 1, 2010</w:t>
            </w:r>
          </w:p>
        </w:tc>
        <w:tc>
          <w:tcPr>
            <w:tcW w:w="3220" w:type="dxa"/>
            <w:vAlign w:val="bottom"/>
          </w:tcPr>
          <w:p>
            <w:pPr>
              <w:ind w:left="1400"/>
              <w:spacing w:after="0"/>
              <w:rPr>
                <w:sz w:val="20"/>
                <w:szCs w:val="20"/>
                <w:color w:val="auto"/>
              </w:rPr>
            </w:pPr>
            <w:r>
              <w:rPr>
                <w:rFonts w:ascii="Arial" w:cs="Arial" w:eastAsia="Arial" w:hAnsi="Arial"/>
                <w:sz w:val="16"/>
                <w:szCs w:val="16"/>
                <w:color w:val="auto"/>
              </w:rPr>
              <w:t>Age: 53</w:t>
            </w:r>
          </w:p>
        </w:tc>
      </w:tr>
    </w:tbl>
    <w:p>
      <w:pPr>
        <w:spacing w:after="0" w:line="1" w:lineRule="exact"/>
        <w:rPr>
          <w:sz w:val="20"/>
          <w:szCs w:val="20"/>
          <w:color w:val="auto"/>
        </w:rPr>
      </w:pPr>
    </w:p>
    <w:p>
      <w:pPr>
        <w:jc w:val="both"/>
        <w:ind w:left="200"/>
        <w:spacing w:after="0" w:line="286" w:lineRule="auto"/>
        <w:rPr>
          <w:sz w:val="20"/>
          <w:szCs w:val="20"/>
          <w:color w:val="auto"/>
        </w:rPr>
      </w:pPr>
      <w:r>
        <w:rPr>
          <w:rFonts w:ascii="Arial" w:cs="Arial" w:eastAsia="Arial" w:hAnsi="Arial"/>
          <w:sz w:val="16"/>
          <w:szCs w:val="16"/>
          <w:color w:val="auto"/>
        </w:rPr>
        <w:t>Mr. James M. Spellings, Jr. was Associate General Tax Counsel of Exxon Mobil Corporation April 1, 2007 – March 1, 2010. He became Vice President and Gene Counsel of Exxon Mobil Corporation on March 1, 2010, positions he still holds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-277495</wp:posOffset>
            </wp:positionV>
            <wp:extent cx="694309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43090" cy="762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Thomas R. Walters</w:t>
            </w:r>
          </w:p>
        </w:tc>
        <w:tc>
          <w:tcPr>
            <w:tcW w:w="4220" w:type="dxa"/>
            <w:vAlign w:val="bottom"/>
            <w:tcBorders>
              <w:top w:val="single" w:sz="8" w:color="auto"/>
            </w:tcBorders>
          </w:tcPr>
          <w:p>
            <w:pPr>
              <w:ind w:left="1020"/>
              <w:spacing w:after="0"/>
              <w:rPr>
                <w:sz w:val="20"/>
                <w:szCs w:val="20"/>
                <w:color w:val="auto"/>
              </w:rPr>
            </w:pPr>
            <w:r>
              <w:rPr>
                <w:rFonts w:ascii="Arial" w:cs="Arial" w:eastAsia="Arial" w:hAnsi="Arial"/>
                <w:sz w:val="16"/>
                <w:szCs w:val="16"/>
                <w:i w:val="1"/>
                <w:iCs w:val="1"/>
                <w:color w:val="auto"/>
              </w:rPr>
              <w:t>Vice President</w:t>
            </w:r>
          </w:p>
        </w:tc>
        <w:tc>
          <w:tcPr>
            <w:tcW w:w="3960" w:type="dxa"/>
            <w:vAlign w:val="bottom"/>
            <w:tcBorders>
              <w:top w:val="single" w:sz="8" w:color="auto"/>
            </w:tcBorders>
          </w:tcPr>
          <w:p>
            <w:pPr>
              <w:spacing w:after="0"/>
              <w:rPr>
                <w:sz w:val="20"/>
                <w:szCs w:val="20"/>
                <w:color w:val="auto"/>
              </w:rPr>
            </w:pPr>
          </w:p>
        </w:tc>
      </w:tr>
      <w:tr>
        <w:trPr>
          <w:trHeight w:val="376"/>
        </w:trPr>
        <w:tc>
          <w:tcPr>
            <w:tcW w:w="2760" w:type="dxa"/>
            <w:vAlign w:val="bottom"/>
          </w:tcPr>
          <w:p>
            <w:pPr>
              <w:ind w:left="200"/>
              <w:spacing w:after="0"/>
              <w:rPr>
                <w:sz w:val="20"/>
                <w:szCs w:val="20"/>
                <w:color w:val="auto"/>
              </w:rPr>
            </w:pPr>
            <w:r>
              <w:rPr>
                <w:rFonts w:ascii="Arial" w:cs="Arial" w:eastAsia="Arial" w:hAnsi="Arial"/>
                <w:sz w:val="16"/>
                <w:szCs w:val="16"/>
                <w:color w:val="auto"/>
              </w:rPr>
              <w:t>Held current title since:</w:t>
            </w:r>
          </w:p>
        </w:tc>
        <w:tc>
          <w:tcPr>
            <w:tcW w:w="4220" w:type="dxa"/>
            <w:vAlign w:val="bottom"/>
          </w:tcPr>
          <w:p>
            <w:pPr>
              <w:ind w:left="1020"/>
              <w:spacing w:after="0"/>
              <w:rPr>
                <w:sz w:val="20"/>
                <w:szCs w:val="20"/>
                <w:color w:val="auto"/>
              </w:rPr>
            </w:pPr>
            <w:r>
              <w:rPr>
                <w:rFonts w:ascii="Arial" w:cs="Arial" w:eastAsia="Arial" w:hAnsi="Arial"/>
                <w:sz w:val="16"/>
                <w:szCs w:val="16"/>
                <w:color w:val="auto"/>
              </w:rPr>
              <w:t>April 1, 2009</w:t>
            </w:r>
          </w:p>
        </w:tc>
        <w:tc>
          <w:tcPr>
            <w:tcW w:w="3960" w:type="dxa"/>
            <w:vAlign w:val="bottom"/>
          </w:tcPr>
          <w:p>
            <w:pPr>
              <w:ind w:left="2260"/>
              <w:spacing w:after="0"/>
              <w:rPr>
                <w:sz w:val="20"/>
                <w:szCs w:val="20"/>
                <w:color w:val="auto"/>
              </w:rPr>
            </w:pPr>
            <w:r>
              <w:rPr>
                <w:rFonts w:ascii="Arial" w:cs="Arial" w:eastAsia="Arial" w:hAnsi="Arial"/>
                <w:sz w:val="16"/>
                <w:szCs w:val="16"/>
                <w:color w:val="auto"/>
              </w:rPr>
              <w:t>Age: 60</w:t>
            </w:r>
          </w:p>
        </w:tc>
      </w:tr>
    </w:tbl>
    <w:p>
      <w:pPr>
        <w:spacing w:after="0" w:line="1" w:lineRule="exact"/>
        <w:rPr>
          <w:sz w:val="20"/>
          <w:szCs w:val="20"/>
          <w:color w:val="auto"/>
        </w:rPr>
      </w:pPr>
    </w:p>
    <w:p>
      <w:pPr>
        <w:jc w:val="both"/>
        <w:ind w:left="200"/>
        <w:spacing w:after="0" w:line="271" w:lineRule="auto"/>
        <w:rPr>
          <w:sz w:val="20"/>
          <w:szCs w:val="20"/>
          <w:color w:val="auto"/>
        </w:rPr>
      </w:pPr>
      <w:r>
        <w:rPr>
          <w:rFonts w:ascii="Arial" w:cs="Arial" w:eastAsia="Arial" w:hAnsi="Arial"/>
          <w:sz w:val="16"/>
          <w:szCs w:val="16"/>
          <w:color w:val="auto"/>
        </w:rPr>
        <w:t>Mr. Thomas R. Walters was President of ExxonMobil Gas &amp; Power Marketing Company and Vice President of Exxon Mobil Corporation April 1, 2009 – Febru 2013. He became President of ExxonMobil Production Company and Vice President of Exxon Mobil Corporation on March 1, 2013, positions he still holds as of th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-394970</wp:posOffset>
            </wp:positionV>
            <wp:extent cx="694309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43090" cy="762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Dennis G. Wascom</w:t>
            </w:r>
          </w:p>
        </w:tc>
        <w:tc>
          <w:tcPr>
            <w:tcW w:w="4240" w:type="dxa"/>
            <w:vAlign w:val="bottom"/>
            <w:tcBorders>
              <w:top w:val="single" w:sz="8" w:color="auto"/>
            </w:tcBorders>
          </w:tcPr>
          <w:p>
            <w:pPr>
              <w:ind w:left="1020"/>
              <w:spacing w:after="0"/>
              <w:rPr>
                <w:sz w:val="20"/>
                <w:szCs w:val="20"/>
                <w:color w:val="auto"/>
              </w:rPr>
            </w:pPr>
            <w:r>
              <w:rPr>
                <w:rFonts w:ascii="Arial" w:cs="Arial" w:eastAsia="Arial" w:hAnsi="Arial"/>
                <w:sz w:val="16"/>
                <w:szCs w:val="16"/>
                <w:i w:val="1"/>
                <w:iCs w:val="1"/>
                <w:color w:val="auto"/>
              </w:rPr>
              <w:t>Vice President</w:t>
            </w:r>
          </w:p>
        </w:tc>
        <w:tc>
          <w:tcPr>
            <w:tcW w:w="3940" w:type="dxa"/>
            <w:vAlign w:val="bottom"/>
            <w:tcBorders>
              <w:top w:val="single" w:sz="8" w:color="auto"/>
            </w:tcBorders>
          </w:tcPr>
          <w:p>
            <w:pPr>
              <w:spacing w:after="0"/>
              <w:rPr>
                <w:sz w:val="20"/>
                <w:szCs w:val="20"/>
                <w:color w:val="auto"/>
              </w:rPr>
            </w:pPr>
          </w:p>
        </w:tc>
      </w:tr>
      <w:tr>
        <w:trPr>
          <w:trHeight w:val="376"/>
        </w:trPr>
        <w:tc>
          <w:tcPr>
            <w:tcW w:w="2760" w:type="dxa"/>
            <w:vAlign w:val="bottom"/>
          </w:tcPr>
          <w:p>
            <w:pPr>
              <w:ind w:left="200"/>
              <w:spacing w:after="0"/>
              <w:rPr>
                <w:sz w:val="20"/>
                <w:szCs w:val="20"/>
                <w:color w:val="auto"/>
              </w:rPr>
            </w:pPr>
            <w:r>
              <w:rPr>
                <w:rFonts w:ascii="Arial" w:cs="Arial" w:eastAsia="Arial" w:hAnsi="Arial"/>
                <w:sz w:val="16"/>
                <w:szCs w:val="16"/>
                <w:color w:val="auto"/>
              </w:rPr>
              <w:t>Held current title since:</w:t>
            </w:r>
          </w:p>
        </w:tc>
        <w:tc>
          <w:tcPr>
            <w:tcW w:w="4240" w:type="dxa"/>
            <w:vAlign w:val="bottom"/>
          </w:tcPr>
          <w:p>
            <w:pPr>
              <w:ind w:left="1020"/>
              <w:spacing w:after="0"/>
              <w:rPr>
                <w:sz w:val="20"/>
                <w:szCs w:val="20"/>
                <w:color w:val="auto"/>
              </w:rPr>
            </w:pPr>
            <w:r>
              <w:rPr>
                <w:rFonts w:ascii="Arial" w:cs="Arial" w:eastAsia="Arial" w:hAnsi="Arial"/>
                <w:sz w:val="16"/>
                <w:szCs w:val="16"/>
                <w:color w:val="auto"/>
              </w:rPr>
              <w:t>August 1, 2014</w:t>
            </w:r>
          </w:p>
        </w:tc>
        <w:tc>
          <w:tcPr>
            <w:tcW w:w="3940" w:type="dxa"/>
            <w:vAlign w:val="bottom"/>
          </w:tcPr>
          <w:p>
            <w:pPr>
              <w:ind w:left="2240"/>
              <w:spacing w:after="0"/>
              <w:rPr>
                <w:sz w:val="20"/>
                <w:szCs w:val="20"/>
                <w:color w:val="auto"/>
              </w:rPr>
            </w:pPr>
            <w:r>
              <w:rPr>
                <w:rFonts w:ascii="Arial" w:cs="Arial" w:eastAsia="Arial" w:hAnsi="Arial"/>
                <w:sz w:val="16"/>
                <w:szCs w:val="16"/>
                <w:color w:val="auto"/>
              </w:rPr>
              <w:t>Age: 58</w:t>
            </w:r>
          </w:p>
        </w:tc>
      </w:tr>
    </w:tbl>
    <w:p>
      <w:pPr>
        <w:spacing w:after="0" w:line="1" w:lineRule="exact"/>
        <w:rPr>
          <w:sz w:val="20"/>
          <w:szCs w:val="20"/>
          <w:color w:val="auto"/>
        </w:rPr>
      </w:pPr>
    </w:p>
    <w:p>
      <w:pPr>
        <w:jc w:val="both"/>
        <w:ind w:left="200" w:right="20"/>
        <w:spacing w:after="0" w:line="271" w:lineRule="auto"/>
        <w:rPr>
          <w:sz w:val="20"/>
          <w:szCs w:val="20"/>
          <w:color w:val="auto"/>
        </w:rPr>
      </w:pPr>
      <w:r>
        <w:rPr>
          <w:rFonts w:ascii="Arial" w:cs="Arial" w:eastAsia="Arial" w:hAnsi="Arial"/>
          <w:sz w:val="16"/>
          <w:szCs w:val="16"/>
          <w:color w:val="auto"/>
        </w:rPr>
        <w:t>Mr. Dennis G. Wascom was Director, Refining Americas, ExxonMobil Refining &amp; Supply Company April 1, 2009 – June 30, 2013. He was Director, Refinin America, ExxonMobil Refining &amp; Supply Company July 1, 2013 – July 31, 2014. He became President of ExxonMobil Refining &amp; Supply Company and Vice Pres Exxon Mobil Corporation on August 1, 2014, positions he still holds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-394970</wp:posOffset>
            </wp:positionV>
            <wp:extent cx="694309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43090" cy="762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Jeffrey J. Woodbury</w:t>
            </w:r>
          </w:p>
        </w:tc>
        <w:tc>
          <w:tcPr>
            <w:tcW w:w="5340" w:type="dxa"/>
            <w:vAlign w:val="bottom"/>
            <w:tcBorders>
              <w:top w:val="single" w:sz="8" w:color="auto"/>
            </w:tcBorders>
          </w:tcPr>
          <w:p>
            <w:pPr>
              <w:ind w:left="1020"/>
              <w:spacing w:after="0"/>
              <w:rPr>
                <w:sz w:val="20"/>
                <w:szCs w:val="20"/>
                <w:color w:val="auto"/>
              </w:rPr>
            </w:pPr>
            <w:r>
              <w:rPr>
                <w:rFonts w:ascii="Arial" w:cs="Arial" w:eastAsia="Arial" w:hAnsi="Arial"/>
                <w:sz w:val="16"/>
                <w:szCs w:val="16"/>
                <w:i w:val="1"/>
                <w:iCs w:val="1"/>
                <w:color w:val="auto"/>
              </w:rPr>
              <w:t>Vice President – Investor Relations and Secretary</w:t>
            </w:r>
          </w:p>
        </w:tc>
        <w:tc>
          <w:tcPr>
            <w:tcW w:w="2840" w:type="dxa"/>
            <w:vAlign w:val="bottom"/>
            <w:tcBorders>
              <w:top w:val="single" w:sz="8" w:color="auto"/>
            </w:tcBorders>
          </w:tcPr>
          <w:p>
            <w:pPr>
              <w:spacing w:after="0"/>
              <w:rPr>
                <w:sz w:val="20"/>
                <w:szCs w:val="20"/>
                <w:color w:val="auto"/>
              </w:rPr>
            </w:pPr>
          </w:p>
        </w:tc>
      </w:tr>
      <w:tr>
        <w:trPr>
          <w:trHeight w:val="364"/>
        </w:trPr>
        <w:tc>
          <w:tcPr>
            <w:tcW w:w="2760" w:type="dxa"/>
            <w:vAlign w:val="bottom"/>
          </w:tcPr>
          <w:p>
            <w:pPr>
              <w:ind w:left="200"/>
              <w:spacing w:after="0"/>
              <w:rPr>
                <w:sz w:val="20"/>
                <w:szCs w:val="20"/>
                <w:color w:val="auto"/>
              </w:rPr>
            </w:pPr>
            <w:r>
              <w:rPr>
                <w:rFonts w:ascii="Arial" w:cs="Arial" w:eastAsia="Arial" w:hAnsi="Arial"/>
                <w:sz w:val="16"/>
                <w:szCs w:val="16"/>
                <w:color w:val="auto"/>
              </w:rPr>
              <w:t>Held current title since:</w:t>
            </w:r>
          </w:p>
        </w:tc>
        <w:tc>
          <w:tcPr>
            <w:tcW w:w="5340" w:type="dxa"/>
            <w:vAlign w:val="bottom"/>
          </w:tcPr>
          <w:p>
            <w:pPr>
              <w:ind w:left="1020"/>
              <w:spacing w:after="0"/>
              <w:rPr>
                <w:sz w:val="20"/>
                <w:szCs w:val="20"/>
                <w:color w:val="auto"/>
              </w:rPr>
            </w:pPr>
            <w:r>
              <w:rPr>
                <w:rFonts w:ascii="Arial" w:cs="Arial" w:eastAsia="Arial" w:hAnsi="Arial"/>
                <w:sz w:val="16"/>
                <w:szCs w:val="16"/>
                <w:color w:val="auto"/>
              </w:rPr>
              <w:t>July 1, 2011 (Vice President)</w:t>
            </w:r>
          </w:p>
        </w:tc>
        <w:tc>
          <w:tcPr>
            <w:tcW w:w="2840" w:type="dxa"/>
            <w:vAlign w:val="bottom"/>
          </w:tcPr>
          <w:p>
            <w:pPr>
              <w:ind w:left="1080"/>
              <w:spacing w:after="0"/>
              <w:rPr>
                <w:sz w:val="20"/>
                <w:szCs w:val="20"/>
                <w:color w:val="auto"/>
              </w:rPr>
            </w:pPr>
            <w:r>
              <w:rPr>
                <w:rFonts w:ascii="Arial" w:cs="Arial" w:eastAsia="Arial" w:hAnsi="Arial"/>
                <w:sz w:val="16"/>
                <w:szCs w:val="16"/>
                <w:color w:val="auto"/>
              </w:rPr>
              <w:t>Age: 54</w:t>
            </w:r>
          </w:p>
        </w:tc>
      </w:tr>
      <w:tr>
        <w:trPr>
          <w:trHeight w:val="208"/>
        </w:trPr>
        <w:tc>
          <w:tcPr>
            <w:tcW w:w="2760" w:type="dxa"/>
            <w:vAlign w:val="bottom"/>
          </w:tcPr>
          <w:p>
            <w:pPr>
              <w:spacing w:after="0"/>
              <w:rPr>
                <w:sz w:val="18"/>
                <w:szCs w:val="18"/>
                <w:color w:val="auto"/>
              </w:rPr>
            </w:pPr>
          </w:p>
        </w:tc>
        <w:tc>
          <w:tcPr>
            <w:tcW w:w="5340" w:type="dxa"/>
            <w:vAlign w:val="bottom"/>
          </w:tcPr>
          <w:p>
            <w:pPr>
              <w:ind w:left="1020"/>
              <w:spacing w:after="0"/>
              <w:rPr>
                <w:sz w:val="20"/>
                <w:szCs w:val="20"/>
                <w:color w:val="auto"/>
              </w:rPr>
            </w:pPr>
            <w:r>
              <w:rPr>
                <w:rFonts w:ascii="Arial" w:cs="Arial" w:eastAsia="Arial" w:hAnsi="Arial"/>
                <w:sz w:val="16"/>
                <w:szCs w:val="16"/>
                <w:color w:val="auto"/>
              </w:rPr>
              <w:t>September 1, 2014 (Secretary)</w:t>
            </w:r>
          </w:p>
        </w:tc>
        <w:tc>
          <w:tcPr>
            <w:tcW w:w="2840" w:type="dxa"/>
            <w:vAlign w:val="bottom"/>
          </w:tcPr>
          <w:p>
            <w:pPr>
              <w:spacing w:after="0"/>
              <w:rPr>
                <w:sz w:val="18"/>
                <w:szCs w:val="18"/>
                <w:color w:val="auto"/>
              </w:rPr>
            </w:pPr>
          </w:p>
        </w:tc>
      </w:tr>
    </w:tbl>
    <w:p>
      <w:pPr>
        <w:spacing w:after="0" w:line="1" w:lineRule="exact"/>
        <w:rPr>
          <w:sz w:val="20"/>
          <w:szCs w:val="20"/>
          <w:color w:val="auto"/>
        </w:rPr>
      </w:pPr>
    </w:p>
    <w:p>
      <w:pPr>
        <w:jc w:val="both"/>
        <w:ind w:left="200"/>
        <w:spacing w:after="0" w:line="271" w:lineRule="auto"/>
        <w:rPr>
          <w:sz w:val="20"/>
          <w:szCs w:val="20"/>
          <w:color w:val="auto"/>
        </w:rPr>
      </w:pPr>
      <w:r>
        <w:rPr>
          <w:rFonts w:ascii="Arial" w:cs="Arial" w:eastAsia="Arial" w:hAnsi="Arial"/>
          <w:sz w:val="16"/>
          <w:szCs w:val="16"/>
          <w:color w:val="auto"/>
        </w:rPr>
        <w:t>Mr. Jeffrey J. Woodbury was Executive Vice President of ExxonMobil Development Company April 1, 2009 – June 30, 2011. He was Vice President, Safety, S Health and Environment of Exxon Mobil Corporation July 1, 2011 – August 31, 2014. He became Vice President – Investor Relations and Secretary of Exxon Corporation on September 1, 2014, positions he still holds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694309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43090" cy="15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-394970</wp:posOffset>
            </wp:positionV>
            <wp:extent cx="694309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43090" cy="7620"/>
                    </a:xfrm>
                    <a:prstGeom prst="rect">
                      <a:avLst/>
                    </a:prstGeom>
                    <a:noFill/>
                  </pic:spPr>
                </pic:pic>
              </a:graphicData>
            </a:graphic>
          </wp:anchor>
        </w:drawing>
      </w:r>
    </w:p>
    <w:p>
      <w:pPr>
        <w:spacing w:after="0" w:line="361" w:lineRule="exact"/>
        <w:rPr>
          <w:sz w:val="20"/>
          <w:szCs w:val="20"/>
          <w:color w:val="auto"/>
        </w:rPr>
      </w:pPr>
    </w:p>
    <w:p>
      <w:pPr>
        <w:ind w:firstLine="200"/>
        <w:spacing w:after="0" w:line="271" w:lineRule="auto"/>
        <w:rPr>
          <w:sz w:val="20"/>
          <w:szCs w:val="20"/>
          <w:color w:val="auto"/>
        </w:rPr>
      </w:pPr>
      <w:r>
        <w:rPr>
          <w:rFonts w:ascii="Arial" w:cs="Arial" w:eastAsia="Arial" w:hAnsi="Arial"/>
          <w:sz w:val="16"/>
          <w:szCs w:val="16"/>
          <w:color w:val="auto"/>
        </w:rPr>
        <w:t>Officers are generally elected by the Board of Directors at its meeting on the day of each annual election of directors, with each such officer serving until a succes been elected and qualified.</w:t>
      </w:r>
    </w:p>
    <w:p>
      <w:pPr>
        <w:spacing w:after="0" w:line="1"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646" w:right="139" w:bottom="1440" w:gutter="0" w:footer="0" w:header="0"/>
        </w:sectPr>
      </w:pPr>
    </w:p>
    <w:bookmarkStart w:id="31" w:name="page32"/>
    <w:bookmarkEnd w:id="31"/>
    <w:p>
      <w:pPr>
        <w:jc w:val="center"/>
        <w:ind w:left="1180"/>
        <w:spacing w:after="0"/>
        <w:rPr>
          <w:sz w:val="20"/>
          <w:szCs w:val="20"/>
          <w:color w:val="auto"/>
        </w:rPr>
      </w:pPr>
      <w:r>
        <w:rPr>
          <w:rFonts w:ascii="Arial" w:cs="Arial" w:eastAsia="Arial" w:hAnsi="Arial"/>
          <w:sz w:val="20"/>
          <w:szCs w:val="20"/>
          <w:b w:val="1"/>
          <w:bCs w:val="1"/>
          <w:color w:val="auto"/>
        </w:rPr>
        <w:t>PART II</w:t>
      </w:r>
    </w:p>
    <w:p>
      <w:pPr>
        <w:spacing w:after="0" w:line="216" w:lineRule="exact"/>
        <w:rPr>
          <w:sz w:val="20"/>
          <w:szCs w:val="20"/>
          <w:color w:val="auto"/>
        </w:rPr>
      </w:pPr>
    </w:p>
    <w:p>
      <w:pPr>
        <w:ind w:left="980" w:right="100" w:hanging="1034"/>
        <w:spacing w:after="0" w:line="27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EQUITY SECURITIES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Reference is made to the “Quarterly Information” portion of the Financial Section of this report.</w:t>
      </w:r>
    </w:p>
    <w:p>
      <w:pPr>
        <w:spacing w:after="0" w:line="204"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Issuer Purchases of Equity Securities for Quarter Ended December 31, 2014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6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Total Number of</w:t>
            </w:r>
          </w:p>
        </w:tc>
        <w:tc>
          <w:tcPr>
            <w:tcW w:w="1200" w:type="dxa"/>
            <w:vAlign w:val="bottom"/>
            <w:tcBorders>
              <w:top w:val="single" w:sz="8" w:color="auto"/>
            </w:tcBorders>
          </w:tcPr>
          <w:p>
            <w:pPr>
              <w:spacing w:after="0"/>
              <w:rPr>
                <w:sz w:val="14"/>
                <w:szCs w:val="14"/>
                <w:color w:val="auto"/>
              </w:rPr>
            </w:pPr>
          </w:p>
        </w:tc>
      </w:tr>
      <w:tr>
        <w:trPr>
          <w:trHeight w:val="194"/>
        </w:trPr>
        <w:tc>
          <w:tcPr>
            <w:tcW w:w="4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200" w:type="dxa"/>
            <w:vAlign w:val="bottom"/>
          </w:tcPr>
          <w:p>
            <w:pPr>
              <w:spacing w:after="0"/>
              <w:rPr>
                <w:sz w:val="16"/>
                <w:szCs w:val="16"/>
                <w:color w:val="auto"/>
              </w:rPr>
            </w:pPr>
          </w:p>
        </w:tc>
      </w:tr>
      <w:tr>
        <w:trPr>
          <w:trHeight w:val="196"/>
        </w:trPr>
        <w:tc>
          <w:tcPr>
            <w:tcW w:w="43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87"/>
              </w:rPr>
              <w:t>Purchased as</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Maximum Num</w:t>
            </w:r>
          </w:p>
        </w:tc>
      </w:tr>
      <w:tr>
        <w:trPr>
          <w:trHeight w:val="196"/>
        </w:trPr>
        <w:tc>
          <w:tcPr>
            <w:tcW w:w="43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92"/>
              </w:rPr>
              <w:t>Part of Publicly</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of Shares that M</w:t>
            </w:r>
          </w:p>
        </w:tc>
      </w:tr>
      <w:tr>
        <w:trPr>
          <w:trHeight w:val="196"/>
        </w:trPr>
        <w:tc>
          <w:tcPr>
            <w:tcW w:w="43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92"/>
              </w:rPr>
              <w:t>Total Number of</w:t>
            </w: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89"/>
              </w:rPr>
              <w:t>Average Price</w:t>
            </w: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89"/>
              </w:rPr>
              <w:t>Announced</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Yet Be Purchas</w:t>
            </w:r>
          </w:p>
        </w:tc>
      </w:tr>
      <w:tr>
        <w:trPr>
          <w:trHeight w:val="196"/>
        </w:trPr>
        <w:tc>
          <w:tcPr>
            <w:tcW w:w="43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93"/>
              </w:rPr>
              <w:t>Paid per</w:t>
            </w: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89"/>
              </w:rPr>
              <w:t>Plans or</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Under the Plans</w:t>
            </w:r>
          </w:p>
        </w:tc>
      </w:tr>
      <w:tr>
        <w:trPr>
          <w:trHeight w:val="219"/>
        </w:trPr>
        <w:tc>
          <w:tcPr>
            <w:tcW w:w="43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Period</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Purchased</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Share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Programs</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b w:val="1"/>
                <w:bCs w:val="1"/>
                <w:color w:val="auto"/>
              </w:rPr>
              <w:t>Programs</w:t>
            </w:r>
          </w:p>
        </w:tc>
      </w:tr>
      <w:tr>
        <w:trPr>
          <w:trHeight w:val="176"/>
        </w:trPr>
        <w:tc>
          <w:tcPr>
            <w:tcW w:w="4360" w:type="dxa"/>
            <w:vAlign w:val="bottom"/>
          </w:tcPr>
          <w:p>
            <w:pPr>
              <w:spacing w:after="0" w:line="176" w:lineRule="exact"/>
              <w:rPr>
                <w:sz w:val="20"/>
                <w:szCs w:val="20"/>
                <w:color w:val="auto"/>
              </w:rPr>
            </w:pPr>
            <w:r>
              <w:rPr>
                <w:rFonts w:ascii="Arial" w:cs="Arial" w:eastAsia="Arial" w:hAnsi="Arial"/>
                <w:sz w:val="16"/>
                <w:szCs w:val="16"/>
                <w:color w:val="auto"/>
              </w:rPr>
              <w:t>October 2014</w:t>
            </w:r>
          </w:p>
        </w:tc>
        <w:tc>
          <w:tcPr>
            <w:tcW w:w="1840" w:type="dxa"/>
            <w:vAlign w:val="bottom"/>
          </w:tcPr>
          <w:p>
            <w:pPr>
              <w:jc w:val="center"/>
              <w:spacing w:after="0" w:line="176" w:lineRule="exact"/>
              <w:rPr>
                <w:sz w:val="20"/>
                <w:szCs w:val="20"/>
                <w:color w:val="auto"/>
              </w:rPr>
            </w:pPr>
            <w:r>
              <w:rPr>
                <w:rFonts w:ascii="Arial" w:cs="Arial" w:eastAsia="Arial" w:hAnsi="Arial"/>
                <w:sz w:val="16"/>
                <w:szCs w:val="16"/>
                <w:color w:val="auto"/>
                <w:w w:val="89"/>
              </w:rPr>
              <w:t>11,934,362</w:t>
            </w:r>
          </w:p>
        </w:tc>
        <w:tc>
          <w:tcPr>
            <w:tcW w:w="1840" w:type="dxa"/>
            <w:vAlign w:val="bottom"/>
          </w:tcPr>
          <w:p>
            <w:pPr>
              <w:jc w:val="center"/>
              <w:spacing w:after="0" w:line="176" w:lineRule="exact"/>
              <w:rPr>
                <w:sz w:val="20"/>
                <w:szCs w:val="20"/>
                <w:color w:val="auto"/>
              </w:rPr>
            </w:pPr>
            <w:r>
              <w:rPr>
                <w:rFonts w:ascii="Arial" w:cs="Arial" w:eastAsia="Arial" w:hAnsi="Arial"/>
                <w:sz w:val="16"/>
                <w:szCs w:val="16"/>
                <w:color w:val="auto"/>
                <w:w w:val="94"/>
              </w:rPr>
              <w:t>93.06</w:t>
            </w:r>
          </w:p>
        </w:tc>
        <w:tc>
          <w:tcPr>
            <w:tcW w:w="1700" w:type="dxa"/>
            <w:vAlign w:val="bottom"/>
          </w:tcPr>
          <w:p>
            <w:pPr>
              <w:jc w:val="center"/>
              <w:spacing w:after="0" w:line="176" w:lineRule="exact"/>
              <w:rPr>
                <w:sz w:val="20"/>
                <w:szCs w:val="20"/>
                <w:color w:val="auto"/>
              </w:rPr>
            </w:pPr>
            <w:r>
              <w:rPr>
                <w:rFonts w:ascii="Arial" w:cs="Arial" w:eastAsia="Arial" w:hAnsi="Arial"/>
                <w:sz w:val="16"/>
                <w:szCs w:val="16"/>
                <w:color w:val="auto"/>
                <w:w w:val="89"/>
              </w:rPr>
              <w:t>11,934,362</w:t>
            </w:r>
          </w:p>
        </w:tc>
        <w:tc>
          <w:tcPr>
            <w:tcW w:w="1200" w:type="dxa"/>
            <w:vAlign w:val="bottom"/>
          </w:tcPr>
          <w:p>
            <w:pPr>
              <w:spacing w:after="0"/>
              <w:rPr>
                <w:sz w:val="15"/>
                <w:szCs w:val="15"/>
                <w:color w:val="auto"/>
              </w:rPr>
            </w:pPr>
          </w:p>
        </w:tc>
      </w:tr>
      <w:tr>
        <w:trPr>
          <w:trHeight w:val="196"/>
        </w:trPr>
        <w:tc>
          <w:tcPr>
            <w:tcW w:w="4360" w:type="dxa"/>
            <w:vAlign w:val="bottom"/>
          </w:tcPr>
          <w:p>
            <w:pPr>
              <w:spacing w:after="0"/>
              <w:rPr>
                <w:sz w:val="20"/>
                <w:szCs w:val="20"/>
                <w:color w:val="auto"/>
              </w:rPr>
            </w:pPr>
            <w:r>
              <w:rPr>
                <w:rFonts w:ascii="Arial" w:cs="Arial" w:eastAsia="Arial" w:hAnsi="Arial"/>
                <w:sz w:val="16"/>
                <w:szCs w:val="16"/>
                <w:color w:val="auto"/>
              </w:rPr>
              <w:t>November 2014</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9,803,071</w:t>
            </w:r>
          </w:p>
        </w:tc>
        <w:tc>
          <w:tcPr>
            <w:tcW w:w="1840" w:type="dxa"/>
            <w:vAlign w:val="bottom"/>
          </w:tcPr>
          <w:p>
            <w:pPr>
              <w:jc w:val="center"/>
              <w:spacing w:after="0"/>
              <w:rPr>
                <w:sz w:val="20"/>
                <w:szCs w:val="20"/>
                <w:color w:val="auto"/>
              </w:rPr>
            </w:pPr>
            <w:r>
              <w:rPr>
                <w:rFonts w:ascii="Arial" w:cs="Arial" w:eastAsia="Arial" w:hAnsi="Arial"/>
                <w:sz w:val="16"/>
                <w:szCs w:val="16"/>
                <w:color w:val="auto"/>
                <w:w w:val="94"/>
              </w:rPr>
              <w:t>95.42</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9,803,071</w:t>
            </w:r>
          </w:p>
        </w:tc>
        <w:tc>
          <w:tcPr>
            <w:tcW w:w="1200" w:type="dxa"/>
            <w:vAlign w:val="bottom"/>
          </w:tcPr>
          <w:p>
            <w:pPr>
              <w:spacing w:after="0"/>
              <w:rPr>
                <w:sz w:val="17"/>
                <w:szCs w:val="17"/>
                <w:color w:val="auto"/>
              </w:rPr>
            </w:pPr>
          </w:p>
        </w:tc>
      </w:tr>
      <w:tr>
        <w:trPr>
          <w:trHeight w:val="208"/>
        </w:trPr>
        <w:tc>
          <w:tcPr>
            <w:tcW w:w="4360" w:type="dxa"/>
            <w:vAlign w:val="bottom"/>
          </w:tcPr>
          <w:p>
            <w:pPr>
              <w:spacing w:after="0"/>
              <w:rPr>
                <w:sz w:val="20"/>
                <w:szCs w:val="20"/>
                <w:color w:val="auto"/>
              </w:rPr>
            </w:pPr>
            <w:r>
              <w:rPr>
                <w:rFonts w:ascii="Arial" w:cs="Arial" w:eastAsia="Arial" w:hAnsi="Arial"/>
                <w:sz w:val="16"/>
                <w:szCs w:val="16"/>
                <w:color w:val="auto"/>
              </w:rPr>
              <w:t>December 2014</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13,899,727</w:t>
            </w:r>
          </w:p>
        </w:tc>
        <w:tc>
          <w:tcPr>
            <w:tcW w:w="1840" w:type="dxa"/>
            <w:vAlign w:val="bottom"/>
          </w:tcPr>
          <w:p>
            <w:pPr>
              <w:jc w:val="center"/>
              <w:spacing w:after="0"/>
              <w:rPr>
                <w:sz w:val="20"/>
                <w:szCs w:val="20"/>
                <w:color w:val="auto"/>
              </w:rPr>
            </w:pPr>
            <w:r>
              <w:rPr>
                <w:rFonts w:ascii="Arial" w:cs="Arial" w:eastAsia="Arial" w:hAnsi="Arial"/>
                <w:sz w:val="16"/>
                <w:szCs w:val="16"/>
                <w:color w:val="auto"/>
                <w:w w:val="94"/>
              </w:rPr>
              <w:t>91.55</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13,899,727</w:t>
            </w:r>
          </w:p>
        </w:tc>
        <w:tc>
          <w:tcPr>
            <w:tcW w:w="1200" w:type="dxa"/>
            <w:vAlign w:val="bottom"/>
          </w:tcPr>
          <w:p>
            <w:pPr>
              <w:spacing w:after="0"/>
              <w:rPr>
                <w:sz w:val="18"/>
                <w:szCs w:val="18"/>
                <w:color w:val="auto"/>
              </w:rPr>
            </w:pPr>
          </w:p>
        </w:tc>
      </w:tr>
      <w:tr>
        <w:trPr>
          <w:trHeight w:val="189"/>
        </w:trPr>
        <w:tc>
          <w:tcPr>
            <w:tcW w:w="4360" w:type="dxa"/>
            <w:vAlign w:val="bottom"/>
          </w:tcPr>
          <w:p>
            <w:pPr>
              <w:ind w:left="340"/>
              <w:spacing w:after="0"/>
              <w:rPr>
                <w:sz w:val="20"/>
                <w:szCs w:val="20"/>
                <w:color w:val="auto"/>
              </w:rPr>
            </w:pPr>
            <w:r>
              <w:rPr>
                <w:rFonts w:ascii="Arial" w:cs="Arial" w:eastAsia="Arial" w:hAnsi="Arial"/>
                <w:sz w:val="16"/>
                <w:szCs w:val="16"/>
                <w:color w:val="auto"/>
              </w:rPr>
              <w:t>Total</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35,637,160</w:t>
            </w:r>
          </w:p>
        </w:tc>
        <w:tc>
          <w:tcPr>
            <w:tcW w:w="1840" w:type="dxa"/>
            <w:vAlign w:val="bottom"/>
          </w:tcPr>
          <w:p>
            <w:pPr>
              <w:jc w:val="center"/>
              <w:spacing w:after="0"/>
              <w:rPr>
                <w:sz w:val="20"/>
                <w:szCs w:val="20"/>
                <w:color w:val="auto"/>
              </w:rPr>
            </w:pPr>
            <w:r>
              <w:rPr>
                <w:rFonts w:ascii="Arial" w:cs="Arial" w:eastAsia="Arial" w:hAnsi="Arial"/>
                <w:sz w:val="16"/>
                <w:szCs w:val="16"/>
                <w:color w:val="auto"/>
                <w:w w:val="94"/>
              </w:rPr>
              <w:t>93.12</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35,637,160</w:t>
            </w:r>
          </w:p>
        </w:tc>
        <w:tc>
          <w:tcPr>
            <w:tcW w:w="1200" w:type="dxa"/>
            <w:vAlign w:val="bottom"/>
          </w:tcPr>
          <w:p>
            <w:pPr>
              <w:jc w:val="right"/>
              <w:spacing w:after="0"/>
              <w:rPr>
                <w:sz w:val="20"/>
                <w:szCs w:val="20"/>
                <w:color w:val="auto"/>
              </w:rPr>
            </w:pPr>
            <w:r>
              <w:rPr>
                <w:rFonts w:ascii="Arial" w:cs="Arial" w:eastAsia="Arial" w:hAnsi="Arial"/>
                <w:sz w:val="16"/>
                <w:szCs w:val="16"/>
                <w:color w:val="auto"/>
              </w:rPr>
              <w:t>(See note 1</w:t>
            </w:r>
          </w:p>
        </w:tc>
      </w:tr>
    </w:tbl>
    <w:p>
      <w:pPr>
        <w:spacing w:after="0" w:line="282" w:lineRule="exact"/>
        <w:rPr>
          <w:sz w:val="20"/>
          <w:szCs w:val="20"/>
          <w:color w:val="auto"/>
        </w:rPr>
      </w:pPr>
    </w:p>
    <w:p>
      <w:pPr>
        <w:jc w:val="both"/>
        <w:spacing w:after="0" w:line="309" w:lineRule="auto"/>
        <w:rPr>
          <w:sz w:val="20"/>
          <w:szCs w:val="20"/>
          <w:color w:val="auto"/>
        </w:rPr>
      </w:pPr>
      <w:r>
        <w:rPr>
          <w:rFonts w:ascii="Arial" w:cs="Arial" w:eastAsia="Arial" w:hAnsi="Arial"/>
          <w:sz w:val="14"/>
          <w:szCs w:val="14"/>
          <w:color w:val="auto"/>
        </w:rPr>
        <w:t>Note 1 - On August 1, 2000, the Corporation announced its intention to resume purchases of shares of its common stock for the treasury both to offset shares is conjunction with company benefit plans and programs and to gradually reduce the number of shares outstanding. The announcement did not specify an amount or ex date. The Corporation has continued to purchase shares since this announcement and to report purchased volumes in its quarterly earnings releases. In its most recent e release dated February 2, 2015, the Corporation stated that first quarter 2015 share purchases to reduce shares outstanding are anticipated to equal $1 billion. Purchas be made in both the open market and through negotiated transactions, and purchases may be increased, decreased or discontinued at any time without prior notice.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3480" w:type="dxa"/>
            <w:vAlign w:val="bottom"/>
          </w:tcPr>
          <w:p>
            <w:pPr>
              <w:ind w:left="100"/>
              <w:spacing w:after="0"/>
              <w:rPr>
                <w:sz w:val="20"/>
                <w:szCs w:val="20"/>
                <w:color w:val="auto"/>
              </w:rPr>
            </w:pPr>
            <w:r>
              <w:rPr>
                <w:rFonts w:ascii="Arial" w:cs="Arial" w:eastAsia="Arial" w:hAnsi="Arial"/>
                <w:sz w:val="18"/>
                <w:szCs w:val="18"/>
                <w:b w:val="1"/>
                <w:bCs w:val="1"/>
                <w:color w:val="auto"/>
              </w:rPr>
              <w:t>SELECTED FINANCIAL DATA</w:t>
            </w:r>
          </w:p>
        </w:tc>
        <w:tc>
          <w:tcPr>
            <w:tcW w:w="1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64"/>
        </w:trPr>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80" w:type="dxa"/>
            <w:vAlign w:val="bottom"/>
          </w:tcPr>
          <w:p>
            <w:pPr>
              <w:jc w:val="right"/>
              <w:ind w:right="542"/>
              <w:spacing w:after="0"/>
              <w:rPr>
                <w:sz w:val="20"/>
                <w:szCs w:val="20"/>
                <w:color w:val="auto"/>
              </w:rPr>
            </w:pPr>
            <w:r>
              <w:rPr>
                <w:rFonts w:ascii="Arial" w:cs="Arial" w:eastAsia="Arial" w:hAnsi="Arial"/>
                <w:sz w:val="13"/>
                <w:szCs w:val="13"/>
                <w:b w:val="1"/>
                <w:bCs w:val="1"/>
                <w:color w:val="auto"/>
                <w:w w:val="98"/>
              </w:rPr>
              <w:t>Years Ended December 31,</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
        </w:trPr>
        <w:tc>
          <w:tcPr>
            <w:tcW w:w="8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71"/>
        </w:trPr>
        <w:tc>
          <w:tcPr>
            <w:tcW w:w="88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40"/>
              <w:spacing w:after="0"/>
              <w:rPr>
                <w:sz w:val="20"/>
                <w:szCs w:val="20"/>
                <w:color w:val="auto"/>
              </w:rPr>
            </w:pPr>
            <w:r>
              <w:rPr>
                <w:rFonts w:ascii="Arial" w:cs="Arial" w:eastAsia="Arial" w:hAnsi="Arial"/>
                <w:sz w:val="13"/>
                <w:szCs w:val="13"/>
                <w:b w:val="1"/>
                <w:bCs w:val="1"/>
                <w:color w:val="auto"/>
              </w:rPr>
              <w:t>2014</w:t>
            </w:r>
          </w:p>
        </w:tc>
        <w:tc>
          <w:tcPr>
            <w:tcW w:w="122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2013</w:t>
            </w:r>
          </w:p>
        </w:tc>
        <w:tc>
          <w:tcPr>
            <w:tcW w:w="2280" w:type="dxa"/>
            <w:vAlign w:val="bottom"/>
            <w:tcBorders>
              <w:bottom w:val="single" w:sz="8" w:color="auto"/>
            </w:tcBorders>
          </w:tcPr>
          <w:p>
            <w:pPr>
              <w:jc w:val="right"/>
              <w:ind w:right="1082"/>
              <w:spacing w:after="0"/>
              <w:rPr>
                <w:sz w:val="20"/>
                <w:szCs w:val="20"/>
                <w:color w:val="auto"/>
              </w:rPr>
            </w:pPr>
            <w:r>
              <w:rPr>
                <w:rFonts w:ascii="Arial" w:cs="Arial" w:eastAsia="Arial" w:hAnsi="Arial"/>
                <w:sz w:val="13"/>
                <w:szCs w:val="13"/>
                <w:b w:val="1"/>
                <w:bCs w:val="1"/>
                <w:color w:val="auto"/>
              </w:rPr>
              <w:t>2012</w:t>
            </w:r>
          </w:p>
        </w:tc>
        <w:tc>
          <w:tcPr>
            <w:tcW w:w="1120" w:type="dxa"/>
            <w:vAlign w:val="bottom"/>
            <w:tcBorders>
              <w:bottom w:val="single" w:sz="8" w:color="auto"/>
            </w:tcBorders>
          </w:tcPr>
          <w:p>
            <w:pPr>
              <w:jc w:val="right"/>
              <w:ind w:right="660"/>
              <w:spacing w:after="0"/>
              <w:rPr>
                <w:sz w:val="20"/>
                <w:szCs w:val="20"/>
                <w:color w:val="auto"/>
              </w:rPr>
            </w:pPr>
            <w:r>
              <w:rPr>
                <w:rFonts w:ascii="Arial" w:cs="Arial" w:eastAsia="Arial" w:hAnsi="Arial"/>
                <w:sz w:val="13"/>
                <w:szCs w:val="13"/>
                <w:b w:val="1"/>
                <w:bCs w:val="1"/>
                <w:color w:val="auto"/>
              </w:rPr>
              <w:t>2011</w:t>
            </w:r>
          </w:p>
        </w:tc>
        <w:tc>
          <w:tcPr>
            <w:tcW w:w="56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w w:val="82"/>
              </w:rPr>
              <w:t>2</w:t>
            </w:r>
          </w:p>
        </w:tc>
      </w:tr>
      <w:tr>
        <w:trPr>
          <w:trHeight w:val="171"/>
        </w:trPr>
        <w:tc>
          <w:tcPr>
            <w:tcW w:w="8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00" w:type="dxa"/>
            <w:vAlign w:val="bottom"/>
            <w:gridSpan w:val="2"/>
          </w:tcPr>
          <w:p>
            <w:pPr>
              <w:jc w:val="right"/>
              <w:ind w:right="62"/>
              <w:spacing w:after="0"/>
              <w:rPr>
                <w:sz w:val="20"/>
                <w:szCs w:val="20"/>
                <w:color w:val="auto"/>
              </w:rPr>
            </w:pPr>
            <w:r>
              <w:rPr>
                <w:rFonts w:ascii="Arial" w:cs="Arial" w:eastAsia="Arial" w:hAnsi="Arial"/>
                <w:sz w:val="13"/>
                <w:szCs w:val="13"/>
                <w:i w:val="1"/>
                <w:iCs w:val="1"/>
                <w:color w:val="auto"/>
              </w:rPr>
              <w:t>(millions of dollars, except per share amounts)</w:t>
            </w: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403"/>
        </w:trPr>
        <w:tc>
          <w:tcPr>
            <w:tcW w:w="4360" w:type="dxa"/>
            <w:vAlign w:val="bottom"/>
            <w:gridSpan w:val="2"/>
          </w:tcPr>
          <w:p>
            <w:pPr>
              <w:spacing w:after="0"/>
              <w:rPr>
                <w:sz w:val="20"/>
                <w:szCs w:val="20"/>
                <w:color w:val="auto"/>
              </w:rPr>
            </w:pPr>
            <w:r>
              <w:rPr>
                <w:rFonts w:ascii="Arial" w:cs="Arial" w:eastAsia="Arial" w:hAnsi="Arial"/>
                <w:sz w:val="16"/>
                <w:szCs w:val="16"/>
                <w:color w:val="auto"/>
              </w:rPr>
              <w:t xml:space="preserve">Sales and other operating revenue </w:t>
            </w:r>
            <w:r>
              <w:rPr>
                <w:rFonts w:ascii="Arial" w:cs="Arial" w:eastAsia="Arial" w:hAnsi="Arial"/>
                <w:sz w:val="16"/>
                <w:szCs w:val="16"/>
                <w:i w:val="1"/>
                <w:iCs w:val="1"/>
                <w:color w:val="auto"/>
              </w:rPr>
              <w:t>(1)</w:t>
            </w:r>
          </w:p>
        </w:tc>
        <w:tc>
          <w:tcPr>
            <w:tcW w:w="1400" w:type="dxa"/>
            <w:vAlign w:val="bottom"/>
          </w:tcPr>
          <w:p>
            <w:pPr>
              <w:jc w:val="right"/>
              <w:ind w:right="400"/>
              <w:spacing w:after="0"/>
              <w:rPr>
                <w:sz w:val="20"/>
                <w:szCs w:val="20"/>
                <w:color w:val="auto"/>
              </w:rPr>
            </w:pPr>
            <w:r>
              <w:rPr>
                <w:rFonts w:ascii="Arial" w:cs="Arial" w:eastAsia="Arial" w:hAnsi="Arial"/>
                <w:sz w:val="16"/>
                <w:szCs w:val="16"/>
                <w:color w:val="auto"/>
              </w:rPr>
              <w:t>394,105</w:t>
            </w:r>
          </w:p>
        </w:tc>
        <w:tc>
          <w:tcPr>
            <w:tcW w:w="1220" w:type="dxa"/>
            <w:vAlign w:val="bottom"/>
          </w:tcPr>
          <w:p>
            <w:pPr>
              <w:jc w:val="right"/>
              <w:ind w:right="62"/>
              <w:spacing w:after="0"/>
              <w:rPr>
                <w:sz w:val="20"/>
                <w:szCs w:val="20"/>
                <w:color w:val="auto"/>
              </w:rPr>
            </w:pPr>
            <w:r>
              <w:rPr>
                <w:rFonts w:ascii="Arial" w:cs="Arial" w:eastAsia="Arial" w:hAnsi="Arial"/>
                <w:sz w:val="16"/>
                <w:szCs w:val="16"/>
                <w:color w:val="auto"/>
              </w:rPr>
              <w:t>420,836</w:t>
            </w:r>
          </w:p>
        </w:tc>
        <w:tc>
          <w:tcPr>
            <w:tcW w:w="2280" w:type="dxa"/>
            <w:vAlign w:val="bottom"/>
          </w:tcPr>
          <w:p>
            <w:pPr>
              <w:jc w:val="right"/>
              <w:ind w:right="742"/>
              <w:spacing w:after="0"/>
              <w:rPr>
                <w:sz w:val="20"/>
                <w:szCs w:val="20"/>
                <w:color w:val="auto"/>
              </w:rPr>
            </w:pPr>
            <w:r>
              <w:rPr>
                <w:rFonts w:ascii="Arial" w:cs="Arial" w:eastAsia="Arial" w:hAnsi="Arial"/>
                <w:sz w:val="16"/>
                <w:szCs w:val="16"/>
                <w:color w:val="auto"/>
              </w:rPr>
              <w:t>451,509</w:t>
            </w:r>
          </w:p>
        </w:tc>
        <w:tc>
          <w:tcPr>
            <w:tcW w:w="1120" w:type="dxa"/>
            <w:vAlign w:val="bottom"/>
          </w:tcPr>
          <w:p>
            <w:pPr>
              <w:jc w:val="right"/>
              <w:ind w:right="380"/>
              <w:spacing w:after="0"/>
              <w:rPr>
                <w:sz w:val="20"/>
                <w:szCs w:val="20"/>
                <w:color w:val="auto"/>
              </w:rPr>
            </w:pPr>
            <w:r>
              <w:rPr>
                <w:rFonts w:ascii="Arial" w:cs="Arial" w:eastAsia="Arial" w:hAnsi="Arial"/>
                <w:sz w:val="16"/>
                <w:szCs w:val="16"/>
                <w:color w:val="auto"/>
              </w:rPr>
              <w:t>467,029</w:t>
            </w:r>
          </w:p>
        </w:tc>
        <w:tc>
          <w:tcPr>
            <w:tcW w:w="560" w:type="dxa"/>
            <w:vAlign w:val="bottom"/>
          </w:tcPr>
          <w:p>
            <w:pPr>
              <w:ind w:left="480"/>
              <w:spacing w:after="0"/>
              <w:rPr>
                <w:sz w:val="20"/>
                <w:szCs w:val="20"/>
                <w:color w:val="auto"/>
              </w:rPr>
            </w:pPr>
            <w:r>
              <w:rPr>
                <w:rFonts w:ascii="Arial" w:cs="Arial" w:eastAsia="Arial" w:hAnsi="Arial"/>
                <w:sz w:val="15"/>
                <w:szCs w:val="15"/>
                <w:color w:val="auto"/>
                <w:w w:val="71"/>
              </w:rPr>
              <w:t>3</w:t>
            </w:r>
          </w:p>
        </w:tc>
      </w:tr>
      <w:tr>
        <w:trPr>
          <w:trHeight w:val="196"/>
        </w:trPr>
        <w:tc>
          <w:tcPr>
            <w:tcW w:w="4360" w:type="dxa"/>
            <w:vAlign w:val="bottom"/>
            <w:gridSpan w:val="2"/>
          </w:tcPr>
          <w:p>
            <w:pPr>
              <w:ind w:left="420"/>
              <w:spacing w:after="0"/>
              <w:rPr>
                <w:sz w:val="20"/>
                <w:szCs w:val="20"/>
                <w:color w:val="auto"/>
              </w:rPr>
            </w:pPr>
            <w:r>
              <w:rPr>
                <w:rFonts w:ascii="Arial" w:cs="Arial" w:eastAsia="Arial" w:hAnsi="Arial"/>
                <w:sz w:val="16"/>
                <w:szCs w:val="16"/>
                <w:i w:val="1"/>
                <w:iCs w:val="1"/>
                <w:color w:val="auto"/>
              </w:rPr>
              <w:t>(1) Sales-based taxes included</w:t>
            </w:r>
          </w:p>
        </w:tc>
        <w:tc>
          <w:tcPr>
            <w:tcW w:w="1400" w:type="dxa"/>
            <w:vAlign w:val="bottom"/>
          </w:tcPr>
          <w:p>
            <w:pPr>
              <w:jc w:val="right"/>
              <w:ind w:right="400"/>
              <w:spacing w:after="0"/>
              <w:rPr>
                <w:sz w:val="20"/>
                <w:szCs w:val="20"/>
                <w:color w:val="auto"/>
              </w:rPr>
            </w:pPr>
            <w:r>
              <w:rPr>
                <w:rFonts w:ascii="Arial" w:cs="Arial" w:eastAsia="Arial" w:hAnsi="Arial"/>
                <w:sz w:val="16"/>
                <w:szCs w:val="16"/>
                <w:i w:val="1"/>
                <w:iCs w:val="1"/>
                <w:color w:val="auto"/>
              </w:rPr>
              <w:t>29,342</w:t>
            </w:r>
          </w:p>
        </w:tc>
        <w:tc>
          <w:tcPr>
            <w:tcW w:w="1220" w:type="dxa"/>
            <w:vAlign w:val="bottom"/>
          </w:tcPr>
          <w:p>
            <w:pPr>
              <w:jc w:val="right"/>
              <w:ind w:right="82"/>
              <w:spacing w:after="0"/>
              <w:rPr>
                <w:sz w:val="20"/>
                <w:szCs w:val="20"/>
                <w:color w:val="auto"/>
              </w:rPr>
            </w:pPr>
            <w:r>
              <w:rPr>
                <w:rFonts w:ascii="Arial" w:cs="Arial" w:eastAsia="Arial" w:hAnsi="Arial"/>
                <w:sz w:val="16"/>
                <w:szCs w:val="16"/>
                <w:i w:val="1"/>
                <w:iCs w:val="1"/>
                <w:color w:val="auto"/>
              </w:rPr>
              <w:t>30,589</w:t>
            </w:r>
          </w:p>
        </w:tc>
        <w:tc>
          <w:tcPr>
            <w:tcW w:w="2280" w:type="dxa"/>
            <w:vAlign w:val="bottom"/>
          </w:tcPr>
          <w:p>
            <w:pPr>
              <w:jc w:val="right"/>
              <w:ind w:right="762"/>
              <w:spacing w:after="0"/>
              <w:rPr>
                <w:sz w:val="20"/>
                <w:szCs w:val="20"/>
                <w:color w:val="auto"/>
              </w:rPr>
            </w:pPr>
            <w:r>
              <w:rPr>
                <w:rFonts w:ascii="Arial" w:cs="Arial" w:eastAsia="Arial" w:hAnsi="Arial"/>
                <w:sz w:val="16"/>
                <w:szCs w:val="16"/>
                <w:i w:val="1"/>
                <w:iCs w:val="1"/>
                <w:color w:val="auto"/>
              </w:rPr>
              <w:t>32,409</w:t>
            </w:r>
          </w:p>
        </w:tc>
        <w:tc>
          <w:tcPr>
            <w:tcW w:w="1120" w:type="dxa"/>
            <w:vAlign w:val="bottom"/>
          </w:tcPr>
          <w:p>
            <w:pPr>
              <w:jc w:val="right"/>
              <w:ind w:right="400"/>
              <w:spacing w:after="0"/>
              <w:rPr>
                <w:sz w:val="20"/>
                <w:szCs w:val="20"/>
                <w:color w:val="auto"/>
              </w:rPr>
            </w:pPr>
            <w:r>
              <w:rPr>
                <w:rFonts w:ascii="Arial" w:cs="Arial" w:eastAsia="Arial" w:hAnsi="Arial"/>
                <w:sz w:val="16"/>
                <w:szCs w:val="16"/>
                <w:i w:val="1"/>
                <w:iCs w:val="1"/>
                <w:color w:val="auto"/>
              </w:rPr>
              <w:t>33,503</w:t>
            </w:r>
          </w:p>
        </w:tc>
        <w:tc>
          <w:tcPr>
            <w:tcW w:w="560" w:type="dxa"/>
            <w:vAlign w:val="bottom"/>
          </w:tcPr>
          <w:p>
            <w:pPr>
              <w:spacing w:after="0"/>
              <w:rPr>
                <w:sz w:val="17"/>
                <w:szCs w:val="17"/>
                <w:color w:val="auto"/>
              </w:rPr>
            </w:pPr>
          </w:p>
        </w:tc>
      </w:tr>
      <w:tr>
        <w:trPr>
          <w:trHeight w:val="196"/>
        </w:trPr>
        <w:tc>
          <w:tcPr>
            <w:tcW w:w="4360" w:type="dxa"/>
            <w:vAlign w:val="bottom"/>
            <w:gridSpan w:val="2"/>
          </w:tcPr>
          <w:p>
            <w:pPr>
              <w:spacing w:after="0"/>
              <w:rPr>
                <w:sz w:val="20"/>
                <w:szCs w:val="20"/>
                <w:color w:val="auto"/>
              </w:rPr>
            </w:pPr>
            <w:r>
              <w:rPr>
                <w:rFonts w:ascii="Arial" w:cs="Arial" w:eastAsia="Arial" w:hAnsi="Arial"/>
                <w:sz w:val="16"/>
                <w:szCs w:val="16"/>
                <w:color w:val="auto"/>
              </w:rPr>
              <w:t>Net income attributable to ExxonMobil</w:t>
            </w:r>
          </w:p>
        </w:tc>
        <w:tc>
          <w:tcPr>
            <w:tcW w:w="1400" w:type="dxa"/>
            <w:vAlign w:val="bottom"/>
          </w:tcPr>
          <w:p>
            <w:pPr>
              <w:jc w:val="right"/>
              <w:ind w:right="400"/>
              <w:spacing w:after="0"/>
              <w:rPr>
                <w:sz w:val="20"/>
                <w:szCs w:val="20"/>
                <w:color w:val="auto"/>
              </w:rPr>
            </w:pPr>
            <w:r>
              <w:rPr>
                <w:rFonts w:ascii="Arial" w:cs="Arial" w:eastAsia="Arial" w:hAnsi="Arial"/>
                <w:sz w:val="16"/>
                <w:szCs w:val="16"/>
                <w:color w:val="auto"/>
              </w:rPr>
              <w:t>32,520</w:t>
            </w:r>
          </w:p>
        </w:tc>
        <w:tc>
          <w:tcPr>
            <w:tcW w:w="1220" w:type="dxa"/>
            <w:vAlign w:val="bottom"/>
          </w:tcPr>
          <w:p>
            <w:pPr>
              <w:jc w:val="right"/>
              <w:ind w:right="62"/>
              <w:spacing w:after="0"/>
              <w:rPr>
                <w:sz w:val="20"/>
                <w:szCs w:val="20"/>
                <w:color w:val="auto"/>
              </w:rPr>
            </w:pPr>
            <w:r>
              <w:rPr>
                <w:rFonts w:ascii="Arial" w:cs="Arial" w:eastAsia="Arial" w:hAnsi="Arial"/>
                <w:sz w:val="16"/>
                <w:szCs w:val="16"/>
                <w:color w:val="auto"/>
              </w:rPr>
              <w:t>32,580</w:t>
            </w:r>
          </w:p>
        </w:tc>
        <w:tc>
          <w:tcPr>
            <w:tcW w:w="2280" w:type="dxa"/>
            <w:vAlign w:val="bottom"/>
          </w:tcPr>
          <w:p>
            <w:pPr>
              <w:jc w:val="right"/>
              <w:ind w:right="742"/>
              <w:spacing w:after="0"/>
              <w:rPr>
                <w:sz w:val="20"/>
                <w:szCs w:val="20"/>
                <w:color w:val="auto"/>
              </w:rPr>
            </w:pPr>
            <w:r>
              <w:rPr>
                <w:rFonts w:ascii="Arial" w:cs="Arial" w:eastAsia="Arial" w:hAnsi="Arial"/>
                <w:sz w:val="16"/>
                <w:szCs w:val="16"/>
                <w:color w:val="auto"/>
              </w:rPr>
              <w:t>44,880</w:t>
            </w:r>
          </w:p>
        </w:tc>
        <w:tc>
          <w:tcPr>
            <w:tcW w:w="1120" w:type="dxa"/>
            <w:vAlign w:val="bottom"/>
          </w:tcPr>
          <w:p>
            <w:pPr>
              <w:jc w:val="right"/>
              <w:ind w:right="380"/>
              <w:spacing w:after="0"/>
              <w:rPr>
                <w:sz w:val="20"/>
                <w:szCs w:val="20"/>
                <w:color w:val="auto"/>
              </w:rPr>
            </w:pPr>
            <w:r>
              <w:rPr>
                <w:rFonts w:ascii="Arial" w:cs="Arial" w:eastAsia="Arial" w:hAnsi="Arial"/>
                <w:sz w:val="16"/>
                <w:szCs w:val="16"/>
                <w:color w:val="auto"/>
              </w:rPr>
              <w:t>41,060</w:t>
            </w:r>
          </w:p>
        </w:tc>
        <w:tc>
          <w:tcPr>
            <w:tcW w:w="560" w:type="dxa"/>
            <w:vAlign w:val="bottom"/>
          </w:tcPr>
          <w:p>
            <w:pPr>
              <w:spacing w:after="0"/>
              <w:rPr>
                <w:sz w:val="17"/>
                <w:szCs w:val="17"/>
                <w:color w:val="auto"/>
              </w:rPr>
            </w:pPr>
          </w:p>
        </w:tc>
      </w:tr>
      <w:tr>
        <w:trPr>
          <w:trHeight w:val="196"/>
        </w:trPr>
        <w:tc>
          <w:tcPr>
            <w:tcW w:w="4360" w:type="dxa"/>
            <w:vAlign w:val="bottom"/>
            <w:gridSpan w:val="2"/>
          </w:tcPr>
          <w:p>
            <w:pPr>
              <w:spacing w:after="0"/>
              <w:rPr>
                <w:sz w:val="20"/>
                <w:szCs w:val="20"/>
                <w:color w:val="auto"/>
              </w:rPr>
            </w:pPr>
            <w:r>
              <w:rPr>
                <w:rFonts w:ascii="Arial" w:cs="Arial" w:eastAsia="Arial" w:hAnsi="Arial"/>
                <w:sz w:val="16"/>
                <w:szCs w:val="16"/>
                <w:color w:val="auto"/>
              </w:rPr>
              <w:t>Earnings per common share</w:t>
            </w:r>
          </w:p>
        </w:tc>
        <w:tc>
          <w:tcPr>
            <w:tcW w:w="1400" w:type="dxa"/>
            <w:vAlign w:val="bottom"/>
          </w:tcPr>
          <w:p>
            <w:pPr>
              <w:jc w:val="right"/>
              <w:ind w:right="400"/>
              <w:spacing w:after="0"/>
              <w:rPr>
                <w:sz w:val="20"/>
                <w:szCs w:val="20"/>
                <w:color w:val="auto"/>
              </w:rPr>
            </w:pPr>
            <w:r>
              <w:rPr>
                <w:rFonts w:ascii="Arial" w:cs="Arial" w:eastAsia="Arial" w:hAnsi="Arial"/>
                <w:sz w:val="16"/>
                <w:szCs w:val="16"/>
                <w:color w:val="auto"/>
              </w:rPr>
              <w:t>7.60</w:t>
            </w:r>
          </w:p>
        </w:tc>
        <w:tc>
          <w:tcPr>
            <w:tcW w:w="1220" w:type="dxa"/>
            <w:vAlign w:val="bottom"/>
          </w:tcPr>
          <w:p>
            <w:pPr>
              <w:jc w:val="right"/>
              <w:ind w:right="62"/>
              <w:spacing w:after="0"/>
              <w:rPr>
                <w:sz w:val="20"/>
                <w:szCs w:val="20"/>
                <w:color w:val="auto"/>
              </w:rPr>
            </w:pPr>
            <w:r>
              <w:rPr>
                <w:rFonts w:ascii="Arial" w:cs="Arial" w:eastAsia="Arial" w:hAnsi="Arial"/>
                <w:sz w:val="16"/>
                <w:szCs w:val="16"/>
                <w:color w:val="auto"/>
              </w:rPr>
              <w:t>7.37</w:t>
            </w:r>
          </w:p>
        </w:tc>
        <w:tc>
          <w:tcPr>
            <w:tcW w:w="2280" w:type="dxa"/>
            <w:vAlign w:val="bottom"/>
          </w:tcPr>
          <w:p>
            <w:pPr>
              <w:jc w:val="right"/>
              <w:ind w:right="742"/>
              <w:spacing w:after="0"/>
              <w:rPr>
                <w:sz w:val="20"/>
                <w:szCs w:val="20"/>
                <w:color w:val="auto"/>
              </w:rPr>
            </w:pPr>
            <w:r>
              <w:rPr>
                <w:rFonts w:ascii="Arial" w:cs="Arial" w:eastAsia="Arial" w:hAnsi="Arial"/>
                <w:sz w:val="16"/>
                <w:szCs w:val="16"/>
                <w:color w:val="auto"/>
              </w:rPr>
              <w:t>9.70</w:t>
            </w:r>
          </w:p>
        </w:tc>
        <w:tc>
          <w:tcPr>
            <w:tcW w:w="1120" w:type="dxa"/>
            <w:vAlign w:val="bottom"/>
          </w:tcPr>
          <w:p>
            <w:pPr>
              <w:jc w:val="right"/>
              <w:ind w:right="380"/>
              <w:spacing w:after="0"/>
              <w:rPr>
                <w:sz w:val="20"/>
                <w:szCs w:val="20"/>
                <w:color w:val="auto"/>
              </w:rPr>
            </w:pPr>
            <w:r>
              <w:rPr>
                <w:rFonts w:ascii="Arial" w:cs="Arial" w:eastAsia="Arial" w:hAnsi="Arial"/>
                <w:sz w:val="16"/>
                <w:szCs w:val="16"/>
                <w:color w:val="auto"/>
              </w:rPr>
              <w:t>8.43</w:t>
            </w:r>
          </w:p>
        </w:tc>
        <w:tc>
          <w:tcPr>
            <w:tcW w:w="560" w:type="dxa"/>
            <w:vAlign w:val="bottom"/>
          </w:tcPr>
          <w:p>
            <w:pPr>
              <w:spacing w:after="0"/>
              <w:rPr>
                <w:sz w:val="17"/>
                <w:szCs w:val="17"/>
                <w:color w:val="auto"/>
              </w:rPr>
            </w:pPr>
          </w:p>
        </w:tc>
      </w:tr>
      <w:tr>
        <w:trPr>
          <w:trHeight w:val="196"/>
        </w:trPr>
        <w:tc>
          <w:tcPr>
            <w:tcW w:w="4360" w:type="dxa"/>
            <w:vAlign w:val="bottom"/>
            <w:gridSpan w:val="2"/>
          </w:tcPr>
          <w:p>
            <w:pPr>
              <w:spacing w:after="0"/>
              <w:rPr>
                <w:sz w:val="20"/>
                <w:szCs w:val="20"/>
                <w:color w:val="auto"/>
              </w:rPr>
            </w:pPr>
            <w:r>
              <w:rPr>
                <w:rFonts w:ascii="Arial" w:cs="Arial" w:eastAsia="Arial" w:hAnsi="Arial"/>
                <w:sz w:val="16"/>
                <w:szCs w:val="16"/>
                <w:color w:val="auto"/>
              </w:rPr>
              <w:t>Earnings per common share - assuming dilution</w:t>
            </w:r>
          </w:p>
        </w:tc>
        <w:tc>
          <w:tcPr>
            <w:tcW w:w="1400" w:type="dxa"/>
            <w:vAlign w:val="bottom"/>
          </w:tcPr>
          <w:p>
            <w:pPr>
              <w:jc w:val="right"/>
              <w:ind w:right="400"/>
              <w:spacing w:after="0"/>
              <w:rPr>
                <w:sz w:val="20"/>
                <w:szCs w:val="20"/>
                <w:color w:val="auto"/>
              </w:rPr>
            </w:pPr>
            <w:r>
              <w:rPr>
                <w:rFonts w:ascii="Arial" w:cs="Arial" w:eastAsia="Arial" w:hAnsi="Arial"/>
                <w:sz w:val="16"/>
                <w:szCs w:val="16"/>
                <w:color w:val="auto"/>
              </w:rPr>
              <w:t>7.60</w:t>
            </w:r>
          </w:p>
        </w:tc>
        <w:tc>
          <w:tcPr>
            <w:tcW w:w="1220" w:type="dxa"/>
            <w:vAlign w:val="bottom"/>
          </w:tcPr>
          <w:p>
            <w:pPr>
              <w:jc w:val="right"/>
              <w:ind w:right="62"/>
              <w:spacing w:after="0"/>
              <w:rPr>
                <w:sz w:val="20"/>
                <w:szCs w:val="20"/>
                <w:color w:val="auto"/>
              </w:rPr>
            </w:pPr>
            <w:r>
              <w:rPr>
                <w:rFonts w:ascii="Arial" w:cs="Arial" w:eastAsia="Arial" w:hAnsi="Arial"/>
                <w:sz w:val="16"/>
                <w:szCs w:val="16"/>
                <w:color w:val="auto"/>
              </w:rPr>
              <w:t>7.37</w:t>
            </w:r>
          </w:p>
        </w:tc>
        <w:tc>
          <w:tcPr>
            <w:tcW w:w="2280" w:type="dxa"/>
            <w:vAlign w:val="bottom"/>
          </w:tcPr>
          <w:p>
            <w:pPr>
              <w:jc w:val="right"/>
              <w:ind w:right="742"/>
              <w:spacing w:after="0"/>
              <w:rPr>
                <w:sz w:val="20"/>
                <w:szCs w:val="20"/>
                <w:color w:val="auto"/>
              </w:rPr>
            </w:pPr>
            <w:r>
              <w:rPr>
                <w:rFonts w:ascii="Arial" w:cs="Arial" w:eastAsia="Arial" w:hAnsi="Arial"/>
                <w:sz w:val="16"/>
                <w:szCs w:val="16"/>
                <w:color w:val="auto"/>
              </w:rPr>
              <w:t>9.70</w:t>
            </w:r>
          </w:p>
        </w:tc>
        <w:tc>
          <w:tcPr>
            <w:tcW w:w="1120" w:type="dxa"/>
            <w:vAlign w:val="bottom"/>
          </w:tcPr>
          <w:p>
            <w:pPr>
              <w:jc w:val="right"/>
              <w:ind w:right="380"/>
              <w:spacing w:after="0"/>
              <w:rPr>
                <w:sz w:val="20"/>
                <w:szCs w:val="20"/>
                <w:color w:val="auto"/>
              </w:rPr>
            </w:pPr>
            <w:r>
              <w:rPr>
                <w:rFonts w:ascii="Arial" w:cs="Arial" w:eastAsia="Arial" w:hAnsi="Arial"/>
                <w:sz w:val="16"/>
                <w:szCs w:val="16"/>
                <w:color w:val="auto"/>
              </w:rPr>
              <w:t>8.42</w:t>
            </w:r>
          </w:p>
        </w:tc>
        <w:tc>
          <w:tcPr>
            <w:tcW w:w="560" w:type="dxa"/>
            <w:vAlign w:val="bottom"/>
          </w:tcPr>
          <w:p>
            <w:pPr>
              <w:spacing w:after="0"/>
              <w:rPr>
                <w:sz w:val="17"/>
                <w:szCs w:val="17"/>
                <w:color w:val="auto"/>
              </w:rPr>
            </w:pPr>
          </w:p>
        </w:tc>
      </w:tr>
      <w:tr>
        <w:trPr>
          <w:trHeight w:val="196"/>
        </w:trPr>
        <w:tc>
          <w:tcPr>
            <w:tcW w:w="4360" w:type="dxa"/>
            <w:vAlign w:val="bottom"/>
            <w:gridSpan w:val="2"/>
          </w:tcPr>
          <w:p>
            <w:pPr>
              <w:spacing w:after="0"/>
              <w:rPr>
                <w:sz w:val="20"/>
                <w:szCs w:val="20"/>
                <w:color w:val="auto"/>
              </w:rPr>
            </w:pPr>
            <w:r>
              <w:rPr>
                <w:rFonts w:ascii="Arial" w:cs="Arial" w:eastAsia="Arial" w:hAnsi="Arial"/>
                <w:sz w:val="16"/>
                <w:szCs w:val="16"/>
                <w:color w:val="auto"/>
              </w:rPr>
              <w:t>Cash dividends per common share</w:t>
            </w:r>
          </w:p>
        </w:tc>
        <w:tc>
          <w:tcPr>
            <w:tcW w:w="1400" w:type="dxa"/>
            <w:vAlign w:val="bottom"/>
          </w:tcPr>
          <w:p>
            <w:pPr>
              <w:jc w:val="right"/>
              <w:ind w:right="400"/>
              <w:spacing w:after="0"/>
              <w:rPr>
                <w:sz w:val="20"/>
                <w:szCs w:val="20"/>
                <w:color w:val="auto"/>
              </w:rPr>
            </w:pPr>
            <w:r>
              <w:rPr>
                <w:rFonts w:ascii="Arial" w:cs="Arial" w:eastAsia="Arial" w:hAnsi="Arial"/>
                <w:sz w:val="16"/>
                <w:szCs w:val="16"/>
                <w:color w:val="auto"/>
              </w:rPr>
              <w:t>2.70</w:t>
            </w:r>
          </w:p>
        </w:tc>
        <w:tc>
          <w:tcPr>
            <w:tcW w:w="1220" w:type="dxa"/>
            <w:vAlign w:val="bottom"/>
          </w:tcPr>
          <w:p>
            <w:pPr>
              <w:jc w:val="right"/>
              <w:ind w:right="62"/>
              <w:spacing w:after="0"/>
              <w:rPr>
                <w:sz w:val="20"/>
                <w:szCs w:val="20"/>
                <w:color w:val="auto"/>
              </w:rPr>
            </w:pPr>
            <w:r>
              <w:rPr>
                <w:rFonts w:ascii="Arial" w:cs="Arial" w:eastAsia="Arial" w:hAnsi="Arial"/>
                <w:sz w:val="16"/>
                <w:szCs w:val="16"/>
                <w:color w:val="auto"/>
              </w:rPr>
              <w:t>2.46</w:t>
            </w:r>
          </w:p>
        </w:tc>
        <w:tc>
          <w:tcPr>
            <w:tcW w:w="2280" w:type="dxa"/>
            <w:vAlign w:val="bottom"/>
          </w:tcPr>
          <w:p>
            <w:pPr>
              <w:jc w:val="right"/>
              <w:ind w:right="742"/>
              <w:spacing w:after="0"/>
              <w:rPr>
                <w:sz w:val="20"/>
                <w:szCs w:val="20"/>
                <w:color w:val="auto"/>
              </w:rPr>
            </w:pPr>
            <w:r>
              <w:rPr>
                <w:rFonts w:ascii="Arial" w:cs="Arial" w:eastAsia="Arial" w:hAnsi="Arial"/>
                <w:sz w:val="16"/>
                <w:szCs w:val="16"/>
                <w:color w:val="auto"/>
              </w:rPr>
              <w:t>2.18</w:t>
            </w:r>
          </w:p>
        </w:tc>
        <w:tc>
          <w:tcPr>
            <w:tcW w:w="1120" w:type="dxa"/>
            <w:vAlign w:val="bottom"/>
          </w:tcPr>
          <w:p>
            <w:pPr>
              <w:jc w:val="right"/>
              <w:ind w:right="380"/>
              <w:spacing w:after="0"/>
              <w:rPr>
                <w:sz w:val="20"/>
                <w:szCs w:val="20"/>
                <w:color w:val="auto"/>
              </w:rPr>
            </w:pPr>
            <w:r>
              <w:rPr>
                <w:rFonts w:ascii="Arial" w:cs="Arial" w:eastAsia="Arial" w:hAnsi="Arial"/>
                <w:sz w:val="16"/>
                <w:szCs w:val="16"/>
                <w:color w:val="auto"/>
              </w:rPr>
              <w:t>1.85</w:t>
            </w:r>
          </w:p>
        </w:tc>
        <w:tc>
          <w:tcPr>
            <w:tcW w:w="560" w:type="dxa"/>
            <w:vAlign w:val="bottom"/>
          </w:tcPr>
          <w:p>
            <w:pPr>
              <w:spacing w:after="0"/>
              <w:rPr>
                <w:sz w:val="17"/>
                <w:szCs w:val="17"/>
                <w:color w:val="auto"/>
              </w:rPr>
            </w:pPr>
          </w:p>
        </w:tc>
      </w:tr>
      <w:tr>
        <w:trPr>
          <w:trHeight w:val="196"/>
        </w:trPr>
        <w:tc>
          <w:tcPr>
            <w:tcW w:w="880" w:type="dxa"/>
            <w:vAlign w:val="bottom"/>
          </w:tcPr>
          <w:p>
            <w:pPr>
              <w:spacing w:after="0"/>
              <w:rPr>
                <w:sz w:val="20"/>
                <w:szCs w:val="20"/>
                <w:color w:val="auto"/>
              </w:rPr>
            </w:pPr>
            <w:r>
              <w:rPr>
                <w:rFonts w:ascii="Arial" w:cs="Arial" w:eastAsia="Arial" w:hAnsi="Arial"/>
                <w:sz w:val="16"/>
                <w:szCs w:val="16"/>
                <w:color w:val="auto"/>
                <w:w w:val="99"/>
              </w:rPr>
              <w:t>Total assets</w:t>
            </w:r>
          </w:p>
        </w:tc>
        <w:tc>
          <w:tcPr>
            <w:tcW w:w="3480" w:type="dxa"/>
            <w:vAlign w:val="bottom"/>
          </w:tcPr>
          <w:p>
            <w:pPr>
              <w:spacing w:after="0"/>
              <w:rPr>
                <w:sz w:val="17"/>
                <w:szCs w:val="17"/>
                <w:color w:val="auto"/>
              </w:rPr>
            </w:pPr>
          </w:p>
        </w:tc>
        <w:tc>
          <w:tcPr>
            <w:tcW w:w="1400" w:type="dxa"/>
            <w:vAlign w:val="bottom"/>
          </w:tcPr>
          <w:p>
            <w:pPr>
              <w:jc w:val="right"/>
              <w:ind w:right="400"/>
              <w:spacing w:after="0"/>
              <w:rPr>
                <w:sz w:val="20"/>
                <w:szCs w:val="20"/>
                <w:color w:val="auto"/>
              </w:rPr>
            </w:pPr>
            <w:r>
              <w:rPr>
                <w:rFonts w:ascii="Arial" w:cs="Arial" w:eastAsia="Arial" w:hAnsi="Arial"/>
                <w:sz w:val="16"/>
                <w:szCs w:val="16"/>
                <w:color w:val="auto"/>
              </w:rPr>
              <w:t>349,493</w:t>
            </w:r>
          </w:p>
        </w:tc>
        <w:tc>
          <w:tcPr>
            <w:tcW w:w="1220" w:type="dxa"/>
            <w:vAlign w:val="bottom"/>
          </w:tcPr>
          <w:p>
            <w:pPr>
              <w:jc w:val="right"/>
              <w:ind w:right="62"/>
              <w:spacing w:after="0"/>
              <w:rPr>
                <w:sz w:val="20"/>
                <w:szCs w:val="20"/>
                <w:color w:val="auto"/>
              </w:rPr>
            </w:pPr>
            <w:r>
              <w:rPr>
                <w:rFonts w:ascii="Arial" w:cs="Arial" w:eastAsia="Arial" w:hAnsi="Arial"/>
                <w:sz w:val="16"/>
                <w:szCs w:val="16"/>
                <w:color w:val="auto"/>
              </w:rPr>
              <w:t>346,808</w:t>
            </w:r>
          </w:p>
        </w:tc>
        <w:tc>
          <w:tcPr>
            <w:tcW w:w="2280" w:type="dxa"/>
            <w:vAlign w:val="bottom"/>
          </w:tcPr>
          <w:p>
            <w:pPr>
              <w:jc w:val="right"/>
              <w:ind w:right="742"/>
              <w:spacing w:after="0"/>
              <w:rPr>
                <w:sz w:val="20"/>
                <w:szCs w:val="20"/>
                <w:color w:val="auto"/>
              </w:rPr>
            </w:pPr>
            <w:r>
              <w:rPr>
                <w:rFonts w:ascii="Arial" w:cs="Arial" w:eastAsia="Arial" w:hAnsi="Arial"/>
                <w:sz w:val="16"/>
                <w:szCs w:val="16"/>
                <w:color w:val="auto"/>
              </w:rPr>
              <w:t>333,795</w:t>
            </w:r>
          </w:p>
        </w:tc>
        <w:tc>
          <w:tcPr>
            <w:tcW w:w="1120" w:type="dxa"/>
            <w:vAlign w:val="bottom"/>
          </w:tcPr>
          <w:p>
            <w:pPr>
              <w:jc w:val="right"/>
              <w:ind w:right="380"/>
              <w:spacing w:after="0"/>
              <w:rPr>
                <w:sz w:val="20"/>
                <w:szCs w:val="20"/>
                <w:color w:val="auto"/>
              </w:rPr>
            </w:pPr>
            <w:r>
              <w:rPr>
                <w:rFonts w:ascii="Arial" w:cs="Arial" w:eastAsia="Arial" w:hAnsi="Arial"/>
                <w:sz w:val="16"/>
                <w:szCs w:val="16"/>
                <w:color w:val="auto"/>
              </w:rPr>
              <w:t>331,052</w:t>
            </w:r>
          </w:p>
        </w:tc>
        <w:tc>
          <w:tcPr>
            <w:tcW w:w="560" w:type="dxa"/>
            <w:vAlign w:val="bottom"/>
          </w:tcPr>
          <w:p>
            <w:pPr>
              <w:ind w:left="480"/>
              <w:spacing w:after="0"/>
              <w:rPr>
                <w:sz w:val="20"/>
                <w:szCs w:val="20"/>
                <w:color w:val="auto"/>
              </w:rPr>
            </w:pPr>
            <w:r>
              <w:rPr>
                <w:rFonts w:ascii="Arial" w:cs="Arial" w:eastAsia="Arial" w:hAnsi="Arial"/>
                <w:sz w:val="15"/>
                <w:szCs w:val="15"/>
                <w:color w:val="auto"/>
                <w:w w:val="71"/>
              </w:rPr>
              <w:t>3</w:t>
            </w:r>
          </w:p>
        </w:tc>
      </w:tr>
      <w:tr>
        <w:trPr>
          <w:trHeight w:val="208"/>
        </w:trPr>
        <w:tc>
          <w:tcPr>
            <w:tcW w:w="436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1400" w:type="dxa"/>
            <w:vAlign w:val="bottom"/>
          </w:tcPr>
          <w:p>
            <w:pPr>
              <w:jc w:val="right"/>
              <w:ind w:right="400"/>
              <w:spacing w:after="0"/>
              <w:rPr>
                <w:sz w:val="20"/>
                <w:szCs w:val="20"/>
                <w:color w:val="auto"/>
              </w:rPr>
            </w:pPr>
            <w:r>
              <w:rPr>
                <w:rFonts w:ascii="Arial" w:cs="Arial" w:eastAsia="Arial" w:hAnsi="Arial"/>
                <w:sz w:val="16"/>
                <w:szCs w:val="16"/>
                <w:color w:val="auto"/>
              </w:rPr>
              <w:t>11,653</w:t>
            </w:r>
          </w:p>
        </w:tc>
        <w:tc>
          <w:tcPr>
            <w:tcW w:w="1220" w:type="dxa"/>
            <w:vAlign w:val="bottom"/>
          </w:tcPr>
          <w:p>
            <w:pPr>
              <w:jc w:val="right"/>
              <w:ind w:right="62"/>
              <w:spacing w:after="0"/>
              <w:rPr>
                <w:sz w:val="20"/>
                <w:szCs w:val="20"/>
                <w:color w:val="auto"/>
              </w:rPr>
            </w:pPr>
            <w:r>
              <w:rPr>
                <w:rFonts w:ascii="Arial" w:cs="Arial" w:eastAsia="Arial" w:hAnsi="Arial"/>
                <w:sz w:val="16"/>
                <w:szCs w:val="16"/>
                <w:color w:val="auto"/>
              </w:rPr>
              <w:t>6,891</w:t>
            </w:r>
          </w:p>
        </w:tc>
        <w:tc>
          <w:tcPr>
            <w:tcW w:w="2280" w:type="dxa"/>
            <w:vAlign w:val="bottom"/>
          </w:tcPr>
          <w:p>
            <w:pPr>
              <w:jc w:val="right"/>
              <w:ind w:right="742"/>
              <w:spacing w:after="0"/>
              <w:rPr>
                <w:sz w:val="20"/>
                <w:szCs w:val="20"/>
                <w:color w:val="auto"/>
              </w:rPr>
            </w:pPr>
            <w:r>
              <w:rPr>
                <w:rFonts w:ascii="Arial" w:cs="Arial" w:eastAsia="Arial" w:hAnsi="Arial"/>
                <w:sz w:val="16"/>
                <w:szCs w:val="16"/>
                <w:color w:val="auto"/>
              </w:rPr>
              <w:t>7,928</w:t>
            </w:r>
          </w:p>
        </w:tc>
        <w:tc>
          <w:tcPr>
            <w:tcW w:w="1120" w:type="dxa"/>
            <w:vAlign w:val="bottom"/>
          </w:tcPr>
          <w:p>
            <w:pPr>
              <w:jc w:val="right"/>
              <w:ind w:right="380"/>
              <w:spacing w:after="0"/>
              <w:rPr>
                <w:sz w:val="20"/>
                <w:szCs w:val="20"/>
                <w:color w:val="auto"/>
              </w:rPr>
            </w:pPr>
            <w:r>
              <w:rPr>
                <w:rFonts w:ascii="Arial" w:cs="Arial" w:eastAsia="Arial" w:hAnsi="Arial"/>
                <w:sz w:val="16"/>
                <w:szCs w:val="16"/>
                <w:color w:val="auto"/>
              </w:rPr>
              <w:t>9,322</w:t>
            </w:r>
          </w:p>
        </w:tc>
        <w:tc>
          <w:tcPr>
            <w:tcW w:w="560" w:type="dxa"/>
            <w:vAlign w:val="bottom"/>
          </w:tcPr>
          <w:p>
            <w:pPr>
              <w:spacing w:after="0"/>
              <w:rPr>
                <w:sz w:val="18"/>
                <w:szCs w:val="18"/>
                <w:color w:val="auto"/>
              </w:rPr>
            </w:pPr>
          </w:p>
        </w:tc>
      </w:tr>
    </w:tbl>
    <w:p>
      <w:pPr>
        <w:spacing w:after="0" w:line="39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Reference is made to the section entitled “Management’s Discussion and Analysis of Financial Condition and Results of Operations” in the Financial Section of this re</w:t>
      </w:r>
    </w:p>
    <w:p>
      <w:pPr>
        <w:spacing w:after="0" w:line="24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Reference is made to the section entitled “Market Risks, Inflation and Other Uncertainties”, excluding the part entitled “Inflation and Other Uncertainties,” in the Fi Section of this report. All statements other than historical information incorporated in this Item 7A are forward-looking statements. The actual impact of future changes could differ materially due to, among other things, factors discussed in this report.</w:t>
      </w:r>
    </w:p>
    <w:p>
      <w:pPr>
        <w:spacing w:after="0" w:line="1"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641" w:right="139" w:bottom="1440" w:gutter="0" w:footer="0" w:header="0"/>
        </w:sectPr>
      </w:pPr>
    </w:p>
    <w:bookmarkStart w:id="32" w:name="page33"/>
    <w:bookmarkEnd w:id="32"/>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Reference is made to the following in the Financial Section of this report:</w:t>
      </w:r>
    </w:p>
    <w:p>
      <w:pPr>
        <w:spacing w:after="0" w:line="86" w:lineRule="exact"/>
        <w:rPr>
          <w:sz w:val="20"/>
          <w:szCs w:val="20"/>
          <w:color w:val="auto"/>
        </w:rPr>
      </w:pPr>
    </w:p>
    <w:p>
      <w:pPr>
        <w:ind w:left="720" w:right="60" w:hanging="514"/>
        <w:spacing w:after="0" w:line="280" w:lineRule="auto"/>
        <w:tabs>
          <w:tab w:leader="none" w:pos="7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Consolidated financial statements, together with the report thereon of PricewaterhouseCoopers LLP dated February 25, 2015, beginning with the section “Report of Independent Registered Public Accounting Firm” and continuing through “Note 19: Income, Sales-Based and Other Taxes”;</w:t>
      </w:r>
    </w:p>
    <w:p>
      <w:pPr>
        <w:spacing w:after="0" w:line="1" w:lineRule="exact"/>
        <w:rPr>
          <w:rFonts w:ascii="Arial" w:cs="Arial" w:eastAsia="Arial" w:hAnsi="Arial"/>
          <w:sz w:val="15"/>
          <w:szCs w:val="15"/>
          <w:color w:val="auto"/>
        </w:rPr>
      </w:pPr>
    </w:p>
    <w:p>
      <w:pPr>
        <w:ind w:left="720" w:hanging="514"/>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“Quarterly Information” (unaudited);</w:t>
      </w:r>
    </w:p>
    <w:p>
      <w:pPr>
        <w:spacing w:after="0" w:line="12" w:lineRule="exact"/>
        <w:rPr>
          <w:rFonts w:ascii="Arial" w:cs="Arial" w:eastAsia="Arial" w:hAnsi="Arial"/>
          <w:sz w:val="16"/>
          <w:szCs w:val="16"/>
          <w:color w:val="auto"/>
        </w:rPr>
      </w:pPr>
    </w:p>
    <w:p>
      <w:pPr>
        <w:ind w:left="720" w:hanging="514"/>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“Supplemental Information on Oil and Gas Exploration and Production Activities” (unaudited); and</w:t>
      </w:r>
    </w:p>
    <w:p>
      <w:pPr>
        <w:spacing w:after="0" w:line="12" w:lineRule="exact"/>
        <w:rPr>
          <w:rFonts w:ascii="Arial" w:cs="Arial" w:eastAsia="Arial" w:hAnsi="Arial"/>
          <w:sz w:val="16"/>
          <w:szCs w:val="16"/>
          <w:color w:val="auto"/>
        </w:rPr>
      </w:pPr>
    </w:p>
    <w:p>
      <w:pPr>
        <w:ind w:left="720" w:hanging="514"/>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“Frequently Used Terms” (unaudited).</w:t>
      </w:r>
    </w:p>
    <w:p>
      <w:pPr>
        <w:spacing w:after="0" w:line="74" w:lineRule="exact"/>
        <w:rPr>
          <w:sz w:val="20"/>
          <w:szCs w:val="20"/>
          <w:color w:val="auto"/>
        </w:rPr>
      </w:pPr>
    </w:p>
    <w:p>
      <w:pPr>
        <w:ind w:right="100" w:firstLine="200"/>
        <w:spacing w:after="0" w:line="286" w:lineRule="auto"/>
        <w:rPr>
          <w:sz w:val="20"/>
          <w:szCs w:val="20"/>
          <w:color w:val="auto"/>
        </w:rPr>
      </w:pPr>
      <w:r>
        <w:rPr>
          <w:rFonts w:ascii="Arial" w:cs="Arial" w:eastAsia="Arial" w:hAnsi="Arial"/>
          <w:sz w:val="16"/>
          <w:szCs w:val="16"/>
          <w:color w:val="auto"/>
        </w:rPr>
        <w:t>Financial Statement Schedules have been omitted because they are not applicable or the required information is shown in the consolidated financial statements thereto.</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Evaluation of Disclosure Controls and Procedures</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indicated in the certifications in Exhibit 31 of this report, the Corporation’s Chief Executive Officer, Principal Financial Officer and Principal Accounting Offic evaluated the Corporation’s disclosure controls and procedures as of December 31, 2014. Based on that evaluation, these officers have concluded that the Corpo disclosure controls and procedures are effective in ensuring that information required to be disclosed by the Corporation in the reports that it files or submits un Securities Exchange Act of 1934, as amended, is accumulated and communicated to them in a manner that allows for timely decisions regarding required disclosures effective in ensuring that such information is recorded, processed, summarized and reported within the time periods specified in the Securities and Exchange Comm rules and forms.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Management, including the Corporation’s Chief Executive Officer, Principal Financial Officer and Principal Accounting Officer, is responsible for establishi maintaining adequate internal control over the Corporation’s financial reporting. Management conducted an evaluation of the effectiveness of internal control over fi reporting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 Commission. Based on this evaluation, management concluded that Exxon Mobil Corporation’s internal control over financial reporting was effective as of Decem 2014.</w:t>
      </w:r>
    </w:p>
    <w:p>
      <w:pPr>
        <w:spacing w:after="0" w:line="119" w:lineRule="exact"/>
        <w:rPr>
          <w:sz w:val="20"/>
          <w:szCs w:val="20"/>
          <w:color w:val="auto"/>
        </w:rPr>
      </w:pPr>
    </w:p>
    <w:p>
      <w:pPr>
        <w:jc w:val="both"/>
        <w:ind w:firstLine="200"/>
        <w:spacing w:after="0" w:line="286" w:lineRule="auto"/>
        <w:rPr>
          <w:sz w:val="20"/>
          <w:szCs w:val="20"/>
          <w:color w:val="auto"/>
        </w:rPr>
      </w:pPr>
      <w:r>
        <w:rPr>
          <w:rFonts w:ascii="Arial" w:cs="Arial" w:eastAsia="Arial" w:hAnsi="Arial"/>
          <w:sz w:val="16"/>
          <w:szCs w:val="16"/>
          <w:color w:val="auto"/>
        </w:rPr>
        <w:t>PricewaterhouseCoopers LLP, an independent registered public accounting firm, audited the effectiveness of the Corporation’s internal control over financial repo of December 31, 2014, as stated in their report included in the Financial Section of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9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There were no changes during the Corporation’s last fiscal quarter that materially affected, or are reasonably likely to materially affect, the Corporation’s internal cont financial reporting.</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9B.</w:t>
        <w:tab/>
        <w:t>OTHER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33"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646" w:right="139" w:bottom="1440" w:gutter="0" w:footer="0" w:header="0"/>
        </w:sectPr>
      </w:pPr>
    </w:p>
    <w:bookmarkStart w:id="33" w:name="page34"/>
    <w:bookmarkEnd w:id="33"/>
    <w:p>
      <w:pPr>
        <w:jc w:val="center"/>
        <w:ind w:left="1180"/>
        <w:spacing w:after="0"/>
        <w:rPr>
          <w:sz w:val="20"/>
          <w:szCs w:val="20"/>
          <w:color w:val="auto"/>
        </w:rPr>
      </w:pPr>
      <w:r>
        <w:rPr>
          <w:rFonts w:ascii="Arial" w:cs="Arial" w:eastAsia="Arial" w:hAnsi="Arial"/>
          <w:sz w:val="20"/>
          <w:szCs w:val="20"/>
          <w:b w:val="1"/>
          <w:bCs w:val="1"/>
          <w:color w:val="auto"/>
        </w:rPr>
        <w:t>PART III</w:t>
      </w:r>
    </w:p>
    <w:p>
      <w:pPr>
        <w:spacing w:after="0" w:line="2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 to the following from the registrant’s definitive proxy statement for the 2015 annual meeting of shareholders (the “2015 Proxy Statement”):</w:t>
      </w:r>
    </w:p>
    <w:p>
      <w:pPr>
        <w:spacing w:after="0" w:line="97" w:lineRule="exact"/>
        <w:rPr>
          <w:sz w:val="20"/>
          <w:szCs w:val="20"/>
          <w:color w:val="auto"/>
        </w:rPr>
      </w:pPr>
    </w:p>
    <w:p>
      <w:pPr>
        <w:ind w:left="1000" w:hanging="706"/>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section entitled “Election of Directors”;</w:t>
      </w:r>
    </w:p>
    <w:p>
      <w:pPr>
        <w:spacing w:after="0" w:line="23" w:lineRule="exact"/>
        <w:rPr>
          <w:rFonts w:ascii="Arial" w:cs="Arial" w:eastAsia="Arial" w:hAnsi="Arial"/>
          <w:sz w:val="16"/>
          <w:szCs w:val="16"/>
          <w:color w:val="auto"/>
        </w:rPr>
      </w:pPr>
    </w:p>
    <w:p>
      <w:pPr>
        <w:ind w:left="1000" w:hanging="706"/>
        <w:spacing w:after="0"/>
        <w:tabs>
          <w:tab w:leader="none" w:pos="10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portion entitled “Section 16(a) Beneficial Ownership Reporting Compliance” of the section entitled “Director and Executive Officer Stock Owners</w:t>
      </w:r>
    </w:p>
    <w:p>
      <w:pPr>
        <w:spacing w:after="0" w:line="23" w:lineRule="exact"/>
        <w:rPr>
          <w:rFonts w:ascii="Arial" w:cs="Arial" w:eastAsia="Arial" w:hAnsi="Arial"/>
          <w:sz w:val="15"/>
          <w:szCs w:val="15"/>
          <w:color w:val="auto"/>
        </w:rPr>
      </w:pPr>
    </w:p>
    <w:p>
      <w:pPr>
        <w:ind w:left="1000" w:hanging="706"/>
        <w:spacing w:after="0"/>
        <w:tabs>
          <w:tab w:leader="none" w:pos="10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portions entitled “Director Qualifications” and “Code of Ethics and Business Conduct” of the section entitled “Corporate Governance”; and</w:t>
      </w:r>
    </w:p>
    <w:p>
      <w:pPr>
        <w:spacing w:after="0" w:line="23" w:lineRule="exact"/>
        <w:rPr>
          <w:rFonts w:ascii="Arial" w:cs="Arial" w:eastAsia="Arial" w:hAnsi="Arial"/>
          <w:sz w:val="15"/>
          <w:szCs w:val="15"/>
          <w:color w:val="auto"/>
        </w:rPr>
      </w:pPr>
    </w:p>
    <w:p>
      <w:pPr>
        <w:ind w:left="1000" w:right="60" w:hanging="706"/>
        <w:spacing w:after="0" w:line="271"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“Audit Committee” portion and the membership table of the portion entitled “Board Meetings and Committees; Annual Meeting Attendance” section entitled “Corporate Governance”.</w:t>
      </w:r>
    </w:p>
    <w:p>
      <w:pPr>
        <w:spacing w:after="0" w:line="25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Incorporated by reference to the sections entitled “Director Compensation,” “Compensation Committee Report,” “Compensation Discussion and Analysis” and “Ex Compensation Tables” of the registrant’s 2015 Proxy Statement.</w:t>
      </w:r>
    </w:p>
    <w:p>
      <w:pPr>
        <w:spacing w:after="0" w:line="166" w:lineRule="exact"/>
        <w:rPr>
          <w:sz w:val="20"/>
          <w:szCs w:val="20"/>
          <w:color w:val="auto"/>
        </w:rPr>
      </w:pPr>
    </w:p>
    <w:p>
      <w:pPr>
        <w:ind w:left="980" w:right="100" w:hanging="1034"/>
        <w:spacing w:after="0" w:line="27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information required under Item 403 of Regulation S-K is incorporated by reference to the sections “Director and Executive Officer Stock Ownership” and “ Beneficial Owners” of the registrant’s 2015 Proxy Statement.</w:t>
      </w:r>
    </w:p>
    <w:p>
      <w:pPr>
        <w:spacing w:after="0" w:line="146" w:lineRule="exact"/>
        <w:rPr>
          <w:sz w:val="20"/>
          <w:szCs w:val="20"/>
          <w:color w:val="auto"/>
        </w:rPr>
      </w:pPr>
    </w:p>
    <w:p>
      <w:pPr>
        <w:ind w:left="4340"/>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680" w:type="dxa"/>
            <w:vAlign w:val="bottom"/>
            <w:tcBorders>
              <w:top w:val="single" w:sz="8" w:color="auto"/>
            </w:tcBorders>
          </w:tcPr>
          <w:p>
            <w:pPr>
              <w:spacing w:after="0"/>
              <w:rPr>
                <w:sz w:val="14"/>
                <w:szCs w:val="14"/>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rPr>
              <w:t>(a)</w:t>
            </w:r>
          </w:p>
        </w:tc>
        <w:tc>
          <w:tcPr>
            <w:tcW w:w="2000" w:type="dxa"/>
            <w:vAlign w:val="bottom"/>
            <w:tcBorders>
              <w:top w:val="single" w:sz="8" w:color="auto"/>
            </w:tcBorders>
          </w:tcPr>
          <w:p>
            <w:pPr>
              <w:jc w:val="center"/>
              <w:ind w:left="290"/>
              <w:spacing w:after="0"/>
              <w:rPr>
                <w:sz w:val="20"/>
                <w:szCs w:val="20"/>
                <w:color w:val="auto"/>
              </w:rPr>
            </w:pPr>
            <w:r>
              <w:rPr>
                <w:rFonts w:ascii="Arial" w:cs="Arial" w:eastAsia="Arial" w:hAnsi="Arial"/>
                <w:sz w:val="13"/>
                <w:szCs w:val="13"/>
                <w:b w:val="1"/>
                <w:bCs w:val="1"/>
                <w:i w:val="1"/>
                <w:iCs w:val="1"/>
                <w:color w:val="auto"/>
                <w:w w:val="96"/>
              </w:rPr>
              <w:t>(b)</w:t>
            </w:r>
          </w:p>
        </w:tc>
        <w:tc>
          <w:tcPr>
            <w:tcW w:w="1580" w:type="dxa"/>
            <w:vAlign w:val="bottom"/>
            <w:tcBorders>
              <w:top w:val="single" w:sz="8" w:color="auto"/>
            </w:tcBorders>
          </w:tcPr>
          <w:p>
            <w:pPr>
              <w:jc w:val="center"/>
              <w:ind w:left="451"/>
              <w:spacing w:after="0"/>
              <w:rPr>
                <w:sz w:val="20"/>
                <w:szCs w:val="20"/>
                <w:color w:val="auto"/>
              </w:rPr>
            </w:pPr>
            <w:r>
              <w:rPr>
                <w:rFonts w:ascii="Arial" w:cs="Arial" w:eastAsia="Arial" w:hAnsi="Arial"/>
                <w:sz w:val="13"/>
                <w:szCs w:val="13"/>
                <w:b w:val="1"/>
                <w:bCs w:val="1"/>
                <w:i w:val="1"/>
                <w:iCs w:val="1"/>
                <w:color w:val="auto"/>
                <w:w w:val="87"/>
              </w:rPr>
              <w:t>(c)</w:t>
            </w: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Number of Securitie</w:t>
            </w:r>
          </w:p>
        </w:tc>
        <w:tc>
          <w:tcPr>
            <w:tcW w:w="0" w:type="dxa"/>
            <w:vAlign w:val="bottom"/>
          </w:tcPr>
          <w:p>
            <w:pPr>
              <w:spacing w:after="0"/>
              <w:rPr>
                <w:sz w:val="1"/>
                <w:szCs w:val="1"/>
                <w:color w:val="auto"/>
              </w:rPr>
            </w:pPr>
          </w:p>
        </w:tc>
      </w:tr>
      <w:tr>
        <w:trPr>
          <w:trHeight w:val="184"/>
        </w:trPr>
        <w:tc>
          <w:tcPr>
            <w:tcW w:w="46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000" w:type="dxa"/>
            <w:vAlign w:val="bottom"/>
          </w:tcPr>
          <w:p>
            <w:pPr>
              <w:jc w:val="center"/>
              <w:ind w:left="290"/>
              <w:spacing w:after="0"/>
              <w:rPr>
                <w:sz w:val="20"/>
                <w:szCs w:val="20"/>
                <w:color w:val="auto"/>
              </w:rPr>
            </w:pPr>
            <w:r>
              <w:rPr>
                <w:rFonts w:ascii="Arial" w:cs="Arial" w:eastAsia="Arial" w:hAnsi="Arial"/>
                <w:sz w:val="13"/>
                <w:szCs w:val="13"/>
                <w:b w:val="1"/>
                <w:bCs w:val="1"/>
                <w:color w:val="auto"/>
                <w:w w:val="89"/>
              </w:rPr>
              <w:t>Weighted-</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Remaining Availabl</w:t>
            </w:r>
          </w:p>
        </w:tc>
        <w:tc>
          <w:tcPr>
            <w:tcW w:w="0" w:type="dxa"/>
            <w:vAlign w:val="bottom"/>
          </w:tcPr>
          <w:p>
            <w:pPr>
              <w:spacing w:after="0"/>
              <w:rPr>
                <w:sz w:val="1"/>
                <w:szCs w:val="1"/>
                <w:color w:val="auto"/>
              </w:rPr>
            </w:pPr>
          </w:p>
        </w:tc>
      </w:tr>
      <w:tr>
        <w:trPr>
          <w:trHeight w:val="199"/>
        </w:trPr>
        <w:tc>
          <w:tcPr>
            <w:tcW w:w="46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00" w:type="dxa"/>
            <w:vAlign w:val="bottom"/>
          </w:tcPr>
          <w:p>
            <w:pPr>
              <w:jc w:val="center"/>
              <w:ind w:left="290"/>
              <w:spacing w:after="0"/>
              <w:rPr>
                <w:sz w:val="20"/>
                <w:szCs w:val="20"/>
                <w:color w:val="auto"/>
              </w:rPr>
            </w:pPr>
            <w:r>
              <w:rPr>
                <w:rFonts w:ascii="Arial" w:cs="Arial" w:eastAsia="Arial" w:hAnsi="Arial"/>
                <w:sz w:val="13"/>
                <w:szCs w:val="13"/>
                <w:b w:val="1"/>
                <w:bCs w:val="1"/>
                <w:color w:val="auto"/>
                <w:w w:val="85"/>
              </w:rPr>
              <w:t>Average</w:t>
            </w:r>
          </w:p>
        </w:tc>
        <w:tc>
          <w:tcPr>
            <w:tcW w:w="1580" w:type="dxa"/>
            <w:vAlign w:val="bottom"/>
          </w:tcPr>
          <w:p>
            <w:pPr>
              <w:jc w:val="center"/>
              <w:ind w:left="431"/>
              <w:spacing w:after="0"/>
              <w:rPr>
                <w:sz w:val="20"/>
                <w:szCs w:val="20"/>
                <w:color w:val="auto"/>
              </w:rPr>
            </w:pPr>
            <w:r>
              <w:rPr>
                <w:rFonts w:ascii="Arial" w:cs="Arial" w:eastAsia="Arial" w:hAnsi="Arial"/>
                <w:sz w:val="13"/>
                <w:szCs w:val="13"/>
                <w:b w:val="1"/>
                <w:bCs w:val="1"/>
                <w:color w:val="auto"/>
                <w:w w:val="89"/>
              </w:rPr>
              <w:t>for Future Issuance</w:t>
            </w:r>
          </w:p>
        </w:tc>
        <w:tc>
          <w:tcPr>
            <w:tcW w:w="0" w:type="dxa"/>
            <w:vAlign w:val="bottom"/>
          </w:tcPr>
          <w:p>
            <w:pPr>
              <w:spacing w:after="0"/>
              <w:rPr>
                <w:sz w:val="1"/>
                <w:szCs w:val="1"/>
                <w:color w:val="auto"/>
              </w:rPr>
            </w:pPr>
          </w:p>
        </w:tc>
      </w:tr>
      <w:tr>
        <w:trPr>
          <w:trHeight w:val="168"/>
        </w:trPr>
        <w:tc>
          <w:tcPr>
            <w:tcW w:w="468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3"/>
                <w:szCs w:val="13"/>
                <w:b w:val="1"/>
                <w:bCs w:val="1"/>
                <w:color w:val="auto"/>
                <w:w w:val="90"/>
              </w:rPr>
              <w:t>Number of Securities</w:t>
            </w:r>
          </w:p>
        </w:tc>
        <w:tc>
          <w:tcPr>
            <w:tcW w:w="2000" w:type="dxa"/>
            <w:vAlign w:val="bottom"/>
          </w:tcPr>
          <w:p>
            <w:pPr>
              <w:jc w:val="center"/>
              <w:ind w:left="290"/>
              <w:spacing w:after="0"/>
              <w:rPr>
                <w:sz w:val="20"/>
                <w:szCs w:val="20"/>
                <w:color w:val="auto"/>
              </w:rPr>
            </w:pPr>
            <w:r>
              <w:rPr>
                <w:rFonts w:ascii="Arial" w:cs="Arial" w:eastAsia="Arial" w:hAnsi="Arial"/>
                <w:sz w:val="13"/>
                <w:szCs w:val="13"/>
                <w:b w:val="1"/>
                <w:bCs w:val="1"/>
                <w:color w:val="auto"/>
                <w:w w:val="89"/>
              </w:rPr>
              <w:t>Exercise Price</w:t>
            </w:r>
          </w:p>
        </w:tc>
        <w:tc>
          <w:tcPr>
            <w:tcW w:w="1580" w:type="dxa"/>
            <w:vAlign w:val="bottom"/>
          </w:tcPr>
          <w:p>
            <w:pPr>
              <w:jc w:val="center"/>
              <w:ind w:left="491"/>
              <w:spacing w:after="0"/>
              <w:rPr>
                <w:sz w:val="20"/>
                <w:szCs w:val="20"/>
                <w:color w:val="auto"/>
              </w:rPr>
            </w:pPr>
            <w:r>
              <w:rPr>
                <w:rFonts w:ascii="Arial" w:cs="Arial" w:eastAsia="Arial" w:hAnsi="Arial"/>
                <w:sz w:val="13"/>
                <w:szCs w:val="13"/>
                <w:b w:val="1"/>
                <w:bCs w:val="1"/>
                <w:color w:val="auto"/>
                <w:w w:val="96"/>
              </w:rPr>
              <w:t>Under Equity</w:t>
            </w:r>
          </w:p>
        </w:tc>
        <w:tc>
          <w:tcPr>
            <w:tcW w:w="0" w:type="dxa"/>
            <w:vAlign w:val="bottom"/>
          </w:tcPr>
          <w:p>
            <w:pPr>
              <w:spacing w:after="0"/>
              <w:rPr>
                <w:sz w:val="1"/>
                <w:szCs w:val="1"/>
                <w:color w:val="auto"/>
              </w:rPr>
            </w:pPr>
          </w:p>
        </w:tc>
      </w:tr>
      <w:tr>
        <w:trPr>
          <w:trHeight w:val="184"/>
        </w:trPr>
        <w:tc>
          <w:tcPr>
            <w:tcW w:w="468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3"/>
                <w:szCs w:val="13"/>
                <w:b w:val="1"/>
                <w:bCs w:val="1"/>
                <w:color w:val="auto"/>
                <w:w w:val="88"/>
              </w:rPr>
              <w:t>to be Issued Upon</w:t>
            </w:r>
          </w:p>
        </w:tc>
        <w:tc>
          <w:tcPr>
            <w:tcW w:w="2000" w:type="dxa"/>
            <w:vAlign w:val="bottom"/>
          </w:tcPr>
          <w:p>
            <w:pPr>
              <w:jc w:val="center"/>
              <w:ind w:left="290"/>
              <w:spacing w:after="0"/>
              <w:rPr>
                <w:sz w:val="20"/>
                <w:szCs w:val="20"/>
                <w:color w:val="auto"/>
              </w:rPr>
            </w:pPr>
            <w:r>
              <w:rPr>
                <w:rFonts w:ascii="Arial" w:cs="Arial" w:eastAsia="Arial" w:hAnsi="Arial"/>
                <w:sz w:val="13"/>
                <w:szCs w:val="13"/>
                <w:b w:val="1"/>
                <w:bCs w:val="1"/>
                <w:color w:val="auto"/>
                <w:w w:val="90"/>
              </w:rPr>
              <w:t>of Outstanding</w:t>
            </w:r>
          </w:p>
        </w:tc>
        <w:tc>
          <w:tcPr>
            <w:tcW w:w="1580" w:type="dxa"/>
            <w:vAlign w:val="bottom"/>
          </w:tcPr>
          <w:p>
            <w:pPr>
              <w:jc w:val="center"/>
              <w:ind w:left="471"/>
              <w:spacing w:after="0"/>
              <w:rPr>
                <w:sz w:val="20"/>
                <w:szCs w:val="20"/>
                <w:color w:val="auto"/>
              </w:rPr>
            </w:pPr>
            <w:r>
              <w:rPr>
                <w:rFonts w:ascii="Arial" w:cs="Arial" w:eastAsia="Arial" w:hAnsi="Arial"/>
                <w:sz w:val="13"/>
                <w:szCs w:val="13"/>
                <w:b w:val="1"/>
                <w:bCs w:val="1"/>
                <w:color w:val="auto"/>
                <w:w w:val="88"/>
              </w:rPr>
              <w:t>Compensation</w:t>
            </w:r>
          </w:p>
        </w:tc>
        <w:tc>
          <w:tcPr>
            <w:tcW w:w="0" w:type="dxa"/>
            <w:vAlign w:val="bottom"/>
          </w:tcPr>
          <w:p>
            <w:pPr>
              <w:spacing w:after="0"/>
              <w:rPr>
                <w:sz w:val="1"/>
                <w:szCs w:val="1"/>
                <w:color w:val="auto"/>
              </w:rPr>
            </w:pPr>
          </w:p>
        </w:tc>
      </w:tr>
      <w:tr>
        <w:trPr>
          <w:trHeight w:val="184"/>
        </w:trPr>
        <w:tc>
          <w:tcPr>
            <w:tcW w:w="468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3"/>
                <w:szCs w:val="13"/>
                <w:b w:val="1"/>
                <w:bCs w:val="1"/>
                <w:color w:val="auto"/>
                <w:w w:val="86"/>
              </w:rPr>
              <w:t>Exercise of</w:t>
            </w:r>
          </w:p>
        </w:tc>
        <w:tc>
          <w:tcPr>
            <w:tcW w:w="2000" w:type="dxa"/>
            <w:vAlign w:val="bottom"/>
          </w:tcPr>
          <w:p>
            <w:pPr>
              <w:jc w:val="center"/>
              <w:ind w:left="290"/>
              <w:spacing w:after="0"/>
              <w:rPr>
                <w:sz w:val="20"/>
                <w:szCs w:val="20"/>
                <w:color w:val="auto"/>
              </w:rPr>
            </w:pPr>
            <w:r>
              <w:rPr>
                <w:rFonts w:ascii="Arial" w:cs="Arial" w:eastAsia="Arial" w:hAnsi="Arial"/>
                <w:sz w:val="13"/>
                <w:szCs w:val="13"/>
                <w:b w:val="1"/>
                <w:bCs w:val="1"/>
                <w:color w:val="auto"/>
                <w:w w:val="90"/>
              </w:rPr>
              <w:t>Options,</w:t>
            </w:r>
          </w:p>
        </w:tc>
        <w:tc>
          <w:tcPr>
            <w:tcW w:w="1580" w:type="dxa"/>
            <w:vAlign w:val="bottom"/>
          </w:tcPr>
          <w:p>
            <w:pPr>
              <w:jc w:val="center"/>
              <w:ind w:left="451"/>
              <w:spacing w:after="0"/>
              <w:rPr>
                <w:sz w:val="20"/>
                <w:szCs w:val="20"/>
                <w:color w:val="auto"/>
              </w:rPr>
            </w:pPr>
            <w:r>
              <w:rPr>
                <w:rFonts w:ascii="Arial" w:cs="Arial" w:eastAsia="Arial" w:hAnsi="Arial"/>
                <w:sz w:val="13"/>
                <w:szCs w:val="13"/>
                <w:b w:val="1"/>
                <w:bCs w:val="1"/>
                <w:color w:val="auto"/>
                <w:w w:val="89"/>
              </w:rPr>
              <w:t>Plans [Excluding</w:t>
            </w:r>
          </w:p>
        </w:tc>
        <w:tc>
          <w:tcPr>
            <w:tcW w:w="0" w:type="dxa"/>
            <w:vAlign w:val="bottom"/>
          </w:tcPr>
          <w:p>
            <w:pPr>
              <w:spacing w:after="0"/>
              <w:rPr>
                <w:sz w:val="1"/>
                <w:szCs w:val="1"/>
                <w:color w:val="auto"/>
              </w:rPr>
            </w:pPr>
          </w:p>
        </w:tc>
      </w:tr>
      <w:tr>
        <w:trPr>
          <w:trHeight w:val="184"/>
        </w:trPr>
        <w:tc>
          <w:tcPr>
            <w:tcW w:w="4680" w:type="dxa"/>
            <w:vAlign w:val="bottom"/>
            <w:vMerge w:val="restart"/>
          </w:tcPr>
          <w:p>
            <w:pPr>
              <w:spacing w:after="0"/>
              <w:rPr>
                <w:sz w:val="20"/>
                <w:szCs w:val="20"/>
                <w:color w:val="auto"/>
              </w:rPr>
            </w:pPr>
            <w:r>
              <w:rPr>
                <w:rFonts w:ascii="Arial" w:cs="Arial" w:eastAsia="Arial" w:hAnsi="Arial"/>
                <w:sz w:val="16"/>
                <w:szCs w:val="16"/>
                <w:b w:val="1"/>
                <w:bCs w:val="1"/>
                <w:color w:val="auto"/>
              </w:rPr>
              <w:t>Plan Category</w:t>
            </w:r>
          </w:p>
        </w:tc>
        <w:tc>
          <w:tcPr>
            <w:tcW w:w="2680" w:type="dxa"/>
            <w:vAlign w:val="bottom"/>
          </w:tcPr>
          <w:p>
            <w:pPr>
              <w:jc w:val="center"/>
              <w:spacing w:after="0"/>
              <w:rPr>
                <w:sz w:val="20"/>
                <w:szCs w:val="20"/>
                <w:color w:val="auto"/>
              </w:rPr>
            </w:pPr>
            <w:r>
              <w:rPr>
                <w:rFonts w:ascii="Arial" w:cs="Arial" w:eastAsia="Arial" w:hAnsi="Arial"/>
                <w:sz w:val="13"/>
                <w:szCs w:val="13"/>
                <w:b w:val="1"/>
                <w:bCs w:val="1"/>
                <w:color w:val="auto"/>
                <w:w w:val="90"/>
              </w:rPr>
              <w:t>Outstanding Options,</w:t>
            </w:r>
          </w:p>
        </w:tc>
        <w:tc>
          <w:tcPr>
            <w:tcW w:w="2000" w:type="dxa"/>
            <w:vAlign w:val="bottom"/>
          </w:tcPr>
          <w:p>
            <w:pPr>
              <w:jc w:val="center"/>
              <w:ind w:left="310"/>
              <w:spacing w:after="0"/>
              <w:rPr>
                <w:sz w:val="20"/>
                <w:szCs w:val="20"/>
                <w:color w:val="auto"/>
              </w:rPr>
            </w:pPr>
            <w:r>
              <w:rPr>
                <w:rFonts w:ascii="Arial" w:cs="Arial" w:eastAsia="Arial" w:hAnsi="Arial"/>
                <w:sz w:val="13"/>
                <w:szCs w:val="13"/>
                <w:b w:val="1"/>
                <w:bCs w:val="1"/>
                <w:color w:val="auto"/>
                <w:w w:val="93"/>
              </w:rPr>
              <w:t>Warrants and</w:t>
            </w:r>
          </w:p>
        </w:tc>
        <w:tc>
          <w:tcPr>
            <w:tcW w:w="1580" w:type="dxa"/>
            <w:vAlign w:val="bottom"/>
          </w:tcPr>
          <w:p>
            <w:pPr>
              <w:jc w:val="center"/>
              <w:ind w:left="431"/>
              <w:spacing w:after="0"/>
              <w:rPr>
                <w:sz w:val="20"/>
                <w:szCs w:val="20"/>
                <w:color w:val="auto"/>
              </w:rPr>
            </w:pPr>
            <w:r>
              <w:rPr>
                <w:rFonts w:ascii="Arial" w:cs="Arial" w:eastAsia="Arial" w:hAnsi="Arial"/>
                <w:sz w:val="13"/>
                <w:szCs w:val="13"/>
                <w:b w:val="1"/>
                <w:bCs w:val="1"/>
                <w:color w:val="auto"/>
                <w:w w:val="86"/>
              </w:rPr>
              <w:t>Securities Reflected</w:t>
            </w:r>
          </w:p>
        </w:tc>
        <w:tc>
          <w:tcPr>
            <w:tcW w:w="0" w:type="dxa"/>
            <w:vAlign w:val="bottom"/>
          </w:tcPr>
          <w:p>
            <w:pPr>
              <w:spacing w:after="0"/>
              <w:rPr>
                <w:sz w:val="1"/>
                <w:szCs w:val="1"/>
                <w:color w:val="auto"/>
              </w:rPr>
            </w:pPr>
          </w:p>
        </w:tc>
      </w:tr>
      <w:tr>
        <w:trPr>
          <w:trHeight w:val="207"/>
        </w:trPr>
        <w:tc>
          <w:tcPr>
            <w:tcW w:w="4680" w:type="dxa"/>
            <w:vAlign w:val="bottom"/>
            <w:tcBorders>
              <w:bottom w:val="single" w:sz="8" w:color="auto"/>
            </w:tcBorders>
            <w:vMerge w:val="continue"/>
          </w:tcPr>
          <w:p>
            <w:pPr>
              <w:spacing w:after="0"/>
              <w:rPr>
                <w:sz w:val="17"/>
                <w:szCs w:val="17"/>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Warrants and Rights</w:t>
            </w:r>
          </w:p>
        </w:tc>
        <w:tc>
          <w:tcPr>
            <w:tcW w:w="2000" w:type="dxa"/>
            <w:vAlign w:val="bottom"/>
            <w:tcBorders>
              <w:bottom w:val="single" w:sz="8" w:color="auto"/>
            </w:tcBorders>
          </w:tcPr>
          <w:p>
            <w:pPr>
              <w:jc w:val="center"/>
              <w:ind w:left="290"/>
              <w:spacing w:after="0"/>
              <w:rPr>
                <w:sz w:val="20"/>
                <w:szCs w:val="20"/>
                <w:color w:val="auto"/>
              </w:rPr>
            </w:pPr>
            <w:r>
              <w:rPr>
                <w:rFonts w:ascii="Arial" w:cs="Arial" w:eastAsia="Arial" w:hAnsi="Arial"/>
                <w:sz w:val="13"/>
                <w:szCs w:val="13"/>
                <w:b w:val="1"/>
                <w:bCs w:val="1"/>
                <w:color w:val="auto"/>
                <w:w w:val="88"/>
              </w:rPr>
              <w:t>Rights</w:t>
            </w:r>
          </w:p>
        </w:tc>
        <w:tc>
          <w:tcPr>
            <w:tcW w:w="1580" w:type="dxa"/>
            <w:vAlign w:val="bottom"/>
            <w:tcBorders>
              <w:bottom w:val="single" w:sz="8" w:color="auto"/>
            </w:tcBorders>
          </w:tcPr>
          <w:p>
            <w:pPr>
              <w:jc w:val="center"/>
              <w:ind w:left="451"/>
              <w:spacing w:after="0"/>
              <w:rPr>
                <w:sz w:val="20"/>
                <w:szCs w:val="20"/>
                <w:color w:val="auto"/>
              </w:rPr>
            </w:pPr>
            <w:r>
              <w:rPr>
                <w:rFonts w:ascii="Arial" w:cs="Arial" w:eastAsia="Arial" w:hAnsi="Arial"/>
                <w:sz w:val="13"/>
                <w:szCs w:val="13"/>
                <w:b w:val="1"/>
                <w:bCs w:val="1"/>
                <w:color w:val="auto"/>
                <w:w w:val="93"/>
              </w:rPr>
              <w:t>in Column (a)]</w:t>
            </w:r>
          </w:p>
        </w:tc>
        <w:tc>
          <w:tcPr>
            <w:tcW w:w="0" w:type="dxa"/>
            <w:vAlign w:val="bottom"/>
          </w:tcPr>
          <w:p>
            <w:pPr>
              <w:spacing w:after="0"/>
              <w:rPr>
                <w:sz w:val="1"/>
                <w:szCs w:val="1"/>
                <w:color w:val="auto"/>
              </w:rPr>
            </w:pPr>
          </w:p>
        </w:tc>
      </w:tr>
      <w:tr>
        <w:trPr>
          <w:trHeight w:val="384"/>
        </w:trPr>
        <w:tc>
          <w:tcPr>
            <w:tcW w:w="4680" w:type="dxa"/>
            <w:vAlign w:val="bottom"/>
          </w:tcPr>
          <w:p>
            <w:pPr>
              <w:spacing w:after="0"/>
              <w:rPr>
                <w:sz w:val="20"/>
                <w:szCs w:val="20"/>
                <w:color w:val="auto"/>
              </w:rPr>
            </w:pPr>
            <w:r>
              <w:rPr>
                <w:rFonts w:ascii="Arial" w:cs="Arial" w:eastAsia="Arial" w:hAnsi="Arial"/>
                <w:sz w:val="16"/>
                <w:szCs w:val="16"/>
                <w:color w:val="auto"/>
              </w:rPr>
              <w:t>Equity compensation plans approved by security holders</w:t>
            </w:r>
          </w:p>
        </w:tc>
        <w:tc>
          <w:tcPr>
            <w:tcW w:w="2680" w:type="dxa"/>
            <w:vAlign w:val="bottom"/>
          </w:tcPr>
          <w:p>
            <w:pPr>
              <w:jc w:val="right"/>
              <w:ind w:right="809"/>
              <w:spacing w:after="0"/>
              <w:rPr>
                <w:sz w:val="20"/>
                <w:szCs w:val="20"/>
                <w:color w:val="auto"/>
              </w:rPr>
            </w:pPr>
            <w:r>
              <w:rPr>
                <w:rFonts w:ascii="Arial" w:cs="Arial" w:eastAsia="Arial" w:hAnsi="Arial"/>
                <w:sz w:val="16"/>
                <w:szCs w:val="16"/>
                <w:color w:val="auto"/>
              </w:rPr>
              <w:t xml:space="preserve">24,243,615 </w:t>
            </w:r>
            <w:r>
              <w:rPr>
                <w:rFonts w:ascii="Arial" w:cs="Arial" w:eastAsia="Arial" w:hAnsi="Arial"/>
                <w:sz w:val="14"/>
                <w:szCs w:val="14"/>
                <w:i w:val="1"/>
                <w:iCs w:val="1"/>
                <w:color w:val="auto"/>
              </w:rPr>
              <w:t>(1)</w:t>
            </w:r>
          </w:p>
        </w:tc>
        <w:tc>
          <w:tcPr>
            <w:tcW w:w="2000" w:type="dxa"/>
            <w:vAlign w:val="bottom"/>
          </w:tcPr>
          <w:p>
            <w:pPr>
              <w:jc w:val="center"/>
              <w:ind w:left="290"/>
              <w:spacing w:after="0"/>
              <w:rPr>
                <w:sz w:val="20"/>
                <w:szCs w:val="20"/>
                <w:color w:val="auto"/>
              </w:rPr>
            </w:pPr>
            <w:r>
              <w:rPr>
                <w:rFonts w:ascii="Arial" w:cs="Arial" w:eastAsia="Arial" w:hAnsi="Arial"/>
                <w:sz w:val="16"/>
                <w:szCs w:val="16"/>
                <w:color w:val="auto"/>
                <w:w w:val="74"/>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 xml:space="preserve">109,066,057 </w:t>
            </w:r>
            <w:r>
              <w:rPr>
                <w:rFonts w:ascii="Arial" w:cs="Arial" w:eastAsia="Arial" w:hAnsi="Arial"/>
                <w:sz w:val="14"/>
                <w:szCs w:val="14"/>
                <w:i w:val="1"/>
                <w:iCs w:val="1"/>
                <w:color w:val="auto"/>
              </w:rPr>
              <w:t>(2)(3</w:t>
            </w:r>
          </w:p>
        </w:tc>
        <w:tc>
          <w:tcPr>
            <w:tcW w:w="0" w:type="dxa"/>
            <w:vAlign w:val="bottom"/>
          </w:tcPr>
          <w:p>
            <w:pPr>
              <w:spacing w:after="0"/>
              <w:rPr>
                <w:sz w:val="1"/>
                <w:szCs w:val="1"/>
                <w:color w:val="auto"/>
              </w:rPr>
            </w:pPr>
          </w:p>
        </w:tc>
      </w:tr>
      <w:tr>
        <w:trPr>
          <w:trHeight w:val="392"/>
        </w:trPr>
        <w:tc>
          <w:tcPr>
            <w:tcW w:w="4680" w:type="dxa"/>
            <w:vAlign w:val="bottom"/>
          </w:tcPr>
          <w:p>
            <w:pPr>
              <w:spacing w:after="0"/>
              <w:rPr>
                <w:sz w:val="20"/>
                <w:szCs w:val="20"/>
                <w:color w:val="auto"/>
              </w:rPr>
            </w:pPr>
            <w:r>
              <w:rPr>
                <w:rFonts w:ascii="Arial" w:cs="Arial" w:eastAsia="Arial" w:hAnsi="Arial"/>
                <w:sz w:val="16"/>
                <w:szCs w:val="16"/>
                <w:color w:val="auto"/>
              </w:rPr>
              <w:t>Equity compensation plans not approved by security holders</w:t>
            </w:r>
          </w:p>
        </w:tc>
        <w:tc>
          <w:tcPr>
            <w:tcW w:w="2680" w:type="dxa"/>
            <w:vAlign w:val="bottom"/>
          </w:tcPr>
          <w:p>
            <w:pPr>
              <w:jc w:val="right"/>
              <w:ind w:right="1029"/>
              <w:spacing w:after="0"/>
              <w:rPr>
                <w:sz w:val="20"/>
                <w:szCs w:val="20"/>
                <w:color w:val="auto"/>
              </w:rPr>
            </w:pPr>
            <w:r>
              <w:rPr>
                <w:rFonts w:ascii="Arial" w:cs="Arial" w:eastAsia="Arial" w:hAnsi="Arial"/>
                <w:sz w:val="16"/>
                <w:szCs w:val="16"/>
                <w:color w:val="auto"/>
              </w:rPr>
              <w:t>-</w:t>
            </w:r>
          </w:p>
        </w:tc>
        <w:tc>
          <w:tcPr>
            <w:tcW w:w="2000" w:type="dxa"/>
            <w:vAlign w:val="bottom"/>
          </w:tcPr>
          <w:p>
            <w:pPr>
              <w:jc w:val="center"/>
              <w:ind w:left="290"/>
              <w:spacing w:after="0"/>
              <w:rPr>
                <w:sz w:val="20"/>
                <w:szCs w:val="20"/>
                <w:color w:val="auto"/>
              </w:rPr>
            </w:pPr>
            <w:r>
              <w:rPr>
                <w:rFonts w:ascii="Arial" w:cs="Arial" w:eastAsia="Arial" w:hAnsi="Arial"/>
                <w:sz w:val="16"/>
                <w:szCs w:val="16"/>
                <w:color w:val="auto"/>
                <w:w w:val="74"/>
              </w:rPr>
              <w:t>-</w:t>
            </w:r>
          </w:p>
        </w:tc>
        <w:tc>
          <w:tcPr>
            <w:tcW w:w="1580" w:type="dxa"/>
            <w:vAlign w:val="bottom"/>
          </w:tcPr>
          <w:p>
            <w:pPr>
              <w:jc w:val="right"/>
              <w:ind w:right="27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2"/>
        </w:trPr>
        <w:tc>
          <w:tcPr>
            <w:tcW w:w="4680" w:type="dxa"/>
            <w:vAlign w:val="bottom"/>
          </w:tcPr>
          <w:p>
            <w:pPr>
              <w:ind w:left="240"/>
              <w:spacing w:after="0"/>
              <w:rPr>
                <w:sz w:val="20"/>
                <w:szCs w:val="20"/>
                <w:color w:val="auto"/>
              </w:rPr>
            </w:pPr>
            <w:r>
              <w:rPr>
                <w:rFonts w:ascii="Arial" w:cs="Arial" w:eastAsia="Arial" w:hAnsi="Arial"/>
                <w:sz w:val="16"/>
                <w:szCs w:val="16"/>
                <w:color w:val="auto"/>
              </w:rPr>
              <w:t>Total</w:t>
            </w:r>
          </w:p>
        </w:tc>
        <w:tc>
          <w:tcPr>
            <w:tcW w:w="2680" w:type="dxa"/>
            <w:vAlign w:val="bottom"/>
          </w:tcPr>
          <w:p>
            <w:pPr>
              <w:jc w:val="right"/>
              <w:ind w:right="1029"/>
              <w:spacing w:after="0"/>
              <w:rPr>
                <w:sz w:val="20"/>
                <w:szCs w:val="20"/>
                <w:color w:val="auto"/>
              </w:rPr>
            </w:pPr>
            <w:r>
              <w:rPr>
                <w:rFonts w:ascii="Arial" w:cs="Arial" w:eastAsia="Arial" w:hAnsi="Arial"/>
                <w:sz w:val="16"/>
                <w:szCs w:val="16"/>
                <w:color w:val="auto"/>
              </w:rPr>
              <w:t>24,243,615</w:t>
            </w:r>
          </w:p>
        </w:tc>
        <w:tc>
          <w:tcPr>
            <w:tcW w:w="2000" w:type="dxa"/>
            <w:vAlign w:val="bottom"/>
          </w:tcPr>
          <w:p>
            <w:pPr>
              <w:jc w:val="center"/>
              <w:ind w:left="290"/>
              <w:spacing w:after="0"/>
              <w:rPr>
                <w:sz w:val="20"/>
                <w:szCs w:val="20"/>
                <w:color w:val="auto"/>
              </w:rPr>
            </w:pPr>
            <w:r>
              <w:rPr>
                <w:rFonts w:ascii="Arial" w:cs="Arial" w:eastAsia="Arial" w:hAnsi="Arial"/>
                <w:sz w:val="16"/>
                <w:szCs w:val="16"/>
                <w:color w:val="auto"/>
                <w:w w:val="74"/>
              </w:rPr>
              <w:t>-</w:t>
            </w:r>
          </w:p>
        </w:tc>
        <w:tc>
          <w:tcPr>
            <w:tcW w:w="1580" w:type="dxa"/>
            <w:vAlign w:val="bottom"/>
          </w:tcPr>
          <w:p>
            <w:pPr>
              <w:jc w:val="right"/>
              <w:ind w:right="271"/>
              <w:spacing w:after="0"/>
              <w:rPr>
                <w:sz w:val="20"/>
                <w:szCs w:val="20"/>
                <w:color w:val="auto"/>
              </w:rPr>
            </w:pPr>
            <w:r>
              <w:rPr>
                <w:rFonts w:ascii="Arial" w:cs="Arial" w:eastAsia="Arial" w:hAnsi="Arial"/>
                <w:sz w:val="16"/>
                <w:szCs w:val="16"/>
                <w:color w:val="auto"/>
              </w:rPr>
              <w:t>109,066,057</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20" w:hanging="314"/>
        <w:spacing w:after="0"/>
        <w:tabs>
          <w:tab w:leader="none" w:pos="32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The number of restricted stock units to be settled in shares.</w:t>
      </w:r>
    </w:p>
    <w:p>
      <w:pPr>
        <w:spacing w:after="0" w:line="61" w:lineRule="exact"/>
        <w:rPr>
          <w:rFonts w:ascii="Arial" w:cs="Arial" w:eastAsia="Arial" w:hAnsi="Arial"/>
          <w:sz w:val="16"/>
          <w:szCs w:val="16"/>
          <w:i w:val="1"/>
          <w:iCs w:val="1"/>
          <w:color w:val="auto"/>
        </w:rPr>
      </w:pPr>
    </w:p>
    <w:p>
      <w:pPr>
        <w:ind w:left="300" w:right="40" w:hanging="294"/>
        <w:spacing w:after="0" w:line="286" w:lineRule="auto"/>
        <w:tabs>
          <w:tab w:leader="none" w:pos="345"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Available shares can be granted in the form of restricted stock, options, or other stock-based awards. Includes 108,454,857 shares available for award under t Incentive Program and 611,200 shares available for award under the 2004 Non-Employee Director Restricted Stock Plan.</w:t>
      </w:r>
    </w:p>
    <w:p>
      <w:pPr>
        <w:spacing w:after="0" w:line="2" w:lineRule="exact"/>
        <w:rPr>
          <w:rFonts w:ascii="Arial" w:cs="Arial" w:eastAsia="Arial" w:hAnsi="Arial"/>
          <w:sz w:val="16"/>
          <w:szCs w:val="16"/>
          <w:i w:val="1"/>
          <w:iCs w:val="1"/>
          <w:color w:val="auto"/>
        </w:rPr>
      </w:pPr>
    </w:p>
    <w:p>
      <w:pPr>
        <w:jc w:val="both"/>
        <w:ind w:left="300" w:hanging="294"/>
        <w:spacing w:after="0" w:line="281" w:lineRule="auto"/>
        <w:tabs>
          <w:tab w:leader="none" w:pos="346" w:val="left"/>
        </w:tabs>
        <w:numPr>
          <w:ilvl w:val="0"/>
          <w:numId w:val="15"/>
        </w:numPr>
        <w:rPr>
          <w:rFonts w:ascii="Arial" w:cs="Arial" w:eastAsia="Arial" w:hAnsi="Arial"/>
          <w:sz w:val="15"/>
          <w:szCs w:val="15"/>
          <w:i w:val="1"/>
          <w:iCs w:val="1"/>
          <w:color w:val="auto"/>
        </w:rPr>
      </w:pPr>
      <w:r>
        <w:rPr>
          <w:rFonts w:ascii="Arial" w:cs="Arial" w:eastAsia="Arial" w:hAnsi="Arial"/>
          <w:sz w:val="15"/>
          <w:szCs w:val="15"/>
          <w:i w:val="1"/>
          <w:iCs w:val="1"/>
          <w:color w:val="auto"/>
        </w:rPr>
        <w:t>Under the 2004 Non-Employee Director Restricted Stock Plan approved by shareholders in May 2004, and the related standing resolution adopted by the Boar non-employee director automatically receives 8,000 shares of restricted stock when first elected to the Board and, if the director remains in office, an additiona restricted shares each following year. While on the Board, each non-employee director receives the same cash dividends on restricted shares as a holder of common stock, but the director is not allowed to sell the shares. The restricted shares may be forfeited if the director leaves the Board early.</w:t>
      </w:r>
    </w:p>
    <w:p>
      <w:pPr>
        <w:spacing w:after="0" w:line="1"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641" w:right="139" w:bottom="1440" w:gutter="0" w:footer="0" w:header="0"/>
        </w:sectPr>
      </w:pPr>
    </w:p>
    <w:bookmarkStart w:id="34" w:name="page35"/>
    <w:bookmarkEnd w:id="34"/>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Incorporated by reference to the portions entitled “Related Person Transactions and Procedures” and “Director Independence” of the section entitled “Corporate Gove of the registrant’s 2015 Proxy Statement.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Incorporated by reference to the portion entitled “Audit Committee” of the section entitled “Corporate Governance” and the section entitled “Ratification of Inde Auditors” of the registrant’s 2015 Proxy Statement.</w:t>
      </w:r>
    </w:p>
    <w:p>
      <w:pPr>
        <w:spacing w:after="0" w:line="200" w:lineRule="exact"/>
        <w:rPr>
          <w:sz w:val="20"/>
          <w:szCs w:val="20"/>
          <w:color w:val="auto"/>
        </w:rPr>
      </w:pPr>
    </w:p>
    <w:p>
      <w:pPr>
        <w:spacing w:after="0" w:line="231" w:lineRule="exact"/>
        <w:rPr>
          <w:sz w:val="20"/>
          <w:szCs w:val="20"/>
          <w:color w:val="auto"/>
        </w:rPr>
      </w:pPr>
    </w:p>
    <w:p>
      <w:pPr>
        <w:jc w:val="center"/>
        <w:ind w:left="1180"/>
        <w:spacing w:after="0"/>
        <w:rPr>
          <w:sz w:val="20"/>
          <w:szCs w:val="20"/>
          <w:color w:val="auto"/>
        </w:rPr>
      </w:pPr>
      <w:r>
        <w:rPr>
          <w:rFonts w:ascii="Arial" w:cs="Arial" w:eastAsia="Arial" w:hAnsi="Arial"/>
          <w:sz w:val="20"/>
          <w:szCs w:val="20"/>
          <w:b w:val="1"/>
          <w:bCs w:val="1"/>
          <w:color w:val="auto"/>
        </w:rPr>
        <w:t>PART IV</w:t>
      </w:r>
    </w:p>
    <w:p>
      <w:pPr>
        <w:spacing w:after="0" w:line="2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83" w:lineRule="exact"/>
        <w:rPr>
          <w:sz w:val="20"/>
          <w:szCs w:val="20"/>
          <w:color w:val="auto"/>
        </w:rPr>
      </w:pPr>
    </w:p>
    <w:p>
      <w:pPr>
        <w:ind w:left="1060" w:hanging="466"/>
        <w:spacing w:after="0"/>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(1) and (2) Financial Statements:</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See Table of Contents of the Financial Section of this report.</w:t>
      </w:r>
    </w:p>
    <w:p>
      <w:pPr>
        <w:spacing w:after="0" w:line="74" w:lineRule="exact"/>
        <w:rPr>
          <w:sz w:val="20"/>
          <w:szCs w:val="20"/>
          <w:color w:val="auto"/>
        </w:rPr>
      </w:pPr>
    </w:p>
    <w:p>
      <w:pPr>
        <w:ind w:left="1060" w:hanging="466"/>
        <w:spacing w:after="0"/>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(3) Exhibits:</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See Index to Exhibits of this report.</w:t>
      </w:r>
    </w:p>
    <w:p>
      <w:pPr>
        <w:spacing w:after="0" w:line="25" w:lineRule="exact"/>
        <w:rPr>
          <w:sz w:val="20"/>
          <w:szCs w:val="20"/>
          <w:color w:val="auto"/>
        </w:rPr>
      </w:pPr>
    </w:p>
    <w:p>
      <w:pPr>
        <w:jc w:val="center"/>
        <w:ind w:left="112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20"/>
          </w:cols>
          <w:pgMar w:left="820" w:top="646" w:right="159" w:bottom="1440" w:gutter="0" w:footer="0" w:header="0"/>
        </w:sectPr>
      </w:pPr>
    </w:p>
    <w:bookmarkStart w:id="35" w:name="page36"/>
    <w:bookmarkEnd w:id="35"/>
    <w:tbl>
      <w:tblPr>
        <w:tblLayout w:type="fixed"/>
        <w:tblInd w:w="1740" w:type="dxa"/>
        <w:tblCellMar>
          <w:top w:w="0" w:type="dxa"/>
          <w:left w:w="0" w:type="dxa"/>
          <w:bottom w:w="0" w:type="dxa"/>
          <w:right w:w="0" w:type="dxa"/>
        </w:tblCellMar>
      </w:tblPr>
      <w:tr>
        <w:trPr>
          <w:trHeight w:val="255"/>
        </w:trPr>
        <w:tc>
          <w:tcPr>
            <w:tcW w:w="420" w:type="dxa"/>
            <w:vAlign w:val="bottom"/>
          </w:tcPr>
          <w:p>
            <w:pPr>
              <w:spacing w:after="0"/>
              <w:rPr>
                <w:sz w:val="22"/>
                <w:szCs w:val="22"/>
                <w:color w:val="auto"/>
              </w:rPr>
            </w:pPr>
          </w:p>
        </w:tc>
        <w:tc>
          <w:tcPr>
            <w:tcW w:w="6240" w:type="dxa"/>
            <w:vAlign w:val="bottom"/>
          </w:tcPr>
          <w:p>
            <w:pPr>
              <w:ind w:left="2800"/>
              <w:spacing w:after="0"/>
              <w:rPr>
                <w:sz w:val="20"/>
                <w:szCs w:val="20"/>
                <w:color w:val="auto"/>
              </w:rPr>
            </w:pPr>
            <w:r>
              <w:rPr>
                <w:rFonts w:ascii="Arial" w:cs="Arial" w:eastAsia="Arial" w:hAnsi="Arial"/>
                <w:sz w:val="20"/>
                <w:szCs w:val="20"/>
                <w:b w:val="1"/>
                <w:bCs w:val="1"/>
                <w:color w:val="auto"/>
              </w:rPr>
              <w:t>FINANCIAL SECTION</w:t>
            </w:r>
          </w:p>
        </w:tc>
        <w:tc>
          <w:tcPr>
            <w:tcW w:w="1580" w:type="dxa"/>
            <w:vAlign w:val="bottom"/>
          </w:tcPr>
          <w:p>
            <w:pPr>
              <w:spacing w:after="0"/>
              <w:rPr>
                <w:sz w:val="22"/>
                <w:szCs w:val="22"/>
                <w:color w:val="auto"/>
              </w:rPr>
            </w:pPr>
          </w:p>
        </w:tc>
      </w:tr>
      <w:tr>
        <w:trPr>
          <w:trHeight w:val="382"/>
        </w:trPr>
        <w:tc>
          <w:tcPr>
            <w:tcW w:w="6660" w:type="dxa"/>
            <w:vAlign w:val="bottom"/>
            <w:gridSpan w:val="2"/>
          </w:tcPr>
          <w:p>
            <w:pPr>
              <w:spacing w:after="0"/>
              <w:rPr>
                <w:sz w:val="20"/>
                <w:szCs w:val="20"/>
                <w:color w:val="auto"/>
              </w:rPr>
            </w:pPr>
            <w:r>
              <w:rPr>
                <w:rFonts w:ascii="Arial" w:cs="Arial" w:eastAsia="Arial" w:hAnsi="Arial"/>
                <w:sz w:val="16"/>
                <w:szCs w:val="16"/>
                <w:b w:val="1"/>
                <w:bCs w:val="1"/>
                <w:color w:val="auto"/>
              </w:rPr>
              <w:t>TABLE OF CONTENTS</w:t>
            </w:r>
          </w:p>
        </w:tc>
        <w:tc>
          <w:tcPr>
            <w:tcW w:w="1580" w:type="dxa"/>
            <w:vAlign w:val="bottom"/>
          </w:tcPr>
          <w:p>
            <w:pPr>
              <w:spacing w:after="0"/>
              <w:rPr>
                <w:sz w:val="24"/>
                <w:szCs w:val="24"/>
                <w:color w:val="auto"/>
              </w:rPr>
            </w:pPr>
          </w:p>
        </w:tc>
      </w:tr>
      <w:tr>
        <w:trPr>
          <w:trHeight w:val="343"/>
        </w:trPr>
        <w:tc>
          <w:tcPr>
            <w:tcW w:w="6660" w:type="dxa"/>
            <w:vAlign w:val="bottom"/>
            <w:gridSpan w:val="2"/>
          </w:tcPr>
          <w:p>
            <w:pPr>
              <w:spacing w:after="0"/>
              <w:rPr>
                <w:sz w:val="20"/>
                <w:szCs w:val="20"/>
                <w:color w:val="auto"/>
              </w:rPr>
            </w:pPr>
            <w:r>
              <w:rPr>
                <w:rFonts w:ascii="Arial" w:cs="Arial" w:eastAsia="Arial" w:hAnsi="Arial"/>
                <w:sz w:val="16"/>
                <w:szCs w:val="16"/>
                <w:color w:val="auto"/>
              </w:rPr>
              <w:t>Business Profile</w:t>
            </w:r>
          </w:p>
        </w:tc>
        <w:tc>
          <w:tcPr>
            <w:tcW w:w="15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08"/>
        </w:trPr>
        <w:tc>
          <w:tcPr>
            <w:tcW w:w="6660" w:type="dxa"/>
            <w:vAlign w:val="bottom"/>
            <w:gridSpan w:val="2"/>
          </w:tcPr>
          <w:p>
            <w:pPr>
              <w:spacing w:after="0"/>
              <w:rPr>
                <w:sz w:val="20"/>
                <w:szCs w:val="20"/>
                <w:color w:val="auto"/>
              </w:rPr>
            </w:pPr>
            <w:r>
              <w:rPr>
                <w:rFonts w:ascii="Arial" w:cs="Arial" w:eastAsia="Arial" w:hAnsi="Arial"/>
                <w:sz w:val="16"/>
                <w:szCs w:val="16"/>
                <w:color w:val="auto"/>
              </w:rPr>
              <w:t>Financial Summary</w:t>
            </w:r>
          </w:p>
        </w:tc>
        <w:tc>
          <w:tcPr>
            <w:tcW w:w="15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08"/>
        </w:trPr>
        <w:tc>
          <w:tcPr>
            <w:tcW w:w="6660" w:type="dxa"/>
            <w:vAlign w:val="bottom"/>
            <w:gridSpan w:val="2"/>
          </w:tcPr>
          <w:p>
            <w:pPr>
              <w:spacing w:after="0"/>
              <w:rPr>
                <w:sz w:val="20"/>
                <w:szCs w:val="20"/>
                <w:color w:val="auto"/>
              </w:rPr>
            </w:pPr>
            <w:r>
              <w:rPr>
                <w:rFonts w:ascii="Arial" w:cs="Arial" w:eastAsia="Arial" w:hAnsi="Arial"/>
                <w:sz w:val="16"/>
                <w:szCs w:val="16"/>
                <w:color w:val="auto"/>
              </w:rPr>
              <w:t>Frequently Used Terms</w:t>
            </w:r>
          </w:p>
        </w:tc>
        <w:tc>
          <w:tcPr>
            <w:tcW w:w="158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08"/>
        </w:trPr>
        <w:tc>
          <w:tcPr>
            <w:tcW w:w="6660" w:type="dxa"/>
            <w:vAlign w:val="bottom"/>
            <w:gridSpan w:val="2"/>
          </w:tcPr>
          <w:p>
            <w:pPr>
              <w:spacing w:after="0"/>
              <w:rPr>
                <w:sz w:val="20"/>
                <w:szCs w:val="20"/>
                <w:color w:val="auto"/>
              </w:rPr>
            </w:pPr>
            <w:r>
              <w:rPr>
                <w:rFonts w:ascii="Arial" w:cs="Arial" w:eastAsia="Arial" w:hAnsi="Arial"/>
                <w:sz w:val="16"/>
                <w:szCs w:val="16"/>
                <w:color w:val="auto"/>
              </w:rPr>
              <w:t>Quarterly Information</w:t>
            </w:r>
          </w:p>
        </w:tc>
        <w:tc>
          <w:tcPr>
            <w:tcW w:w="15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197"/>
        </w:trPr>
        <w:tc>
          <w:tcPr>
            <w:tcW w:w="6660" w:type="dxa"/>
            <w:vAlign w:val="bottom"/>
            <w:gridSpan w:val="2"/>
          </w:tcPr>
          <w:p>
            <w:pPr>
              <w:spacing w:after="0"/>
              <w:rPr>
                <w:sz w:val="20"/>
                <w:szCs w:val="20"/>
                <w:color w:val="auto"/>
              </w:rPr>
            </w:pPr>
            <w:r>
              <w:rPr>
                <w:rFonts w:ascii="Arial" w:cs="Arial" w:eastAsia="Arial" w:hAnsi="Arial"/>
                <w:sz w:val="16"/>
                <w:szCs w:val="16"/>
                <w:color w:val="auto"/>
              </w:rPr>
              <w:t>Management’s Discussion and Analysis of Financial Condition</w:t>
            </w:r>
          </w:p>
        </w:tc>
        <w:tc>
          <w:tcPr>
            <w:tcW w:w="1580" w:type="dxa"/>
            <w:vAlign w:val="bottom"/>
          </w:tcPr>
          <w:p>
            <w:pPr>
              <w:spacing w:after="0"/>
              <w:rPr>
                <w:sz w:val="17"/>
                <w:szCs w:val="17"/>
                <w:color w:val="auto"/>
              </w:rPr>
            </w:pPr>
          </w:p>
        </w:tc>
      </w:tr>
      <w:tr>
        <w:trPr>
          <w:trHeight w:val="196"/>
        </w:trPr>
        <w:tc>
          <w:tcPr>
            <w:tcW w:w="6660" w:type="dxa"/>
            <w:vAlign w:val="bottom"/>
            <w:gridSpan w:val="2"/>
          </w:tcPr>
          <w:p>
            <w:pPr>
              <w:spacing w:after="0"/>
              <w:rPr>
                <w:sz w:val="20"/>
                <w:szCs w:val="20"/>
                <w:color w:val="auto"/>
              </w:rPr>
            </w:pPr>
            <w:r>
              <w:rPr>
                <w:rFonts w:ascii="Arial" w:cs="Arial" w:eastAsia="Arial" w:hAnsi="Arial"/>
                <w:sz w:val="16"/>
                <w:szCs w:val="16"/>
                <w:color w:val="auto"/>
              </w:rPr>
              <w:t>and Results of Operations</w:t>
            </w:r>
          </w:p>
        </w:tc>
        <w:tc>
          <w:tcPr>
            <w:tcW w:w="1580" w:type="dxa"/>
            <w:vAlign w:val="bottom"/>
          </w:tcPr>
          <w:p>
            <w:pPr>
              <w:spacing w:after="0"/>
              <w:rPr>
                <w:sz w:val="17"/>
                <w:szCs w:val="17"/>
                <w:color w:val="auto"/>
              </w:rPr>
            </w:pPr>
          </w:p>
        </w:tc>
      </w:tr>
      <w:tr>
        <w:trPr>
          <w:trHeight w:val="208"/>
        </w:trPr>
        <w:tc>
          <w:tcPr>
            <w:tcW w:w="6660" w:type="dxa"/>
            <w:vAlign w:val="bottom"/>
            <w:gridSpan w:val="2"/>
          </w:tcPr>
          <w:p>
            <w:pPr>
              <w:ind w:left="200"/>
              <w:spacing w:after="0"/>
              <w:rPr>
                <w:sz w:val="20"/>
                <w:szCs w:val="20"/>
                <w:color w:val="auto"/>
              </w:rPr>
            </w:pPr>
            <w:r>
              <w:rPr>
                <w:rFonts w:ascii="Arial" w:cs="Arial" w:eastAsia="Arial" w:hAnsi="Arial"/>
                <w:sz w:val="16"/>
                <w:szCs w:val="16"/>
                <w:color w:val="auto"/>
              </w:rPr>
              <w:t>Functional Earnings</w:t>
            </w:r>
          </w:p>
        </w:tc>
        <w:tc>
          <w:tcPr>
            <w:tcW w:w="158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08"/>
        </w:trPr>
        <w:tc>
          <w:tcPr>
            <w:tcW w:w="6660" w:type="dxa"/>
            <w:vAlign w:val="bottom"/>
            <w:gridSpan w:val="2"/>
          </w:tcPr>
          <w:p>
            <w:pPr>
              <w:ind w:left="200"/>
              <w:spacing w:after="0"/>
              <w:rPr>
                <w:sz w:val="20"/>
                <w:szCs w:val="20"/>
                <w:color w:val="auto"/>
              </w:rPr>
            </w:pPr>
            <w:r>
              <w:rPr>
                <w:rFonts w:ascii="Arial" w:cs="Arial" w:eastAsia="Arial" w:hAnsi="Arial"/>
                <w:sz w:val="16"/>
                <w:szCs w:val="16"/>
                <w:color w:val="auto"/>
              </w:rPr>
              <w:t>Forward-Looking Statements</w:t>
            </w:r>
          </w:p>
        </w:tc>
        <w:tc>
          <w:tcPr>
            <w:tcW w:w="158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08"/>
        </w:trPr>
        <w:tc>
          <w:tcPr>
            <w:tcW w:w="6660" w:type="dxa"/>
            <w:vAlign w:val="bottom"/>
            <w:gridSpan w:val="2"/>
          </w:tcPr>
          <w:p>
            <w:pPr>
              <w:ind w:left="200"/>
              <w:spacing w:after="0"/>
              <w:rPr>
                <w:sz w:val="20"/>
                <w:szCs w:val="20"/>
                <w:color w:val="auto"/>
              </w:rPr>
            </w:pPr>
            <w:r>
              <w:rPr>
                <w:rFonts w:ascii="Arial" w:cs="Arial" w:eastAsia="Arial" w:hAnsi="Arial"/>
                <w:sz w:val="16"/>
                <w:szCs w:val="16"/>
                <w:color w:val="auto"/>
              </w:rPr>
              <w:t>Overview</w:t>
            </w:r>
          </w:p>
        </w:tc>
        <w:tc>
          <w:tcPr>
            <w:tcW w:w="158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08"/>
        </w:trPr>
        <w:tc>
          <w:tcPr>
            <w:tcW w:w="6660" w:type="dxa"/>
            <w:vAlign w:val="bottom"/>
            <w:gridSpan w:val="2"/>
          </w:tcPr>
          <w:p>
            <w:pPr>
              <w:ind w:left="200"/>
              <w:spacing w:after="0"/>
              <w:rPr>
                <w:sz w:val="20"/>
                <w:szCs w:val="20"/>
                <w:color w:val="auto"/>
              </w:rPr>
            </w:pPr>
            <w:r>
              <w:rPr>
                <w:rFonts w:ascii="Arial" w:cs="Arial" w:eastAsia="Arial" w:hAnsi="Arial"/>
                <w:sz w:val="16"/>
                <w:szCs w:val="16"/>
                <w:color w:val="auto"/>
              </w:rPr>
              <w:t>Business Environment and Risk Assessment</w:t>
            </w:r>
          </w:p>
        </w:tc>
        <w:tc>
          <w:tcPr>
            <w:tcW w:w="158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08"/>
        </w:trPr>
        <w:tc>
          <w:tcPr>
            <w:tcW w:w="6660" w:type="dxa"/>
            <w:vAlign w:val="bottom"/>
            <w:gridSpan w:val="2"/>
          </w:tcPr>
          <w:p>
            <w:pPr>
              <w:ind w:left="200"/>
              <w:spacing w:after="0"/>
              <w:rPr>
                <w:sz w:val="20"/>
                <w:szCs w:val="20"/>
                <w:color w:val="auto"/>
              </w:rPr>
            </w:pPr>
            <w:r>
              <w:rPr>
                <w:rFonts w:ascii="Arial" w:cs="Arial" w:eastAsia="Arial" w:hAnsi="Arial"/>
                <w:sz w:val="16"/>
                <w:szCs w:val="16"/>
                <w:color w:val="auto"/>
              </w:rPr>
              <w:t>Review of 2014 and 2013 Results</w:t>
            </w:r>
          </w:p>
        </w:tc>
        <w:tc>
          <w:tcPr>
            <w:tcW w:w="158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08"/>
        </w:trPr>
        <w:tc>
          <w:tcPr>
            <w:tcW w:w="6660" w:type="dxa"/>
            <w:vAlign w:val="bottom"/>
            <w:gridSpan w:val="2"/>
          </w:tcPr>
          <w:p>
            <w:pPr>
              <w:ind w:left="200"/>
              <w:spacing w:after="0"/>
              <w:rPr>
                <w:sz w:val="20"/>
                <w:szCs w:val="20"/>
                <w:color w:val="auto"/>
              </w:rPr>
            </w:pPr>
            <w:r>
              <w:rPr>
                <w:rFonts w:ascii="Arial" w:cs="Arial" w:eastAsia="Arial" w:hAnsi="Arial"/>
                <w:sz w:val="16"/>
                <w:szCs w:val="16"/>
                <w:color w:val="auto"/>
              </w:rPr>
              <w:t>Liquidity and Capital Resources</w:t>
            </w:r>
          </w:p>
        </w:tc>
        <w:tc>
          <w:tcPr>
            <w:tcW w:w="158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08"/>
        </w:trPr>
        <w:tc>
          <w:tcPr>
            <w:tcW w:w="6660" w:type="dxa"/>
            <w:vAlign w:val="bottom"/>
            <w:gridSpan w:val="2"/>
          </w:tcPr>
          <w:p>
            <w:pPr>
              <w:ind w:left="200"/>
              <w:spacing w:after="0"/>
              <w:rPr>
                <w:sz w:val="20"/>
                <w:szCs w:val="20"/>
                <w:color w:val="auto"/>
              </w:rPr>
            </w:pPr>
            <w:r>
              <w:rPr>
                <w:rFonts w:ascii="Arial" w:cs="Arial" w:eastAsia="Arial" w:hAnsi="Arial"/>
                <w:sz w:val="16"/>
                <w:szCs w:val="16"/>
                <w:color w:val="auto"/>
              </w:rPr>
              <w:t>Capital and Exploration Expenditures</w:t>
            </w:r>
          </w:p>
        </w:tc>
        <w:tc>
          <w:tcPr>
            <w:tcW w:w="15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08"/>
        </w:trPr>
        <w:tc>
          <w:tcPr>
            <w:tcW w:w="6660" w:type="dxa"/>
            <w:vAlign w:val="bottom"/>
            <w:gridSpan w:val="2"/>
          </w:tcPr>
          <w:p>
            <w:pPr>
              <w:ind w:left="200"/>
              <w:spacing w:after="0"/>
              <w:rPr>
                <w:sz w:val="20"/>
                <w:szCs w:val="20"/>
                <w:color w:val="auto"/>
              </w:rPr>
            </w:pPr>
            <w:r>
              <w:rPr>
                <w:rFonts w:ascii="Arial" w:cs="Arial" w:eastAsia="Arial" w:hAnsi="Arial"/>
                <w:sz w:val="16"/>
                <w:szCs w:val="16"/>
                <w:color w:val="auto"/>
              </w:rPr>
              <w:t>Taxes</w:t>
            </w:r>
          </w:p>
        </w:tc>
        <w:tc>
          <w:tcPr>
            <w:tcW w:w="15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08"/>
        </w:trPr>
        <w:tc>
          <w:tcPr>
            <w:tcW w:w="6660" w:type="dxa"/>
            <w:vAlign w:val="bottom"/>
            <w:gridSpan w:val="2"/>
          </w:tcPr>
          <w:p>
            <w:pPr>
              <w:ind w:left="200"/>
              <w:spacing w:after="0"/>
              <w:rPr>
                <w:sz w:val="20"/>
                <w:szCs w:val="20"/>
                <w:color w:val="auto"/>
              </w:rPr>
            </w:pPr>
            <w:r>
              <w:rPr>
                <w:rFonts w:ascii="Arial" w:cs="Arial" w:eastAsia="Arial" w:hAnsi="Arial"/>
                <w:sz w:val="16"/>
                <w:szCs w:val="16"/>
                <w:color w:val="auto"/>
              </w:rPr>
              <w:t>Environmental Matters</w:t>
            </w:r>
          </w:p>
        </w:tc>
        <w:tc>
          <w:tcPr>
            <w:tcW w:w="158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08"/>
        </w:trPr>
        <w:tc>
          <w:tcPr>
            <w:tcW w:w="6660" w:type="dxa"/>
            <w:vAlign w:val="bottom"/>
            <w:gridSpan w:val="2"/>
          </w:tcPr>
          <w:p>
            <w:pPr>
              <w:ind w:left="200"/>
              <w:spacing w:after="0"/>
              <w:rPr>
                <w:sz w:val="20"/>
                <w:szCs w:val="20"/>
                <w:color w:val="auto"/>
              </w:rPr>
            </w:pPr>
            <w:r>
              <w:rPr>
                <w:rFonts w:ascii="Arial" w:cs="Arial" w:eastAsia="Arial" w:hAnsi="Arial"/>
                <w:sz w:val="16"/>
                <w:szCs w:val="16"/>
                <w:color w:val="auto"/>
              </w:rPr>
              <w:t>Market Risks, Inflation and Other Uncertainties</w:t>
            </w:r>
          </w:p>
        </w:tc>
        <w:tc>
          <w:tcPr>
            <w:tcW w:w="158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08"/>
        </w:trPr>
        <w:tc>
          <w:tcPr>
            <w:tcW w:w="6660" w:type="dxa"/>
            <w:vAlign w:val="bottom"/>
            <w:gridSpan w:val="2"/>
          </w:tcPr>
          <w:p>
            <w:pPr>
              <w:ind w:left="200"/>
              <w:spacing w:after="0"/>
              <w:rPr>
                <w:sz w:val="20"/>
                <w:szCs w:val="20"/>
                <w:color w:val="auto"/>
              </w:rPr>
            </w:pPr>
            <w:r>
              <w:rPr>
                <w:rFonts w:ascii="Arial" w:cs="Arial" w:eastAsia="Arial" w:hAnsi="Arial"/>
                <w:sz w:val="16"/>
                <w:szCs w:val="16"/>
                <w:color w:val="auto"/>
              </w:rPr>
              <w:t>Recently Issued Accounting Standards</w:t>
            </w:r>
          </w:p>
        </w:tc>
        <w:tc>
          <w:tcPr>
            <w:tcW w:w="158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08"/>
        </w:trPr>
        <w:tc>
          <w:tcPr>
            <w:tcW w:w="6660" w:type="dxa"/>
            <w:vAlign w:val="bottom"/>
            <w:gridSpan w:val="2"/>
          </w:tcPr>
          <w:p>
            <w:pPr>
              <w:ind w:left="200"/>
              <w:spacing w:after="0"/>
              <w:rPr>
                <w:sz w:val="20"/>
                <w:szCs w:val="20"/>
                <w:color w:val="auto"/>
              </w:rPr>
            </w:pPr>
            <w:r>
              <w:rPr>
                <w:rFonts w:ascii="Arial" w:cs="Arial" w:eastAsia="Arial" w:hAnsi="Arial"/>
                <w:sz w:val="16"/>
                <w:szCs w:val="16"/>
                <w:color w:val="auto"/>
              </w:rPr>
              <w:t>Critical Accounting Estimates</w:t>
            </w:r>
          </w:p>
        </w:tc>
        <w:tc>
          <w:tcPr>
            <w:tcW w:w="158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08"/>
        </w:trPr>
        <w:tc>
          <w:tcPr>
            <w:tcW w:w="6660" w:type="dxa"/>
            <w:vAlign w:val="bottom"/>
            <w:gridSpan w:val="2"/>
          </w:tcPr>
          <w:p>
            <w:pPr>
              <w:spacing w:after="0"/>
              <w:rPr>
                <w:sz w:val="20"/>
                <w:szCs w:val="20"/>
                <w:color w:val="auto"/>
              </w:rPr>
            </w:pPr>
            <w:r>
              <w:rPr>
                <w:rFonts w:ascii="Arial" w:cs="Arial" w:eastAsia="Arial" w:hAnsi="Arial"/>
                <w:sz w:val="16"/>
                <w:szCs w:val="16"/>
                <w:color w:val="auto"/>
              </w:rPr>
              <w:t>Management’s Report on Internal Control Over Financial Reporting</w:t>
            </w:r>
          </w:p>
        </w:tc>
        <w:tc>
          <w:tcPr>
            <w:tcW w:w="158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08"/>
        </w:trPr>
        <w:tc>
          <w:tcPr>
            <w:tcW w:w="6660" w:type="dxa"/>
            <w:vAlign w:val="bottom"/>
            <w:gridSpan w:val="2"/>
          </w:tcPr>
          <w:p>
            <w:pPr>
              <w:spacing w:after="0"/>
              <w:rPr>
                <w:sz w:val="20"/>
                <w:szCs w:val="20"/>
                <w:color w:val="auto"/>
              </w:rPr>
            </w:pPr>
            <w:r>
              <w:rPr>
                <w:rFonts w:ascii="Arial" w:cs="Arial" w:eastAsia="Arial" w:hAnsi="Arial"/>
                <w:sz w:val="16"/>
                <w:szCs w:val="16"/>
                <w:color w:val="auto"/>
              </w:rPr>
              <w:t>Report of Independent Registered Public Accounting Firm</w:t>
            </w:r>
          </w:p>
        </w:tc>
        <w:tc>
          <w:tcPr>
            <w:tcW w:w="158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197"/>
        </w:trPr>
        <w:tc>
          <w:tcPr>
            <w:tcW w:w="6660" w:type="dxa"/>
            <w:vAlign w:val="bottom"/>
            <w:gridSpan w:val="2"/>
          </w:tcPr>
          <w:p>
            <w:pPr>
              <w:spacing w:after="0"/>
              <w:rPr>
                <w:sz w:val="20"/>
                <w:szCs w:val="20"/>
                <w:color w:val="auto"/>
              </w:rPr>
            </w:pPr>
            <w:r>
              <w:rPr>
                <w:rFonts w:ascii="Arial" w:cs="Arial" w:eastAsia="Arial" w:hAnsi="Arial"/>
                <w:sz w:val="16"/>
                <w:szCs w:val="16"/>
                <w:color w:val="auto"/>
              </w:rPr>
              <w:t>Consolidated Financial Statements</w:t>
            </w:r>
          </w:p>
        </w:tc>
        <w:tc>
          <w:tcPr>
            <w:tcW w:w="1580" w:type="dxa"/>
            <w:vAlign w:val="bottom"/>
          </w:tcPr>
          <w:p>
            <w:pPr>
              <w:spacing w:after="0"/>
              <w:rPr>
                <w:sz w:val="17"/>
                <w:szCs w:val="17"/>
                <w:color w:val="auto"/>
              </w:rPr>
            </w:pPr>
          </w:p>
        </w:tc>
      </w:tr>
      <w:tr>
        <w:trPr>
          <w:trHeight w:val="208"/>
        </w:trPr>
        <w:tc>
          <w:tcPr>
            <w:tcW w:w="6660" w:type="dxa"/>
            <w:vAlign w:val="bottom"/>
            <w:gridSpan w:val="2"/>
          </w:tcPr>
          <w:p>
            <w:pPr>
              <w:ind w:left="200"/>
              <w:spacing w:after="0"/>
              <w:rPr>
                <w:sz w:val="20"/>
                <w:szCs w:val="20"/>
                <w:color w:val="auto"/>
              </w:rPr>
            </w:pPr>
            <w:r>
              <w:rPr>
                <w:rFonts w:ascii="Arial" w:cs="Arial" w:eastAsia="Arial" w:hAnsi="Arial"/>
                <w:sz w:val="16"/>
                <w:szCs w:val="16"/>
                <w:color w:val="auto"/>
              </w:rPr>
              <w:t>Statement of Income</w:t>
            </w:r>
          </w:p>
        </w:tc>
        <w:tc>
          <w:tcPr>
            <w:tcW w:w="15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08"/>
        </w:trPr>
        <w:tc>
          <w:tcPr>
            <w:tcW w:w="6660" w:type="dxa"/>
            <w:vAlign w:val="bottom"/>
            <w:gridSpan w:val="2"/>
          </w:tcPr>
          <w:p>
            <w:pPr>
              <w:ind w:left="200"/>
              <w:spacing w:after="0"/>
              <w:rPr>
                <w:sz w:val="20"/>
                <w:szCs w:val="20"/>
                <w:color w:val="auto"/>
              </w:rPr>
            </w:pPr>
            <w:r>
              <w:rPr>
                <w:rFonts w:ascii="Arial" w:cs="Arial" w:eastAsia="Arial" w:hAnsi="Arial"/>
                <w:sz w:val="16"/>
                <w:szCs w:val="16"/>
                <w:color w:val="auto"/>
              </w:rPr>
              <w:t>Statement of Comprehensive Income</w:t>
            </w:r>
          </w:p>
        </w:tc>
        <w:tc>
          <w:tcPr>
            <w:tcW w:w="158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08"/>
        </w:trPr>
        <w:tc>
          <w:tcPr>
            <w:tcW w:w="6660" w:type="dxa"/>
            <w:vAlign w:val="bottom"/>
            <w:gridSpan w:val="2"/>
          </w:tcPr>
          <w:p>
            <w:pPr>
              <w:ind w:left="200"/>
              <w:spacing w:after="0"/>
              <w:rPr>
                <w:sz w:val="20"/>
                <w:szCs w:val="20"/>
                <w:color w:val="auto"/>
              </w:rPr>
            </w:pPr>
            <w:r>
              <w:rPr>
                <w:rFonts w:ascii="Arial" w:cs="Arial" w:eastAsia="Arial" w:hAnsi="Arial"/>
                <w:sz w:val="16"/>
                <w:szCs w:val="16"/>
                <w:color w:val="auto"/>
              </w:rPr>
              <w:t>Balance Sheet</w:t>
            </w:r>
          </w:p>
        </w:tc>
        <w:tc>
          <w:tcPr>
            <w:tcW w:w="15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08"/>
        </w:trPr>
        <w:tc>
          <w:tcPr>
            <w:tcW w:w="6660" w:type="dxa"/>
            <w:vAlign w:val="bottom"/>
            <w:gridSpan w:val="2"/>
          </w:tcPr>
          <w:p>
            <w:pPr>
              <w:ind w:left="200"/>
              <w:spacing w:after="0"/>
              <w:rPr>
                <w:sz w:val="20"/>
                <w:szCs w:val="20"/>
                <w:color w:val="auto"/>
              </w:rPr>
            </w:pPr>
            <w:r>
              <w:rPr>
                <w:rFonts w:ascii="Arial" w:cs="Arial" w:eastAsia="Arial" w:hAnsi="Arial"/>
                <w:sz w:val="16"/>
                <w:szCs w:val="16"/>
                <w:color w:val="auto"/>
              </w:rPr>
              <w:t>Statement of Cash Flows</w:t>
            </w:r>
          </w:p>
        </w:tc>
        <w:tc>
          <w:tcPr>
            <w:tcW w:w="15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08"/>
        </w:trPr>
        <w:tc>
          <w:tcPr>
            <w:tcW w:w="6660" w:type="dxa"/>
            <w:vAlign w:val="bottom"/>
            <w:gridSpan w:val="2"/>
          </w:tcPr>
          <w:p>
            <w:pPr>
              <w:ind w:left="200"/>
              <w:spacing w:after="0"/>
              <w:rPr>
                <w:sz w:val="20"/>
                <w:szCs w:val="20"/>
                <w:color w:val="auto"/>
              </w:rPr>
            </w:pPr>
            <w:r>
              <w:rPr>
                <w:rFonts w:ascii="Arial" w:cs="Arial" w:eastAsia="Arial" w:hAnsi="Arial"/>
                <w:sz w:val="16"/>
                <w:szCs w:val="16"/>
                <w:color w:val="auto"/>
              </w:rPr>
              <w:t>Statement of Changes in Equity</w:t>
            </w:r>
          </w:p>
        </w:tc>
        <w:tc>
          <w:tcPr>
            <w:tcW w:w="15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197"/>
        </w:trPr>
        <w:tc>
          <w:tcPr>
            <w:tcW w:w="6660" w:type="dxa"/>
            <w:vAlign w:val="bottom"/>
            <w:gridSpan w:val="2"/>
          </w:tcPr>
          <w:p>
            <w:pPr>
              <w:spacing w:after="0"/>
              <w:rPr>
                <w:sz w:val="20"/>
                <w:szCs w:val="20"/>
                <w:color w:val="auto"/>
              </w:rPr>
            </w:pPr>
            <w:r>
              <w:rPr>
                <w:rFonts w:ascii="Arial" w:cs="Arial" w:eastAsia="Arial" w:hAnsi="Arial"/>
                <w:sz w:val="16"/>
                <w:szCs w:val="16"/>
                <w:color w:val="auto"/>
              </w:rPr>
              <w:t>Notes to Consolidated Financial Statements</w:t>
            </w:r>
          </w:p>
        </w:tc>
        <w:tc>
          <w:tcPr>
            <w:tcW w:w="1580" w:type="dxa"/>
            <w:vAlign w:val="bottom"/>
          </w:tcPr>
          <w:p>
            <w:pPr>
              <w:spacing w:after="0"/>
              <w:rPr>
                <w:sz w:val="17"/>
                <w:szCs w:val="17"/>
                <w:color w:val="auto"/>
              </w:rPr>
            </w:pPr>
          </w:p>
        </w:tc>
      </w:tr>
      <w:tr>
        <w:trPr>
          <w:trHeight w:val="208"/>
        </w:trPr>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6240" w:type="dxa"/>
            <w:vAlign w:val="bottom"/>
          </w:tcPr>
          <w:p>
            <w:pPr>
              <w:ind w:left="20"/>
              <w:spacing w:after="0"/>
              <w:rPr>
                <w:sz w:val="20"/>
                <w:szCs w:val="20"/>
                <w:color w:val="auto"/>
              </w:rPr>
            </w:pPr>
            <w:r>
              <w:rPr>
                <w:rFonts w:ascii="Arial" w:cs="Arial" w:eastAsia="Arial" w:hAnsi="Arial"/>
                <w:sz w:val="16"/>
                <w:szCs w:val="16"/>
                <w:color w:val="auto"/>
              </w:rPr>
              <w:t>Summary of Accounting Policies</w:t>
            </w:r>
          </w:p>
        </w:tc>
        <w:tc>
          <w:tcPr>
            <w:tcW w:w="158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08"/>
        </w:trPr>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6240" w:type="dxa"/>
            <w:vAlign w:val="bottom"/>
          </w:tcPr>
          <w:p>
            <w:pPr>
              <w:ind w:left="20"/>
              <w:spacing w:after="0"/>
              <w:rPr>
                <w:sz w:val="20"/>
                <w:szCs w:val="20"/>
                <w:color w:val="auto"/>
              </w:rPr>
            </w:pPr>
            <w:r>
              <w:rPr>
                <w:rFonts w:ascii="Arial" w:cs="Arial" w:eastAsia="Arial" w:hAnsi="Arial"/>
                <w:sz w:val="16"/>
                <w:szCs w:val="16"/>
                <w:color w:val="auto"/>
              </w:rPr>
              <w:t>Accounting Changes</w:t>
            </w:r>
          </w:p>
        </w:tc>
        <w:tc>
          <w:tcPr>
            <w:tcW w:w="15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08"/>
        </w:trPr>
        <w:tc>
          <w:tcPr>
            <w:tcW w:w="420" w:type="dxa"/>
            <w:vAlign w:val="bottom"/>
          </w:tcPr>
          <w:p>
            <w:pPr>
              <w:jc w:val="right"/>
              <w:spacing w:after="0"/>
              <w:rPr>
                <w:sz w:val="20"/>
                <w:szCs w:val="20"/>
                <w:color w:val="auto"/>
              </w:rPr>
            </w:pPr>
            <w:r>
              <w:rPr>
                <w:rFonts w:ascii="Arial" w:cs="Arial" w:eastAsia="Arial" w:hAnsi="Arial"/>
                <w:sz w:val="16"/>
                <w:szCs w:val="16"/>
                <w:color w:val="auto"/>
              </w:rPr>
              <w:t>3.</w:t>
            </w:r>
          </w:p>
        </w:tc>
        <w:tc>
          <w:tcPr>
            <w:tcW w:w="6240" w:type="dxa"/>
            <w:vAlign w:val="bottom"/>
          </w:tcPr>
          <w:p>
            <w:pPr>
              <w:ind w:left="20"/>
              <w:spacing w:after="0"/>
              <w:rPr>
                <w:sz w:val="20"/>
                <w:szCs w:val="20"/>
                <w:color w:val="auto"/>
              </w:rPr>
            </w:pPr>
            <w:r>
              <w:rPr>
                <w:rFonts w:ascii="Arial" w:cs="Arial" w:eastAsia="Arial" w:hAnsi="Arial"/>
                <w:sz w:val="16"/>
                <w:szCs w:val="16"/>
                <w:color w:val="auto"/>
              </w:rPr>
              <w:t>Miscellaneous Financial Information</w:t>
            </w:r>
          </w:p>
        </w:tc>
        <w:tc>
          <w:tcPr>
            <w:tcW w:w="15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08"/>
        </w:trPr>
        <w:tc>
          <w:tcPr>
            <w:tcW w:w="420" w:type="dxa"/>
            <w:vAlign w:val="bottom"/>
          </w:tcPr>
          <w:p>
            <w:pPr>
              <w:jc w:val="right"/>
              <w:spacing w:after="0"/>
              <w:rPr>
                <w:sz w:val="20"/>
                <w:szCs w:val="20"/>
                <w:color w:val="auto"/>
              </w:rPr>
            </w:pPr>
            <w:r>
              <w:rPr>
                <w:rFonts w:ascii="Arial" w:cs="Arial" w:eastAsia="Arial" w:hAnsi="Arial"/>
                <w:sz w:val="16"/>
                <w:szCs w:val="16"/>
                <w:color w:val="auto"/>
              </w:rPr>
              <w:t>4.</w:t>
            </w:r>
          </w:p>
        </w:tc>
        <w:tc>
          <w:tcPr>
            <w:tcW w:w="6240" w:type="dxa"/>
            <w:vAlign w:val="bottom"/>
          </w:tcPr>
          <w:p>
            <w:pPr>
              <w:ind w:left="20"/>
              <w:spacing w:after="0"/>
              <w:rPr>
                <w:sz w:val="20"/>
                <w:szCs w:val="20"/>
                <w:color w:val="auto"/>
              </w:rPr>
            </w:pPr>
            <w:r>
              <w:rPr>
                <w:rFonts w:ascii="Arial" w:cs="Arial" w:eastAsia="Arial" w:hAnsi="Arial"/>
                <w:sz w:val="16"/>
                <w:szCs w:val="16"/>
                <w:color w:val="auto"/>
              </w:rPr>
              <w:t>Other Comprehensive Income Information</w:t>
            </w:r>
          </w:p>
        </w:tc>
        <w:tc>
          <w:tcPr>
            <w:tcW w:w="15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08"/>
        </w:trPr>
        <w:tc>
          <w:tcPr>
            <w:tcW w:w="420" w:type="dxa"/>
            <w:vAlign w:val="bottom"/>
          </w:tcPr>
          <w:p>
            <w:pPr>
              <w:jc w:val="right"/>
              <w:spacing w:after="0"/>
              <w:rPr>
                <w:sz w:val="20"/>
                <w:szCs w:val="20"/>
                <w:color w:val="auto"/>
              </w:rPr>
            </w:pPr>
            <w:r>
              <w:rPr>
                <w:rFonts w:ascii="Arial" w:cs="Arial" w:eastAsia="Arial" w:hAnsi="Arial"/>
                <w:sz w:val="16"/>
                <w:szCs w:val="16"/>
                <w:color w:val="auto"/>
              </w:rPr>
              <w:t>5.</w:t>
            </w:r>
          </w:p>
        </w:tc>
        <w:tc>
          <w:tcPr>
            <w:tcW w:w="6240" w:type="dxa"/>
            <w:vAlign w:val="bottom"/>
          </w:tcPr>
          <w:p>
            <w:pPr>
              <w:ind w:left="20"/>
              <w:spacing w:after="0"/>
              <w:rPr>
                <w:sz w:val="20"/>
                <w:szCs w:val="20"/>
                <w:color w:val="auto"/>
              </w:rPr>
            </w:pPr>
            <w:r>
              <w:rPr>
                <w:rFonts w:ascii="Arial" w:cs="Arial" w:eastAsia="Arial" w:hAnsi="Arial"/>
                <w:sz w:val="16"/>
                <w:szCs w:val="16"/>
                <w:color w:val="auto"/>
              </w:rPr>
              <w:t>Cash Flow Information</w:t>
            </w:r>
          </w:p>
        </w:tc>
        <w:tc>
          <w:tcPr>
            <w:tcW w:w="158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08"/>
        </w:trPr>
        <w:tc>
          <w:tcPr>
            <w:tcW w:w="420" w:type="dxa"/>
            <w:vAlign w:val="bottom"/>
          </w:tcPr>
          <w:p>
            <w:pPr>
              <w:jc w:val="right"/>
              <w:spacing w:after="0"/>
              <w:rPr>
                <w:sz w:val="20"/>
                <w:szCs w:val="20"/>
                <w:color w:val="auto"/>
              </w:rPr>
            </w:pPr>
            <w:r>
              <w:rPr>
                <w:rFonts w:ascii="Arial" w:cs="Arial" w:eastAsia="Arial" w:hAnsi="Arial"/>
                <w:sz w:val="16"/>
                <w:szCs w:val="16"/>
                <w:color w:val="auto"/>
              </w:rPr>
              <w:t>6.</w:t>
            </w:r>
          </w:p>
        </w:tc>
        <w:tc>
          <w:tcPr>
            <w:tcW w:w="6240" w:type="dxa"/>
            <w:vAlign w:val="bottom"/>
          </w:tcPr>
          <w:p>
            <w:pPr>
              <w:ind w:left="20"/>
              <w:spacing w:after="0"/>
              <w:rPr>
                <w:sz w:val="20"/>
                <w:szCs w:val="20"/>
                <w:color w:val="auto"/>
              </w:rPr>
            </w:pPr>
            <w:r>
              <w:rPr>
                <w:rFonts w:ascii="Arial" w:cs="Arial" w:eastAsia="Arial" w:hAnsi="Arial"/>
                <w:sz w:val="16"/>
                <w:szCs w:val="16"/>
                <w:color w:val="auto"/>
              </w:rPr>
              <w:t>Additional Working Capital Information</w:t>
            </w:r>
          </w:p>
        </w:tc>
        <w:tc>
          <w:tcPr>
            <w:tcW w:w="158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08"/>
        </w:trPr>
        <w:tc>
          <w:tcPr>
            <w:tcW w:w="420" w:type="dxa"/>
            <w:vAlign w:val="bottom"/>
          </w:tcPr>
          <w:p>
            <w:pPr>
              <w:jc w:val="right"/>
              <w:spacing w:after="0"/>
              <w:rPr>
                <w:sz w:val="20"/>
                <w:szCs w:val="20"/>
                <w:color w:val="auto"/>
              </w:rPr>
            </w:pPr>
            <w:r>
              <w:rPr>
                <w:rFonts w:ascii="Arial" w:cs="Arial" w:eastAsia="Arial" w:hAnsi="Arial"/>
                <w:sz w:val="16"/>
                <w:szCs w:val="16"/>
                <w:color w:val="auto"/>
              </w:rPr>
              <w:t>7.</w:t>
            </w:r>
          </w:p>
        </w:tc>
        <w:tc>
          <w:tcPr>
            <w:tcW w:w="6240" w:type="dxa"/>
            <w:vAlign w:val="bottom"/>
          </w:tcPr>
          <w:p>
            <w:pPr>
              <w:ind w:left="20"/>
              <w:spacing w:after="0"/>
              <w:rPr>
                <w:sz w:val="20"/>
                <w:szCs w:val="20"/>
                <w:color w:val="auto"/>
              </w:rPr>
            </w:pPr>
            <w:r>
              <w:rPr>
                <w:rFonts w:ascii="Arial" w:cs="Arial" w:eastAsia="Arial" w:hAnsi="Arial"/>
                <w:sz w:val="16"/>
                <w:szCs w:val="16"/>
                <w:color w:val="auto"/>
              </w:rPr>
              <w:t>Equity Company Information</w:t>
            </w:r>
          </w:p>
        </w:tc>
        <w:tc>
          <w:tcPr>
            <w:tcW w:w="15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08"/>
        </w:trPr>
        <w:tc>
          <w:tcPr>
            <w:tcW w:w="420" w:type="dxa"/>
            <w:vAlign w:val="bottom"/>
          </w:tcPr>
          <w:p>
            <w:pPr>
              <w:jc w:val="right"/>
              <w:spacing w:after="0"/>
              <w:rPr>
                <w:sz w:val="20"/>
                <w:szCs w:val="20"/>
                <w:color w:val="auto"/>
              </w:rPr>
            </w:pPr>
            <w:r>
              <w:rPr>
                <w:rFonts w:ascii="Arial" w:cs="Arial" w:eastAsia="Arial" w:hAnsi="Arial"/>
                <w:sz w:val="16"/>
                <w:szCs w:val="16"/>
                <w:color w:val="auto"/>
              </w:rPr>
              <w:t>8.</w:t>
            </w:r>
          </w:p>
        </w:tc>
        <w:tc>
          <w:tcPr>
            <w:tcW w:w="6240" w:type="dxa"/>
            <w:vAlign w:val="bottom"/>
          </w:tcPr>
          <w:p>
            <w:pPr>
              <w:ind w:left="20"/>
              <w:spacing w:after="0"/>
              <w:rPr>
                <w:sz w:val="20"/>
                <w:szCs w:val="20"/>
                <w:color w:val="auto"/>
              </w:rPr>
            </w:pPr>
            <w:r>
              <w:rPr>
                <w:rFonts w:ascii="Arial" w:cs="Arial" w:eastAsia="Arial" w:hAnsi="Arial"/>
                <w:sz w:val="16"/>
                <w:szCs w:val="16"/>
                <w:color w:val="auto"/>
              </w:rPr>
              <w:t>Investments, Advances and Long-Term Receivables</w:t>
            </w:r>
          </w:p>
        </w:tc>
        <w:tc>
          <w:tcPr>
            <w:tcW w:w="158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08"/>
        </w:trPr>
        <w:tc>
          <w:tcPr>
            <w:tcW w:w="420" w:type="dxa"/>
            <w:vAlign w:val="bottom"/>
          </w:tcPr>
          <w:p>
            <w:pPr>
              <w:jc w:val="right"/>
              <w:spacing w:after="0"/>
              <w:rPr>
                <w:sz w:val="20"/>
                <w:szCs w:val="20"/>
                <w:color w:val="auto"/>
              </w:rPr>
            </w:pPr>
            <w:r>
              <w:rPr>
                <w:rFonts w:ascii="Arial" w:cs="Arial" w:eastAsia="Arial" w:hAnsi="Arial"/>
                <w:sz w:val="16"/>
                <w:szCs w:val="16"/>
                <w:color w:val="auto"/>
              </w:rPr>
              <w:t>9.</w:t>
            </w:r>
          </w:p>
        </w:tc>
        <w:tc>
          <w:tcPr>
            <w:tcW w:w="6240" w:type="dxa"/>
            <w:vAlign w:val="bottom"/>
          </w:tcPr>
          <w:p>
            <w:pPr>
              <w:ind w:left="20"/>
              <w:spacing w:after="0"/>
              <w:rPr>
                <w:sz w:val="20"/>
                <w:szCs w:val="20"/>
                <w:color w:val="auto"/>
              </w:rPr>
            </w:pPr>
            <w:r>
              <w:rPr>
                <w:rFonts w:ascii="Arial" w:cs="Arial" w:eastAsia="Arial" w:hAnsi="Arial"/>
                <w:sz w:val="16"/>
                <w:szCs w:val="16"/>
                <w:color w:val="auto"/>
              </w:rPr>
              <w:t>Property, Plant and Equipment and Asset Retirement Obligations</w:t>
            </w:r>
          </w:p>
        </w:tc>
        <w:tc>
          <w:tcPr>
            <w:tcW w:w="158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08"/>
        </w:trPr>
        <w:tc>
          <w:tcPr>
            <w:tcW w:w="420" w:type="dxa"/>
            <w:vAlign w:val="bottom"/>
          </w:tcPr>
          <w:p>
            <w:pPr>
              <w:jc w:val="right"/>
              <w:spacing w:after="0"/>
              <w:rPr>
                <w:sz w:val="20"/>
                <w:szCs w:val="20"/>
                <w:color w:val="auto"/>
              </w:rPr>
            </w:pPr>
            <w:r>
              <w:rPr>
                <w:rFonts w:ascii="Arial" w:cs="Arial" w:eastAsia="Arial" w:hAnsi="Arial"/>
                <w:sz w:val="16"/>
                <w:szCs w:val="16"/>
                <w:color w:val="auto"/>
              </w:rPr>
              <w:t>10.</w:t>
            </w:r>
          </w:p>
        </w:tc>
        <w:tc>
          <w:tcPr>
            <w:tcW w:w="6240" w:type="dxa"/>
            <w:vAlign w:val="bottom"/>
          </w:tcPr>
          <w:p>
            <w:pPr>
              <w:ind w:left="20"/>
              <w:spacing w:after="0"/>
              <w:rPr>
                <w:sz w:val="20"/>
                <w:szCs w:val="20"/>
                <w:color w:val="auto"/>
              </w:rPr>
            </w:pPr>
            <w:r>
              <w:rPr>
                <w:rFonts w:ascii="Arial" w:cs="Arial" w:eastAsia="Arial" w:hAnsi="Arial"/>
                <w:sz w:val="16"/>
                <w:szCs w:val="16"/>
                <w:color w:val="auto"/>
              </w:rPr>
              <w:t>Accounting for Suspended Exploratory Well Costs</w:t>
            </w:r>
          </w:p>
        </w:tc>
        <w:tc>
          <w:tcPr>
            <w:tcW w:w="158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08"/>
        </w:trPr>
        <w:tc>
          <w:tcPr>
            <w:tcW w:w="6660" w:type="dxa"/>
            <w:vAlign w:val="bottom"/>
            <w:gridSpan w:val="2"/>
          </w:tcPr>
          <w:p>
            <w:pPr>
              <w:ind w:left="200"/>
              <w:spacing w:after="0"/>
              <w:rPr>
                <w:sz w:val="20"/>
                <w:szCs w:val="20"/>
                <w:color w:val="auto"/>
              </w:rPr>
            </w:pPr>
            <w:r>
              <w:rPr>
                <w:rFonts w:ascii="Arial" w:cs="Arial" w:eastAsia="Arial" w:hAnsi="Arial"/>
                <w:sz w:val="16"/>
                <w:szCs w:val="16"/>
                <w:color w:val="auto"/>
              </w:rPr>
              <w:t>11. Leased Facilities</w:t>
            </w:r>
          </w:p>
        </w:tc>
        <w:tc>
          <w:tcPr>
            <w:tcW w:w="158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08"/>
        </w:trPr>
        <w:tc>
          <w:tcPr>
            <w:tcW w:w="420" w:type="dxa"/>
            <w:vAlign w:val="bottom"/>
          </w:tcPr>
          <w:p>
            <w:pPr>
              <w:jc w:val="right"/>
              <w:spacing w:after="0"/>
              <w:rPr>
                <w:sz w:val="20"/>
                <w:szCs w:val="20"/>
                <w:color w:val="auto"/>
              </w:rPr>
            </w:pPr>
            <w:r>
              <w:rPr>
                <w:rFonts w:ascii="Arial" w:cs="Arial" w:eastAsia="Arial" w:hAnsi="Arial"/>
                <w:sz w:val="16"/>
                <w:szCs w:val="16"/>
                <w:color w:val="auto"/>
              </w:rPr>
              <w:t>12.</w:t>
            </w:r>
          </w:p>
        </w:tc>
        <w:tc>
          <w:tcPr>
            <w:tcW w:w="6240" w:type="dxa"/>
            <w:vAlign w:val="bottom"/>
          </w:tcPr>
          <w:p>
            <w:pPr>
              <w:ind w:left="20"/>
              <w:spacing w:after="0"/>
              <w:rPr>
                <w:sz w:val="20"/>
                <w:szCs w:val="20"/>
                <w:color w:val="auto"/>
              </w:rPr>
            </w:pPr>
            <w:r>
              <w:rPr>
                <w:rFonts w:ascii="Arial" w:cs="Arial" w:eastAsia="Arial" w:hAnsi="Arial"/>
                <w:sz w:val="16"/>
                <w:szCs w:val="16"/>
                <w:color w:val="auto"/>
              </w:rPr>
              <w:t>Earnings Per Share</w:t>
            </w:r>
          </w:p>
        </w:tc>
        <w:tc>
          <w:tcPr>
            <w:tcW w:w="158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08"/>
        </w:trPr>
        <w:tc>
          <w:tcPr>
            <w:tcW w:w="420" w:type="dxa"/>
            <w:vAlign w:val="bottom"/>
          </w:tcPr>
          <w:p>
            <w:pPr>
              <w:jc w:val="right"/>
              <w:spacing w:after="0"/>
              <w:rPr>
                <w:sz w:val="20"/>
                <w:szCs w:val="20"/>
                <w:color w:val="auto"/>
              </w:rPr>
            </w:pPr>
            <w:r>
              <w:rPr>
                <w:rFonts w:ascii="Arial" w:cs="Arial" w:eastAsia="Arial" w:hAnsi="Arial"/>
                <w:sz w:val="16"/>
                <w:szCs w:val="16"/>
                <w:color w:val="auto"/>
              </w:rPr>
              <w:t>13.</w:t>
            </w:r>
          </w:p>
        </w:tc>
        <w:tc>
          <w:tcPr>
            <w:tcW w:w="6240" w:type="dxa"/>
            <w:vAlign w:val="bottom"/>
          </w:tcPr>
          <w:p>
            <w:pPr>
              <w:ind w:left="20"/>
              <w:spacing w:after="0"/>
              <w:rPr>
                <w:sz w:val="20"/>
                <w:szCs w:val="20"/>
                <w:color w:val="auto"/>
              </w:rPr>
            </w:pPr>
            <w:r>
              <w:rPr>
                <w:rFonts w:ascii="Arial" w:cs="Arial" w:eastAsia="Arial" w:hAnsi="Arial"/>
                <w:sz w:val="16"/>
                <w:szCs w:val="16"/>
                <w:color w:val="auto"/>
              </w:rPr>
              <w:t>Financial Instruments and Derivatives</w:t>
            </w:r>
          </w:p>
        </w:tc>
        <w:tc>
          <w:tcPr>
            <w:tcW w:w="158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08"/>
        </w:trPr>
        <w:tc>
          <w:tcPr>
            <w:tcW w:w="420" w:type="dxa"/>
            <w:vAlign w:val="bottom"/>
          </w:tcPr>
          <w:p>
            <w:pPr>
              <w:jc w:val="right"/>
              <w:spacing w:after="0"/>
              <w:rPr>
                <w:sz w:val="20"/>
                <w:szCs w:val="20"/>
                <w:color w:val="auto"/>
              </w:rPr>
            </w:pPr>
            <w:r>
              <w:rPr>
                <w:rFonts w:ascii="Arial" w:cs="Arial" w:eastAsia="Arial" w:hAnsi="Arial"/>
                <w:sz w:val="16"/>
                <w:szCs w:val="16"/>
                <w:color w:val="auto"/>
              </w:rPr>
              <w:t>14.</w:t>
            </w:r>
          </w:p>
        </w:tc>
        <w:tc>
          <w:tcPr>
            <w:tcW w:w="624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58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08"/>
        </w:trPr>
        <w:tc>
          <w:tcPr>
            <w:tcW w:w="420" w:type="dxa"/>
            <w:vAlign w:val="bottom"/>
          </w:tcPr>
          <w:p>
            <w:pPr>
              <w:jc w:val="right"/>
              <w:spacing w:after="0"/>
              <w:rPr>
                <w:sz w:val="20"/>
                <w:szCs w:val="20"/>
                <w:color w:val="auto"/>
              </w:rPr>
            </w:pPr>
            <w:r>
              <w:rPr>
                <w:rFonts w:ascii="Arial" w:cs="Arial" w:eastAsia="Arial" w:hAnsi="Arial"/>
                <w:sz w:val="16"/>
                <w:szCs w:val="16"/>
                <w:color w:val="auto"/>
              </w:rPr>
              <w:t>15.</w:t>
            </w:r>
          </w:p>
        </w:tc>
        <w:tc>
          <w:tcPr>
            <w:tcW w:w="6240" w:type="dxa"/>
            <w:vAlign w:val="bottom"/>
          </w:tcPr>
          <w:p>
            <w:pPr>
              <w:ind w:left="20"/>
              <w:spacing w:after="0"/>
              <w:rPr>
                <w:sz w:val="20"/>
                <w:szCs w:val="20"/>
                <w:color w:val="auto"/>
              </w:rPr>
            </w:pPr>
            <w:r>
              <w:rPr>
                <w:rFonts w:ascii="Arial" w:cs="Arial" w:eastAsia="Arial" w:hAnsi="Arial"/>
                <w:sz w:val="16"/>
                <w:szCs w:val="16"/>
                <w:color w:val="auto"/>
              </w:rPr>
              <w:t>Incentive Program</w:t>
            </w:r>
          </w:p>
        </w:tc>
        <w:tc>
          <w:tcPr>
            <w:tcW w:w="15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08"/>
        </w:trPr>
        <w:tc>
          <w:tcPr>
            <w:tcW w:w="420" w:type="dxa"/>
            <w:vAlign w:val="bottom"/>
          </w:tcPr>
          <w:p>
            <w:pPr>
              <w:jc w:val="right"/>
              <w:spacing w:after="0"/>
              <w:rPr>
                <w:sz w:val="20"/>
                <w:szCs w:val="20"/>
                <w:color w:val="auto"/>
              </w:rPr>
            </w:pPr>
            <w:r>
              <w:rPr>
                <w:rFonts w:ascii="Arial" w:cs="Arial" w:eastAsia="Arial" w:hAnsi="Arial"/>
                <w:sz w:val="16"/>
                <w:szCs w:val="16"/>
                <w:color w:val="auto"/>
              </w:rPr>
              <w:t>16.</w:t>
            </w:r>
          </w:p>
        </w:tc>
        <w:tc>
          <w:tcPr>
            <w:tcW w:w="6240" w:type="dxa"/>
            <w:vAlign w:val="bottom"/>
          </w:tcPr>
          <w:p>
            <w:pPr>
              <w:ind w:left="20"/>
              <w:spacing w:after="0"/>
              <w:rPr>
                <w:sz w:val="20"/>
                <w:szCs w:val="20"/>
                <w:color w:val="auto"/>
              </w:rPr>
            </w:pPr>
            <w:r>
              <w:rPr>
                <w:rFonts w:ascii="Arial" w:cs="Arial" w:eastAsia="Arial" w:hAnsi="Arial"/>
                <w:sz w:val="16"/>
                <w:szCs w:val="16"/>
                <w:color w:val="auto"/>
              </w:rPr>
              <w:t>Litigation and Other Contingencies</w:t>
            </w:r>
          </w:p>
        </w:tc>
        <w:tc>
          <w:tcPr>
            <w:tcW w:w="158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08"/>
        </w:trPr>
        <w:tc>
          <w:tcPr>
            <w:tcW w:w="420" w:type="dxa"/>
            <w:vAlign w:val="bottom"/>
          </w:tcPr>
          <w:p>
            <w:pPr>
              <w:jc w:val="right"/>
              <w:spacing w:after="0"/>
              <w:rPr>
                <w:sz w:val="20"/>
                <w:szCs w:val="20"/>
                <w:color w:val="auto"/>
              </w:rPr>
            </w:pPr>
            <w:r>
              <w:rPr>
                <w:rFonts w:ascii="Arial" w:cs="Arial" w:eastAsia="Arial" w:hAnsi="Arial"/>
                <w:sz w:val="16"/>
                <w:szCs w:val="16"/>
                <w:color w:val="auto"/>
              </w:rPr>
              <w:t>17.</w:t>
            </w:r>
          </w:p>
        </w:tc>
        <w:tc>
          <w:tcPr>
            <w:tcW w:w="6240" w:type="dxa"/>
            <w:vAlign w:val="bottom"/>
          </w:tcPr>
          <w:p>
            <w:pPr>
              <w:ind w:left="20"/>
              <w:spacing w:after="0"/>
              <w:rPr>
                <w:sz w:val="20"/>
                <w:szCs w:val="20"/>
                <w:color w:val="auto"/>
              </w:rPr>
            </w:pPr>
            <w:r>
              <w:rPr>
                <w:rFonts w:ascii="Arial" w:cs="Arial" w:eastAsia="Arial" w:hAnsi="Arial"/>
                <w:sz w:val="16"/>
                <w:szCs w:val="16"/>
                <w:color w:val="auto"/>
              </w:rPr>
              <w:t>Pension and Other Postretirement Benefits</w:t>
            </w:r>
          </w:p>
        </w:tc>
        <w:tc>
          <w:tcPr>
            <w:tcW w:w="158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08"/>
        </w:trPr>
        <w:tc>
          <w:tcPr>
            <w:tcW w:w="420" w:type="dxa"/>
            <w:vAlign w:val="bottom"/>
          </w:tcPr>
          <w:p>
            <w:pPr>
              <w:jc w:val="right"/>
              <w:spacing w:after="0"/>
              <w:rPr>
                <w:sz w:val="20"/>
                <w:szCs w:val="20"/>
                <w:color w:val="auto"/>
              </w:rPr>
            </w:pPr>
            <w:r>
              <w:rPr>
                <w:rFonts w:ascii="Arial" w:cs="Arial" w:eastAsia="Arial" w:hAnsi="Arial"/>
                <w:sz w:val="16"/>
                <w:szCs w:val="16"/>
                <w:color w:val="auto"/>
              </w:rPr>
              <w:t>18.</w:t>
            </w:r>
          </w:p>
        </w:tc>
        <w:tc>
          <w:tcPr>
            <w:tcW w:w="6240" w:type="dxa"/>
            <w:vAlign w:val="bottom"/>
          </w:tcPr>
          <w:p>
            <w:pPr>
              <w:ind w:left="20"/>
              <w:spacing w:after="0"/>
              <w:rPr>
                <w:sz w:val="20"/>
                <w:szCs w:val="20"/>
                <w:color w:val="auto"/>
              </w:rPr>
            </w:pPr>
            <w:r>
              <w:rPr>
                <w:rFonts w:ascii="Arial" w:cs="Arial" w:eastAsia="Arial" w:hAnsi="Arial"/>
                <w:sz w:val="16"/>
                <w:szCs w:val="16"/>
                <w:color w:val="auto"/>
              </w:rPr>
              <w:t>Disclosures about Segments and Related Information</w:t>
            </w:r>
          </w:p>
        </w:tc>
        <w:tc>
          <w:tcPr>
            <w:tcW w:w="158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08"/>
        </w:trPr>
        <w:tc>
          <w:tcPr>
            <w:tcW w:w="420" w:type="dxa"/>
            <w:vAlign w:val="bottom"/>
          </w:tcPr>
          <w:p>
            <w:pPr>
              <w:jc w:val="right"/>
              <w:spacing w:after="0"/>
              <w:rPr>
                <w:sz w:val="20"/>
                <w:szCs w:val="20"/>
                <w:color w:val="auto"/>
              </w:rPr>
            </w:pPr>
            <w:r>
              <w:rPr>
                <w:rFonts w:ascii="Arial" w:cs="Arial" w:eastAsia="Arial" w:hAnsi="Arial"/>
                <w:sz w:val="16"/>
                <w:szCs w:val="16"/>
                <w:color w:val="auto"/>
              </w:rPr>
              <w:t>19.</w:t>
            </w:r>
          </w:p>
        </w:tc>
        <w:tc>
          <w:tcPr>
            <w:tcW w:w="6240" w:type="dxa"/>
            <w:vAlign w:val="bottom"/>
          </w:tcPr>
          <w:p>
            <w:pPr>
              <w:ind w:left="20"/>
              <w:spacing w:after="0"/>
              <w:rPr>
                <w:sz w:val="20"/>
                <w:szCs w:val="20"/>
                <w:color w:val="auto"/>
              </w:rPr>
            </w:pPr>
            <w:r>
              <w:rPr>
                <w:rFonts w:ascii="Arial" w:cs="Arial" w:eastAsia="Arial" w:hAnsi="Arial"/>
                <w:sz w:val="16"/>
                <w:szCs w:val="16"/>
                <w:color w:val="auto"/>
              </w:rPr>
              <w:t>Income, Sales-Based and Other Taxes</w:t>
            </w:r>
          </w:p>
        </w:tc>
        <w:tc>
          <w:tcPr>
            <w:tcW w:w="1580" w:type="dxa"/>
            <w:vAlign w:val="bottom"/>
          </w:tcPr>
          <w:p>
            <w:pPr>
              <w:jc w:val="right"/>
              <w:spacing w:after="0"/>
              <w:rPr>
                <w:sz w:val="20"/>
                <w:szCs w:val="20"/>
                <w:color w:val="auto"/>
              </w:rPr>
            </w:pPr>
            <w:r>
              <w:rPr>
                <w:rFonts w:ascii="Arial" w:cs="Arial" w:eastAsia="Arial" w:hAnsi="Arial"/>
                <w:sz w:val="16"/>
                <w:szCs w:val="16"/>
                <w:color w:val="auto"/>
              </w:rPr>
              <w:t>94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360" w:type="dxa"/>
            <w:vAlign w:val="bottom"/>
          </w:tcPr>
          <w:p>
            <w:pPr>
              <w:ind w:left="1740"/>
              <w:spacing w:after="0"/>
              <w:rPr>
                <w:sz w:val="20"/>
                <w:szCs w:val="20"/>
                <w:color w:val="auto"/>
              </w:rPr>
            </w:pPr>
            <w:r>
              <w:rPr>
                <w:rFonts w:ascii="Arial" w:cs="Arial" w:eastAsia="Arial" w:hAnsi="Arial"/>
                <w:sz w:val="16"/>
                <w:szCs w:val="16"/>
                <w:color w:val="auto"/>
              </w:rPr>
              <w:t>Supplemental Information on Oil and Gas Exploration and Production Activities</w:t>
            </w:r>
          </w:p>
        </w:tc>
        <w:tc>
          <w:tcPr>
            <w:tcW w:w="3100" w:type="dxa"/>
            <w:vAlign w:val="bottom"/>
          </w:tcPr>
          <w:p>
            <w:pPr>
              <w:jc w:val="right"/>
              <w:ind w:right="1398"/>
              <w:spacing w:after="0"/>
              <w:rPr>
                <w:sz w:val="20"/>
                <w:szCs w:val="20"/>
                <w:color w:val="auto"/>
              </w:rPr>
            </w:pPr>
            <w:r>
              <w:rPr>
                <w:rFonts w:ascii="Arial" w:cs="Arial" w:eastAsia="Arial" w:hAnsi="Arial"/>
                <w:sz w:val="16"/>
                <w:szCs w:val="16"/>
                <w:color w:val="auto"/>
              </w:rPr>
              <w:t>97</w:t>
            </w:r>
          </w:p>
        </w:tc>
      </w:tr>
      <w:tr>
        <w:trPr>
          <w:trHeight w:val="208"/>
        </w:trPr>
        <w:tc>
          <w:tcPr>
            <w:tcW w:w="8360" w:type="dxa"/>
            <w:vAlign w:val="bottom"/>
          </w:tcPr>
          <w:p>
            <w:pPr>
              <w:ind w:left="1740"/>
              <w:spacing w:after="0"/>
              <w:rPr>
                <w:sz w:val="20"/>
                <w:szCs w:val="20"/>
                <w:color w:val="auto"/>
              </w:rPr>
            </w:pPr>
            <w:r>
              <w:rPr>
                <w:rFonts w:ascii="Arial" w:cs="Arial" w:eastAsia="Arial" w:hAnsi="Arial"/>
                <w:sz w:val="16"/>
                <w:szCs w:val="16"/>
                <w:color w:val="auto"/>
              </w:rPr>
              <w:t>Operating Summary</w:t>
            </w:r>
          </w:p>
        </w:tc>
        <w:tc>
          <w:tcPr>
            <w:tcW w:w="3100" w:type="dxa"/>
            <w:vAlign w:val="bottom"/>
          </w:tcPr>
          <w:p>
            <w:pPr>
              <w:jc w:val="right"/>
              <w:ind w:right="1398"/>
              <w:spacing w:after="0"/>
              <w:rPr>
                <w:sz w:val="20"/>
                <w:szCs w:val="20"/>
                <w:color w:val="auto"/>
              </w:rPr>
            </w:pPr>
            <w:r>
              <w:rPr>
                <w:rFonts w:ascii="Arial" w:cs="Arial" w:eastAsia="Arial" w:hAnsi="Arial"/>
                <w:sz w:val="16"/>
                <w:szCs w:val="16"/>
                <w:color w:val="auto"/>
              </w:rPr>
              <w:t>112</w:t>
            </w:r>
          </w:p>
        </w:tc>
      </w:tr>
      <w:tr>
        <w:trPr>
          <w:trHeight w:val="600"/>
        </w:trPr>
        <w:tc>
          <w:tcPr>
            <w:tcW w:w="8360" w:type="dxa"/>
            <w:vAlign w:val="bottom"/>
          </w:tcPr>
          <w:p>
            <w:pPr>
              <w:jc w:val="right"/>
              <w:ind w:right="1918"/>
              <w:spacing w:after="0"/>
              <w:rPr>
                <w:sz w:val="20"/>
                <w:szCs w:val="20"/>
                <w:color w:val="auto"/>
              </w:rPr>
            </w:pPr>
            <w:r>
              <w:rPr>
                <w:rFonts w:ascii="Arial" w:cs="Arial" w:eastAsia="Arial" w:hAnsi="Arial"/>
                <w:sz w:val="16"/>
                <w:szCs w:val="16"/>
                <w:color w:val="auto"/>
              </w:rPr>
              <w:t>34</w:t>
            </w:r>
          </w:p>
        </w:tc>
        <w:tc>
          <w:tcPr>
            <w:tcW w:w="3100" w:type="dxa"/>
            <w:vAlign w:val="bottom"/>
          </w:tcPr>
          <w:p>
            <w:pPr>
              <w:spacing w:after="0"/>
              <w:rPr>
                <w:sz w:val="24"/>
                <w:szCs w:val="24"/>
                <w:color w:val="auto"/>
              </w:rPr>
            </w:pPr>
          </w:p>
        </w:tc>
      </w:tr>
      <w:tr>
        <w:trPr>
          <w:trHeight w:val="732"/>
        </w:trPr>
        <w:tc>
          <w:tcPr>
            <w:tcW w:w="8360" w:type="dxa"/>
            <w:vAlign w:val="bottom"/>
            <w:tcBorders>
              <w:bottom w:val="single" w:sz="8" w:color="808080"/>
            </w:tcBorders>
          </w:tcPr>
          <w:p>
            <w:pPr>
              <w:spacing w:after="0"/>
              <w:rPr>
                <w:sz w:val="24"/>
                <w:szCs w:val="24"/>
                <w:color w:val="auto"/>
              </w:rPr>
            </w:pPr>
          </w:p>
        </w:tc>
        <w:tc>
          <w:tcPr>
            <w:tcW w:w="3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641" w:right="19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BUSINESS PROFILE</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jc w:val="center"/>
              <w:ind w:left="603"/>
              <w:spacing w:after="0"/>
              <w:rPr>
                <w:sz w:val="20"/>
                <w:szCs w:val="20"/>
                <w:color w:val="auto"/>
              </w:rPr>
            </w:pPr>
            <w:r>
              <w:rPr>
                <w:rFonts w:ascii="Arial" w:cs="Arial" w:eastAsia="Arial" w:hAnsi="Arial"/>
                <w:sz w:val="13"/>
                <w:szCs w:val="13"/>
                <w:b w:val="1"/>
                <w:bCs w:val="1"/>
                <w:color w:val="auto"/>
                <w:w w:val="91"/>
              </w:rPr>
              <w:t>Return on</w:t>
            </w:r>
          </w:p>
        </w:tc>
        <w:tc>
          <w:tcPr>
            <w:tcW w:w="920" w:type="dxa"/>
            <w:vAlign w:val="bottom"/>
          </w:tcPr>
          <w:p>
            <w:pPr>
              <w:spacing w:after="0"/>
              <w:rPr>
                <w:sz w:val="14"/>
                <w:szCs w:val="14"/>
                <w:color w:val="auto"/>
              </w:rPr>
            </w:pPr>
          </w:p>
        </w:tc>
        <w:tc>
          <w:tcPr>
            <w:tcW w:w="1420" w:type="dxa"/>
            <w:vAlign w:val="bottom"/>
          </w:tcPr>
          <w:p>
            <w:pPr>
              <w:jc w:val="center"/>
              <w:ind w:left="523"/>
              <w:spacing w:after="0"/>
              <w:rPr>
                <w:sz w:val="20"/>
                <w:szCs w:val="20"/>
                <w:color w:val="auto"/>
              </w:rPr>
            </w:pPr>
            <w:r>
              <w:rPr>
                <w:rFonts w:ascii="Arial" w:cs="Arial" w:eastAsia="Arial" w:hAnsi="Arial"/>
                <w:sz w:val="13"/>
                <w:szCs w:val="13"/>
                <w:b w:val="1"/>
                <w:bCs w:val="1"/>
                <w:color w:val="auto"/>
                <w:w w:val="94"/>
              </w:rPr>
              <w:t>Capital and</w:t>
            </w:r>
          </w:p>
        </w:tc>
        <w:tc>
          <w:tcPr>
            <w:tcW w:w="0" w:type="dxa"/>
            <w:vAlign w:val="bottom"/>
          </w:tcPr>
          <w:p>
            <w:pPr>
              <w:spacing w:after="0"/>
              <w:rPr>
                <w:sz w:val="1"/>
                <w:szCs w:val="1"/>
                <w:color w:val="auto"/>
              </w:rPr>
            </w:pPr>
          </w:p>
        </w:tc>
      </w:tr>
      <w:tr>
        <w:trPr>
          <w:trHeight w:val="196"/>
        </w:trPr>
        <w:tc>
          <w:tcPr>
            <w:tcW w:w="26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3"/>
                <w:szCs w:val="13"/>
                <w:b w:val="1"/>
                <w:bCs w:val="1"/>
                <w:color w:val="auto"/>
              </w:rPr>
              <w:t>Earnings After</w:t>
            </w:r>
          </w:p>
        </w:tc>
        <w:tc>
          <w:tcPr>
            <w:tcW w:w="1240" w:type="dxa"/>
            <w:vAlign w:val="bottom"/>
          </w:tcPr>
          <w:p>
            <w:pPr>
              <w:spacing w:after="0"/>
              <w:rPr>
                <w:sz w:val="17"/>
                <w:szCs w:val="17"/>
                <w:color w:val="auto"/>
              </w:rPr>
            </w:pPr>
          </w:p>
        </w:tc>
        <w:tc>
          <w:tcPr>
            <w:tcW w:w="1980" w:type="dxa"/>
            <w:vAlign w:val="bottom"/>
            <w:gridSpan w:val="2"/>
          </w:tcPr>
          <w:p>
            <w:pPr>
              <w:jc w:val="right"/>
              <w:ind w:right="760"/>
              <w:spacing w:after="0"/>
              <w:rPr>
                <w:sz w:val="20"/>
                <w:szCs w:val="20"/>
                <w:color w:val="auto"/>
              </w:rPr>
            </w:pPr>
            <w:r>
              <w:rPr>
                <w:rFonts w:ascii="Arial" w:cs="Arial" w:eastAsia="Arial" w:hAnsi="Arial"/>
                <w:sz w:val="13"/>
                <w:szCs w:val="13"/>
                <w:b w:val="1"/>
                <w:bCs w:val="1"/>
                <w:color w:val="auto"/>
              </w:rPr>
              <w:t>Average Capital</w:t>
            </w:r>
          </w:p>
        </w:tc>
        <w:tc>
          <w:tcPr>
            <w:tcW w:w="22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Average Capital</w:t>
            </w:r>
          </w:p>
        </w:tc>
        <w:tc>
          <w:tcPr>
            <w:tcW w:w="1420" w:type="dxa"/>
            <w:vAlign w:val="bottom"/>
          </w:tcPr>
          <w:p>
            <w:pPr>
              <w:jc w:val="center"/>
              <w:ind w:left="523"/>
              <w:spacing w:after="0"/>
              <w:rPr>
                <w:sz w:val="20"/>
                <w:szCs w:val="20"/>
                <w:color w:val="auto"/>
              </w:rPr>
            </w:pPr>
            <w:r>
              <w:rPr>
                <w:rFonts w:ascii="Arial" w:cs="Arial" w:eastAsia="Arial" w:hAnsi="Arial"/>
                <w:sz w:val="13"/>
                <w:szCs w:val="13"/>
                <w:b w:val="1"/>
                <w:bCs w:val="1"/>
                <w:color w:val="auto"/>
                <w:w w:val="92"/>
              </w:rPr>
              <w:t>Exploration</w:t>
            </w:r>
          </w:p>
        </w:tc>
        <w:tc>
          <w:tcPr>
            <w:tcW w:w="0" w:type="dxa"/>
            <w:vAlign w:val="bottom"/>
          </w:tcPr>
          <w:p>
            <w:pPr>
              <w:spacing w:after="0"/>
              <w:rPr>
                <w:sz w:val="1"/>
                <w:szCs w:val="1"/>
                <w:color w:val="auto"/>
              </w:rPr>
            </w:pPr>
          </w:p>
        </w:tc>
      </w:tr>
      <w:tr>
        <w:trPr>
          <w:trHeight w:val="196"/>
        </w:trPr>
        <w:tc>
          <w:tcPr>
            <w:tcW w:w="26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3"/>
                <w:szCs w:val="13"/>
                <w:b w:val="1"/>
                <w:bCs w:val="1"/>
                <w:color w:val="auto"/>
              </w:rPr>
              <w:t>Income Taxes</w:t>
            </w:r>
          </w:p>
        </w:tc>
        <w:tc>
          <w:tcPr>
            <w:tcW w:w="1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Employed</w:t>
            </w:r>
          </w:p>
        </w:tc>
        <w:tc>
          <w:tcPr>
            <w:tcW w:w="980" w:type="dxa"/>
            <w:vAlign w:val="bottom"/>
          </w:tcPr>
          <w:p>
            <w:pPr>
              <w:spacing w:after="0"/>
              <w:rPr>
                <w:sz w:val="17"/>
                <w:szCs w:val="17"/>
                <w:color w:val="auto"/>
              </w:rPr>
            </w:pPr>
          </w:p>
        </w:tc>
        <w:tc>
          <w:tcPr>
            <w:tcW w:w="1320" w:type="dxa"/>
            <w:vAlign w:val="bottom"/>
          </w:tcPr>
          <w:p>
            <w:pPr>
              <w:jc w:val="center"/>
              <w:ind w:left="603"/>
              <w:spacing w:after="0"/>
              <w:rPr>
                <w:sz w:val="20"/>
                <w:szCs w:val="20"/>
                <w:color w:val="auto"/>
              </w:rPr>
            </w:pPr>
            <w:r>
              <w:rPr>
                <w:rFonts w:ascii="Arial" w:cs="Arial" w:eastAsia="Arial" w:hAnsi="Arial"/>
                <w:sz w:val="13"/>
                <w:szCs w:val="13"/>
                <w:b w:val="1"/>
                <w:bCs w:val="1"/>
                <w:color w:val="auto"/>
                <w:w w:val="90"/>
              </w:rPr>
              <w:t>Employed</w:t>
            </w:r>
          </w:p>
        </w:tc>
        <w:tc>
          <w:tcPr>
            <w:tcW w:w="920" w:type="dxa"/>
            <w:vAlign w:val="bottom"/>
          </w:tcPr>
          <w:p>
            <w:pPr>
              <w:spacing w:after="0"/>
              <w:rPr>
                <w:sz w:val="17"/>
                <w:szCs w:val="17"/>
                <w:color w:val="auto"/>
              </w:rPr>
            </w:pPr>
          </w:p>
        </w:tc>
        <w:tc>
          <w:tcPr>
            <w:tcW w:w="1420" w:type="dxa"/>
            <w:vAlign w:val="bottom"/>
          </w:tcPr>
          <w:p>
            <w:pPr>
              <w:jc w:val="center"/>
              <w:ind w:left="523"/>
              <w:spacing w:after="0"/>
              <w:rPr>
                <w:sz w:val="20"/>
                <w:szCs w:val="20"/>
                <w:color w:val="auto"/>
              </w:rPr>
            </w:pPr>
            <w:r>
              <w:rPr>
                <w:rFonts w:ascii="Arial" w:cs="Arial" w:eastAsia="Arial" w:hAnsi="Arial"/>
                <w:sz w:val="13"/>
                <w:szCs w:val="13"/>
                <w:b w:val="1"/>
                <w:bCs w:val="1"/>
                <w:color w:val="auto"/>
                <w:w w:val="89"/>
              </w:rPr>
              <w:t>Expenditures</w:t>
            </w:r>
          </w:p>
        </w:tc>
        <w:tc>
          <w:tcPr>
            <w:tcW w:w="0" w:type="dxa"/>
            <w:vAlign w:val="bottom"/>
          </w:tcPr>
          <w:p>
            <w:pPr>
              <w:spacing w:after="0"/>
              <w:rPr>
                <w:sz w:val="1"/>
                <w:szCs w:val="1"/>
                <w:color w:val="auto"/>
              </w:rPr>
            </w:pPr>
          </w:p>
        </w:tc>
      </w:tr>
      <w:tr>
        <w:trPr>
          <w:trHeight w:val="23"/>
        </w:trPr>
        <w:tc>
          <w:tcPr>
            <w:tcW w:w="2660" w:type="dxa"/>
            <w:vAlign w:val="bottom"/>
            <w:vMerge w:val="restart"/>
          </w:tcPr>
          <w:p>
            <w:pPr>
              <w:spacing w:after="0"/>
              <w:rPr>
                <w:sz w:val="20"/>
                <w:szCs w:val="20"/>
                <w:color w:val="auto"/>
              </w:rPr>
            </w:pPr>
            <w:r>
              <w:rPr>
                <w:rFonts w:ascii="Arial" w:cs="Arial" w:eastAsia="Arial" w:hAnsi="Arial"/>
                <w:sz w:val="16"/>
                <w:szCs w:val="16"/>
                <w:b w:val="1"/>
                <w:bCs w:val="1"/>
                <w:color w:val="auto"/>
              </w:rPr>
              <w:t>Financial</w:t>
            </w:r>
          </w:p>
        </w:tc>
        <w:tc>
          <w:tcPr>
            <w:tcW w:w="1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660" w:type="dxa"/>
            <w:vAlign w:val="bottom"/>
            <w:tcBorders>
              <w:bottom w:val="single" w:sz="8" w:color="auto"/>
            </w:tcBorders>
            <w:vMerge w:val="continue"/>
          </w:tcPr>
          <w:p>
            <w:pPr>
              <w:spacing w:after="0"/>
              <w:rPr>
                <w:sz w:val="15"/>
                <w:szCs w:val="15"/>
                <w:color w:val="auto"/>
              </w:rPr>
            </w:pPr>
          </w:p>
        </w:tc>
        <w:tc>
          <w:tcPr>
            <w:tcW w:w="1400" w:type="dxa"/>
            <w:vAlign w:val="bottom"/>
            <w:tcBorders>
              <w:bottom w:val="single" w:sz="8" w:color="auto"/>
            </w:tcBorders>
          </w:tcPr>
          <w:p>
            <w:pPr>
              <w:jc w:val="right"/>
              <w:ind w:right="742"/>
              <w:spacing w:after="0"/>
              <w:rPr>
                <w:sz w:val="20"/>
                <w:szCs w:val="20"/>
                <w:color w:val="auto"/>
              </w:rPr>
            </w:pPr>
            <w:r>
              <w:rPr>
                <w:rFonts w:ascii="Arial" w:cs="Arial" w:eastAsia="Arial" w:hAnsi="Arial"/>
                <w:sz w:val="13"/>
                <w:szCs w:val="13"/>
                <w:b w:val="1"/>
                <w:bCs w:val="1"/>
                <w:color w:val="auto"/>
              </w:rPr>
              <w:t>2014</w:t>
            </w:r>
          </w:p>
        </w:tc>
        <w:tc>
          <w:tcPr>
            <w:tcW w:w="1240" w:type="dxa"/>
            <w:vAlign w:val="bottom"/>
            <w:tcBorders>
              <w:bottom w:val="single" w:sz="8" w:color="auto"/>
            </w:tcBorders>
          </w:tcPr>
          <w:p>
            <w:pPr>
              <w:jc w:val="right"/>
              <w:ind w:right="881"/>
              <w:spacing w:after="0"/>
              <w:rPr>
                <w:sz w:val="20"/>
                <w:szCs w:val="20"/>
                <w:color w:val="auto"/>
              </w:rPr>
            </w:pPr>
            <w:r>
              <w:rPr>
                <w:rFonts w:ascii="Arial" w:cs="Arial" w:eastAsia="Arial" w:hAnsi="Arial"/>
                <w:sz w:val="13"/>
                <w:szCs w:val="13"/>
                <w:b w:val="1"/>
                <w:bCs w:val="1"/>
                <w:color w:val="auto"/>
                <w:w w:val="89"/>
              </w:rPr>
              <w:t>2013</w:t>
            </w:r>
          </w:p>
        </w:tc>
        <w:tc>
          <w:tcPr>
            <w:tcW w:w="1000" w:type="dxa"/>
            <w:vAlign w:val="bottom"/>
            <w:tcBorders>
              <w:bottom w:val="single" w:sz="8" w:color="auto"/>
            </w:tcBorders>
          </w:tcPr>
          <w:p>
            <w:pPr>
              <w:jc w:val="right"/>
              <w:ind w:right="602"/>
              <w:spacing w:after="0"/>
              <w:rPr>
                <w:sz w:val="20"/>
                <w:szCs w:val="20"/>
                <w:color w:val="auto"/>
              </w:rPr>
            </w:pPr>
            <w:r>
              <w:rPr>
                <w:rFonts w:ascii="Arial" w:cs="Arial" w:eastAsia="Arial" w:hAnsi="Arial"/>
                <w:sz w:val="13"/>
                <w:szCs w:val="13"/>
                <w:b w:val="1"/>
                <w:bCs w:val="1"/>
                <w:color w:val="auto"/>
              </w:rPr>
              <w:t>2014</w:t>
            </w:r>
          </w:p>
        </w:tc>
        <w:tc>
          <w:tcPr>
            <w:tcW w:w="98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2013</w:t>
            </w:r>
          </w:p>
        </w:tc>
        <w:tc>
          <w:tcPr>
            <w:tcW w:w="1320" w:type="dxa"/>
            <w:vAlign w:val="bottom"/>
            <w:tcBorders>
              <w:bottom w:val="single" w:sz="8" w:color="auto"/>
            </w:tcBorders>
          </w:tcPr>
          <w:p>
            <w:pPr>
              <w:jc w:val="right"/>
              <w:ind w:right="623"/>
              <w:spacing w:after="0"/>
              <w:rPr>
                <w:sz w:val="20"/>
                <w:szCs w:val="20"/>
                <w:color w:val="auto"/>
              </w:rPr>
            </w:pPr>
            <w:r>
              <w:rPr>
                <w:rFonts w:ascii="Arial" w:cs="Arial" w:eastAsia="Arial" w:hAnsi="Arial"/>
                <w:sz w:val="13"/>
                <w:szCs w:val="13"/>
                <w:b w:val="1"/>
                <w:bCs w:val="1"/>
                <w:color w:val="auto"/>
              </w:rPr>
              <w:t>2014</w:t>
            </w:r>
          </w:p>
        </w:tc>
        <w:tc>
          <w:tcPr>
            <w:tcW w:w="92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2013</w:t>
            </w:r>
          </w:p>
        </w:tc>
        <w:tc>
          <w:tcPr>
            <w:tcW w:w="1420" w:type="dxa"/>
            <w:vAlign w:val="bottom"/>
            <w:tcBorders>
              <w:bottom w:val="single" w:sz="8" w:color="auto"/>
            </w:tcBorders>
          </w:tcPr>
          <w:p>
            <w:pPr>
              <w:jc w:val="right"/>
              <w:ind w:right="703"/>
              <w:spacing w:after="0"/>
              <w:rPr>
                <w:sz w:val="20"/>
                <w:szCs w:val="20"/>
                <w:color w:val="auto"/>
              </w:rPr>
            </w:pPr>
            <w:r>
              <w:rPr>
                <w:rFonts w:ascii="Arial" w:cs="Arial" w:eastAsia="Arial" w:hAnsi="Arial"/>
                <w:sz w:val="13"/>
                <w:szCs w:val="13"/>
                <w:b w:val="1"/>
                <w:bCs w:val="1"/>
                <w:color w:val="auto"/>
              </w:rPr>
              <w:t>2014</w:t>
            </w:r>
          </w:p>
        </w:tc>
        <w:tc>
          <w:tcPr>
            <w:tcW w:w="0" w:type="dxa"/>
            <w:vAlign w:val="bottom"/>
          </w:tcPr>
          <w:p>
            <w:pPr>
              <w:spacing w:after="0"/>
              <w:rPr>
                <w:sz w:val="1"/>
                <w:szCs w:val="1"/>
                <w:color w:val="auto"/>
              </w:rPr>
            </w:pPr>
          </w:p>
        </w:tc>
      </w:tr>
      <w:tr>
        <w:trPr>
          <w:trHeight w:val="166"/>
        </w:trPr>
        <w:tc>
          <w:tcPr>
            <w:tcW w:w="2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i w:val="1"/>
                <w:iCs w:val="1"/>
                <w:color w:val="auto"/>
              </w:rPr>
              <w:t>(millions of dollars)</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jc w:val="center"/>
              <w:ind w:left="603"/>
              <w:spacing w:after="0"/>
              <w:rPr>
                <w:sz w:val="20"/>
                <w:szCs w:val="20"/>
                <w:color w:val="auto"/>
              </w:rPr>
            </w:pPr>
            <w:r>
              <w:rPr>
                <w:rFonts w:ascii="Arial" w:cs="Arial" w:eastAsia="Arial" w:hAnsi="Arial"/>
                <w:sz w:val="13"/>
                <w:szCs w:val="13"/>
                <w:i w:val="1"/>
                <w:iCs w:val="1"/>
                <w:color w:val="auto"/>
                <w:w w:val="92"/>
              </w:rPr>
              <w:t>(percent)</w:t>
            </w:r>
          </w:p>
        </w:tc>
        <w:tc>
          <w:tcPr>
            <w:tcW w:w="9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i w:val="1"/>
                <w:iCs w:val="1"/>
                <w:color w:val="auto"/>
              </w:rPr>
              <w:t>(millions of dollars</w:t>
            </w:r>
          </w:p>
        </w:tc>
        <w:tc>
          <w:tcPr>
            <w:tcW w:w="0" w:type="dxa"/>
            <w:vAlign w:val="bottom"/>
          </w:tcPr>
          <w:p>
            <w:pPr>
              <w:spacing w:after="0"/>
              <w:rPr>
                <w:sz w:val="1"/>
                <w:szCs w:val="1"/>
                <w:color w:val="auto"/>
              </w:rPr>
            </w:pPr>
          </w:p>
        </w:tc>
      </w:tr>
      <w:tr>
        <w:trPr>
          <w:trHeight w:val="207"/>
        </w:trPr>
        <w:tc>
          <w:tcPr>
            <w:tcW w:w="2660" w:type="dxa"/>
            <w:vAlign w:val="bottom"/>
          </w:tcPr>
          <w:p>
            <w:pPr>
              <w:spacing w:after="0"/>
              <w:rPr>
                <w:sz w:val="20"/>
                <w:szCs w:val="20"/>
                <w:color w:val="auto"/>
              </w:rPr>
            </w:pPr>
            <w:r>
              <w:rPr>
                <w:rFonts w:ascii="Arial" w:cs="Arial" w:eastAsia="Arial" w:hAnsi="Arial"/>
                <w:sz w:val="16"/>
                <w:szCs w:val="16"/>
                <w:color w:val="auto"/>
              </w:rPr>
              <w:t>Upstream</w:t>
            </w:r>
          </w:p>
        </w:tc>
        <w:tc>
          <w:tcPr>
            <w:tcW w:w="1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6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1400" w:type="dxa"/>
            <w:vAlign w:val="bottom"/>
          </w:tcPr>
          <w:p>
            <w:pPr>
              <w:jc w:val="right"/>
              <w:ind w:right="462"/>
              <w:spacing w:after="0"/>
              <w:rPr>
                <w:sz w:val="20"/>
                <w:szCs w:val="20"/>
                <w:color w:val="auto"/>
              </w:rPr>
            </w:pPr>
            <w:r>
              <w:rPr>
                <w:rFonts w:ascii="Arial" w:cs="Arial" w:eastAsia="Arial" w:hAnsi="Arial"/>
                <w:sz w:val="16"/>
                <w:szCs w:val="16"/>
                <w:color w:val="auto"/>
              </w:rPr>
              <w:t>5,197</w:t>
            </w:r>
          </w:p>
        </w:tc>
        <w:tc>
          <w:tcPr>
            <w:tcW w:w="1240" w:type="dxa"/>
            <w:vAlign w:val="bottom"/>
          </w:tcPr>
          <w:p>
            <w:pPr>
              <w:jc w:val="right"/>
              <w:ind w:right="661"/>
              <w:spacing w:after="0"/>
              <w:rPr>
                <w:sz w:val="20"/>
                <w:szCs w:val="20"/>
                <w:color w:val="auto"/>
              </w:rPr>
            </w:pPr>
            <w:r>
              <w:rPr>
                <w:rFonts w:ascii="Arial" w:cs="Arial" w:eastAsia="Arial" w:hAnsi="Arial"/>
                <w:sz w:val="16"/>
                <w:szCs w:val="16"/>
                <w:color w:val="auto"/>
              </w:rPr>
              <w:t>4,191</w:t>
            </w:r>
          </w:p>
        </w:tc>
        <w:tc>
          <w:tcPr>
            <w:tcW w:w="1000" w:type="dxa"/>
            <w:vAlign w:val="bottom"/>
          </w:tcPr>
          <w:p>
            <w:pPr>
              <w:jc w:val="right"/>
              <w:ind w:right="382"/>
              <w:spacing w:after="0"/>
              <w:rPr>
                <w:sz w:val="20"/>
                <w:szCs w:val="20"/>
                <w:color w:val="auto"/>
              </w:rPr>
            </w:pPr>
            <w:r>
              <w:rPr>
                <w:rFonts w:ascii="Arial" w:cs="Arial" w:eastAsia="Arial" w:hAnsi="Arial"/>
                <w:sz w:val="16"/>
                <w:szCs w:val="16"/>
                <w:color w:val="auto"/>
              </w:rPr>
              <w:t>62,403</w:t>
            </w:r>
          </w:p>
        </w:tc>
        <w:tc>
          <w:tcPr>
            <w:tcW w:w="980" w:type="dxa"/>
            <w:vAlign w:val="bottom"/>
          </w:tcPr>
          <w:p>
            <w:pPr>
              <w:jc w:val="right"/>
              <w:ind w:right="340"/>
              <w:spacing w:after="0"/>
              <w:rPr>
                <w:sz w:val="20"/>
                <w:szCs w:val="20"/>
                <w:color w:val="auto"/>
              </w:rPr>
            </w:pPr>
            <w:r>
              <w:rPr>
                <w:rFonts w:ascii="Arial" w:cs="Arial" w:eastAsia="Arial" w:hAnsi="Arial"/>
                <w:sz w:val="16"/>
                <w:szCs w:val="16"/>
                <w:color w:val="auto"/>
              </w:rPr>
              <w:t>59,898</w:t>
            </w:r>
          </w:p>
        </w:tc>
        <w:tc>
          <w:tcPr>
            <w:tcW w:w="1320" w:type="dxa"/>
            <w:vAlign w:val="bottom"/>
          </w:tcPr>
          <w:p>
            <w:pPr>
              <w:jc w:val="right"/>
              <w:ind w:right="403"/>
              <w:spacing w:after="0"/>
              <w:rPr>
                <w:sz w:val="20"/>
                <w:szCs w:val="20"/>
                <w:color w:val="auto"/>
              </w:rPr>
            </w:pPr>
            <w:r>
              <w:rPr>
                <w:rFonts w:ascii="Arial" w:cs="Arial" w:eastAsia="Arial" w:hAnsi="Arial"/>
                <w:sz w:val="16"/>
                <w:szCs w:val="16"/>
                <w:color w:val="auto"/>
              </w:rPr>
              <w:t>8.3</w:t>
            </w:r>
          </w:p>
        </w:tc>
        <w:tc>
          <w:tcPr>
            <w:tcW w:w="920" w:type="dxa"/>
            <w:vAlign w:val="bottom"/>
          </w:tcPr>
          <w:p>
            <w:pPr>
              <w:jc w:val="right"/>
              <w:ind w:right="300"/>
              <w:spacing w:after="0"/>
              <w:rPr>
                <w:sz w:val="20"/>
                <w:szCs w:val="20"/>
                <w:color w:val="auto"/>
              </w:rPr>
            </w:pPr>
            <w:r>
              <w:rPr>
                <w:rFonts w:ascii="Arial" w:cs="Arial" w:eastAsia="Arial" w:hAnsi="Arial"/>
                <w:sz w:val="16"/>
                <w:szCs w:val="16"/>
                <w:color w:val="auto"/>
              </w:rPr>
              <w:t>7.0</w:t>
            </w:r>
          </w:p>
        </w:tc>
        <w:tc>
          <w:tcPr>
            <w:tcW w:w="1420" w:type="dxa"/>
            <w:vAlign w:val="bottom"/>
          </w:tcPr>
          <w:p>
            <w:pPr>
              <w:jc w:val="right"/>
              <w:ind w:right="483"/>
              <w:spacing w:after="0"/>
              <w:rPr>
                <w:sz w:val="20"/>
                <w:szCs w:val="20"/>
                <w:color w:val="auto"/>
              </w:rPr>
            </w:pPr>
            <w:r>
              <w:rPr>
                <w:rFonts w:ascii="Arial" w:cs="Arial" w:eastAsia="Arial" w:hAnsi="Arial"/>
                <w:sz w:val="16"/>
                <w:szCs w:val="16"/>
                <w:color w:val="auto"/>
              </w:rPr>
              <w:t>9,401</w:t>
            </w:r>
          </w:p>
        </w:tc>
        <w:tc>
          <w:tcPr>
            <w:tcW w:w="0" w:type="dxa"/>
            <w:vAlign w:val="bottom"/>
          </w:tcPr>
          <w:p>
            <w:pPr>
              <w:spacing w:after="0"/>
              <w:rPr>
                <w:sz w:val="1"/>
                <w:szCs w:val="1"/>
                <w:color w:val="auto"/>
              </w:rPr>
            </w:pPr>
          </w:p>
        </w:tc>
      </w:tr>
      <w:tr>
        <w:trPr>
          <w:trHeight w:val="208"/>
        </w:trPr>
        <w:tc>
          <w:tcPr>
            <w:tcW w:w="2660" w:type="dxa"/>
            <w:vAlign w:val="bottom"/>
          </w:tcPr>
          <w:p>
            <w:pPr>
              <w:ind w:left="240"/>
              <w:spacing w:after="0"/>
              <w:rPr>
                <w:sz w:val="20"/>
                <w:szCs w:val="20"/>
                <w:color w:val="auto"/>
              </w:rPr>
            </w:pPr>
            <w:r>
              <w:rPr>
                <w:rFonts w:ascii="Arial" w:cs="Arial" w:eastAsia="Arial" w:hAnsi="Arial"/>
                <w:sz w:val="16"/>
                <w:szCs w:val="16"/>
                <w:color w:val="auto"/>
              </w:rPr>
              <w:t>Non-U.S.</w:t>
            </w:r>
          </w:p>
        </w:tc>
        <w:tc>
          <w:tcPr>
            <w:tcW w:w="140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color w:val="auto"/>
              </w:rPr>
              <w:t>22,351</w:t>
            </w:r>
          </w:p>
        </w:tc>
        <w:tc>
          <w:tcPr>
            <w:tcW w:w="124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color w:val="auto"/>
                <w:w w:val="98"/>
              </w:rPr>
              <w:t>22,650</w:t>
            </w: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w w:val="89"/>
              </w:rPr>
              <w:t>102,562</w:t>
            </w: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93,071</w:t>
            </w:r>
          </w:p>
        </w:tc>
        <w:tc>
          <w:tcPr>
            <w:tcW w:w="1320" w:type="dxa"/>
            <w:vAlign w:val="bottom"/>
            <w:tcBorders>
              <w:bottom w:val="single" w:sz="8" w:color="auto"/>
            </w:tcBorders>
          </w:tcPr>
          <w:p>
            <w:pPr>
              <w:jc w:val="right"/>
              <w:ind w:right="403"/>
              <w:spacing w:after="0"/>
              <w:rPr>
                <w:sz w:val="20"/>
                <w:szCs w:val="20"/>
                <w:color w:val="auto"/>
              </w:rPr>
            </w:pPr>
            <w:r>
              <w:rPr>
                <w:rFonts w:ascii="Arial" w:cs="Arial" w:eastAsia="Arial" w:hAnsi="Arial"/>
                <w:sz w:val="16"/>
                <w:szCs w:val="16"/>
                <w:color w:val="auto"/>
              </w:rPr>
              <w:t>21.8</w:t>
            </w: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24.3</w:t>
            </w:r>
          </w:p>
        </w:tc>
        <w:tc>
          <w:tcPr>
            <w:tcW w:w="1420" w:type="dxa"/>
            <w:vAlign w:val="bottom"/>
            <w:tcBorders>
              <w:bottom w:val="single" w:sz="8" w:color="auto"/>
            </w:tcBorders>
          </w:tcPr>
          <w:p>
            <w:pPr>
              <w:jc w:val="right"/>
              <w:ind w:right="483"/>
              <w:spacing w:after="0"/>
              <w:rPr>
                <w:sz w:val="20"/>
                <w:szCs w:val="20"/>
                <w:color w:val="auto"/>
              </w:rPr>
            </w:pPr>
            <w:r>
              <w:rPr>
                <w:rFonts w:ascii="Arial" w:cs="Arial" w:eastAsia="Arial" w:hAnsi="Arial"/>
                <w:sz w:val="16"/>
                <w:szCs w:val="16"/>
                <w:color w:val="auto"/>
              </w:rPr>
              <w:t>23,326</w:t>
            </w:r>
          </w:p>
        </w:tc>
        <w:tc>
          <w:tcPr>
            <w:tcW w:w="0" w:type="dxa"/>
            <w:vAlign w:val="bottom"/>
          </w:tcPr>
          <w:p>
            <w:pPr>
              <w:spacing w:after="0"/>
              <w:rPr>
                <w:sz w:val="1"/>
                <w:szCs w:val="1"/>
                <w:color w:val="auto"/>
              </w:rPr>
            </w:pPr>
          </w:p>
        </w:tc>
      </w:tr>
      <w:tr>
        <w:trPr>
          <w:trHeight w:val="189"/>
        </w:trPr>
        <w:tc>
          <w:tcPr>
            <w:tcW w:w="2660" w:type="dxa"/>
            <w:vAlign w:val="bottom"/>
          </w:tcPr>
          <w:p>
            <w:pPr>
              <w:ind w:left="480"/>
              <w:spacing w:after="0"/>
              <w:rPr>
                <w:sz w:val="20"/>
                <w:szCs w:val="20"/>
                <w:color w:val="auto"/>
              </w:rPr>
            </w:pPr>
            <w:r>
              <w:rPr>
                <w:rFonts w:ascii="Arial" w:cs="Arial" w:eastAsia="Arial" w:hAnsi="Arial"/>
                <w:sz w:val="16"/>
                <w:szCs w:val="16"/>
                <w:color w:val="auto"/>
              </w:rPr>
              <w:t>Total</w:t>
            </w:r>
          </w:p>
        </w:tc>
        <w:tc>
          <w:tcPr>
            <w:tcW w:w="140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color w:val="auto"/>
              </w:rPr>
              <w:t>27,548</w:t>
            </w:r>
          </w:p>
        </w:tc>
        <w:tc>
          <w:tcPr>
            <w:tcW w:w="124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color w:val="auto"/>
                <w:w w:val="98"/>
              </w:rPr>
              <w:t>26,841</w:t>
            </w: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w w:val="89"/>
              </w:rPr>
              <w:t>164,965</w:t>
            </w: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w w:val="93"/>
              </w:rPr>
              <w:t>152,969</w:t>
            </w:r>
          </w:p>
        </w:tc>
        <w:tc>
          <w:tcPr>
            <w:tcW w:w="1320" w:type="dxa"/>
            <w:vAlign w:val="bottom"/>
            <w:tcBorders>
              <w:bottom w:val="single" w:sz="8" w:color="auto"/>
            </w:tcBorders>
          </w:tcPr>
          <w:p>
            <w:pPr>
              <w:jc w:val="right"/>
              <w:ind w:right="403"/>
              <w:spacing w:after="0"/>
              <w:rPr>
                <w:sz w:val="20"/>
                <w:szCs w:val="20"/>
                <w:color w:val="auto"/>
              </w:rPr>
            </w:pPr>
            <w:r>
              <w:rPr>
                <w:rFonts w:ascii="Arial" w:cs="Arial" w:eastAsia="Arial" w:hAnsi="Arial"/>
                <w:sz w:val="16"/>
                <w:szCs w:val="16"/>
                <w:color w:val="auto"/>
              </w:rPr>
              <w:t>16.7</w:t>
            </w: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17.5</w:t>
            </w:r>
          </w:p>
        </w:tc>
        <w:tc>
          <w:tcPr>
            <w:tcW w:w="1420" w:type="dxa"/>
            <w:vAlign w:val="bottom"/>
            <w:tcBorders>
              <w:bottom w:val="single" w:sz="8" w:color="auto"/>
            </w:tcBorders>
          </w:tcPr>
          <w:p>
            <w:pPr>
              <w:jc w:val="right"/>
              <w:ind w:right="483"/>
              <w:spacing w:after="0"/>
              <w:rPr>
                <w:sz w:val="20"/>
                <w:szCs w:val="20"/>
                <w:color w:val="auto"/>
              </w:rPr>
            </w:pPr>
            <w:r>
              <w:rPr>
                <w:rFonts w:ascii="Arial" w:cs="Arial" w:eastAsia="Arial" w:hAnsi="Arial"/>
                <w:sz w:val="16"/>
                <w:szCs w:val="16"/>
                <w:color w:val="auto"/>
              </w:rPr>
              <w:t>32,727</w:t>
            </w:r>
          </w:p>
        </w:tc>
        <w:tc>
          <w:tcPr>
            <w:tcW w:w="0" w:type="dxa"/>
            <w:vAlign w:val="bottom"/>
          </w:tcPr>
          <w:p>
            <w:pPr>
              <w:spacing w:after="0"/>
              <w:rPr>
                <w:sz w:val="1"/>
                <w:szCs w:val="1"/>
                <w:color w:val="auto"/>
              </w:rPr>
            </w:pPr>
          </w:p>
        </w:tc>
      </w:tr>
      <w:tr>
        <w:trPr>
          <w:trHeight w:val="176"/>
        </w:trPr>
        <w:tc>
          <w:tcPr>
            <w:tcW w:w="2660" w:type="dxa"/>
            <w:vAlign w:val="bottom"/>
          </w:tcPr>
          <w:p>
            <w:pPr>
              <w:spacing w:after="0" w:line="176" w:lineRule="exact"/>
              <w:rPr>
                <w:sz w:val="20"/>
                <w:szCs w:val="20"/>
                <w:color w:val="auto"/>
              </w:rPr>
            </w:pPr>
            <w:r>
              <w:rPr>
                <w:rFonts w:ascii="Arial" w:cs="Arial" w:eastAsia="Arial" w:hAnsi="Arial"/>
                <w:sz w:val="16"/>
                <w:szCs w:val="16"/>
                <w:color w:val="auto"/>
              </w:rPr>
              <w:t>Downstream</w:t>
            </w: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66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1400" w:type="dxa"/>
            <w:vAlign w:val="bottom"/>
          </w:tcPr>
          <w:p>
            <w:pPr>
              <w:jc w:val="right"/>
              <w:ind w:right="462"/>
              <w:spacing w:after="0"/>
              <w:rPr>
                <w:sz w:val="20"/>
                <w:szCs w:val="20"/>
                <w:color w:val="auto"/>
              </w:rPr>
            </w:pPr>
            <w:r>
              <w:rPr>
                <w:rFonts w:ascii="Arial" w:cs="Arial" w:eastAsia="Arial" w:hAnsi="Arial"/>
                <w:sz w:val="16"/>
                <w:szCs w:val="16"/>
                <w:color w:val="auto"/>
              </w:rPr>
              <w:t>1,618</w:t>
            </w:r>
          </w:p>
        </w:tc>
        <w:tc>
          <w:tcPr>
            <w:tcW w:w="1240" w:type="dxa"/>
            <w:vAlign w:val="bottom"/>
          </w:tcPr>
          <w:p>
            <w:pPr>
              <w:jc w:val="right"/>
              <w:ind w:right="661"/>
              <w:spacing w:after="0"/>
              <w:rPr>
                <w:sz w:val="20"/>
                <w:szCs w:val="20"/>
                <w:color w:val="auto"/>
              </w:rPr>
            </w:pPr>
            <w:r>
              <w:rPr>
                <w:rFonts w:ascii="Arial" w:cs="Arial" w:eastAsia="Arial" w:hAnsi="Arial"/>
                <w:sz w:val="16"/>
                <w:szCs w:val="16"/>
                <w:color w:val="auto"/>
              </w:rPr>
              <w:t>2,199</w:t>
            </w:r>
          </w:p>
        </w:tc>
        <w:tc>
          <w:tcPr>
            <w:tcW w:w="1000" w:type="dxa"/>
            <w:vAlign w:val="bottom"/>
          </w:tcPr>
          <w:p>
            <w:pPr>
              <w:jc w:val="right"/>
              <w:ind w:right="382"/>
              <w:spacing w:after="0"/>
              <w:rPr>
                <w:sz w:val="20"/>
                <w:szCs w:val="20"/>
                <w:color w:val="auto"/>
              </w:rPr>
            </w:pPr>
            <w:r>
              <w:rPr>
                <w:rFonts w:ascii="Arial" w:cs="Arial" w:eastAsia="Arial" w:hAnsi="Arial"/>
                <w:sz w:val="16"/>
                <w:szCs w:val="16"/>
                <w:color w:val="auto"/>
              </w:rPr>
              <w:t>6,070</w:t>
            </w:r>
          </w:p>
        </w:tc>
        <w:tc>
          <w:tcPr>
            <w:tcW w:w="980" w:type="dxa"/>
            <w:vAlign w:val="bottom"/>
          </w:tcPr>
          <w:p>
            <w:pPr>
              <w:jc w:val="right"/>
              <w:ind w:right="340"/>
              <w:spacing w:after="0"/>
              <w:rPr>
                <w:sz w:val="20"/>
                <w:szCs w:val="20"/>
                <w:color w:val="auto"/>
              </w:rPr>
            </w:pPr>
            <w:r>
              <w:rPr>
                <w:rFonts w:ascii="Arial" w:cs="Arial" w:eastAsia="Arial" w:hAnsi="Arial"/>
                <w:sz w:val="16"/>
                <w:szCs w:val="16"/>
                <w:color w:val="auto"/>
              </w:rPr>
              <w:t>4,757</w:t>
            </w:r>
          </w:p>
        </w:tc>
        <w:tc>
          <w:tcPr>
            <w:tcW w:w="1320" w:type="dxa"/>
            <w:vAlign w:val="bottom"/>
          </w:tcPr>
          <w:p>
            <w:pPr>
              <w:jc w:val="right"/>
              <w:ind w:right="403"/>
              <w:spacing w:after="0"/>
              <w:rPr>
                <w:sz w:val="20"/>
                <w:szCs w:val="20"/>
                <w:color w:val="auto"/>
              </w:rPr>
            </w:pPr>
            <w:r>
              <w:rPr>
                <w:rFonts w:ascii="Arial" w:cs="Arial" w:eastAsia="Arial" w:hAnsi="Arial"/>
                <w:sz w:val="16"/>
                <w:szCs w:val="16"/>
                <w:color w:val="auto"/>
              </w:rPr>
              <w:t>26.7</w:t>
            </w:r>
          </w:p>
        </w:tc>
        <w:tc>
          <w:tcPr>
            <w:tcW w:w="920" w:type="dxa"/>
            <w:vAlign w:val="bottom"/>
          </w:tcPr>
          <w:p>
            <w:pPr>
              <w:jc w:val="right"/>
              <w:ind w:right="300"/>
              <w:spacing w:after="0"/>
              <w:rPr>
                <w:sz w:val="20"/>
                <w:szCs w:val="20"/>
                <w:color w:val="auto"/>
              </w:rPr>
            </w:pPr>
            <w:r>
              <w:rPr>
                <w:rFonts w:ascii="Arial" w:cs="Arial" w:eastAsia="Arial" w:hAnsi="Arial"/>
                <w:sz w:val="16"/>
                <w:szCs w:val="16"/>
                <w:color w:val="auto"/>
              </w:rPr>
              <w:t>46.2</w:t>
            </w:r>
          </w:p>
        </w:tc>
        <w:tc>
          <w:tcPr>
            <w:tcW w:w="1420" w:type="dxa"/>
            <w:vAlign w:val="bottom"/>
          </w:tcPr>
          <w:p>
            <w:pPr>
              <w:jc w:val="right"/>
              <w:ind w:right="483"/>
              <w:spacing w:after="0"/>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208"/>
        </w:trPr>
        <w:tc>
          <w:tcPr>
            <w:tcW w:w="2660" w:type="dxa"/>
            <w:vAlign w:val="bottom"/>
          </w:tcPr>
          <w:p>
            <w:pPr>
              <w:ind w:left="240"/>
              <w:spacing w:after="0"/>
              <w:rPr>
                <w:sz w:val="20"/>
                <w:szCs w:val="20"/>
                <w:color w:val="auto"/>
              </w:rPr>
            </w:pPr>
            <w:r>
              <w:rPr>
                <w:rFonts w:ascii="Arial" w:cs="Arial" w:eastAsia="Arial" w:hAnsi="Arial"/>
                <w:sz w:val="16"/>
                <w:szCs w:val="16"/>
                <w:color w:val="auto"/>
              </w:rPr>
              <w:t>Non-U.S.</w:t>
            </w:r>
          </w:p>
        </w:tc>
        <w:tc>
          <w:tcPr>
            <w:tcW w:w="140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color w:val="auto"/>
              </w:rPr>
              <w:t>1,427</w:t>
            </w:r>
          </w:p>
        </w:tc>
        <w:tc>
          <w:tcPr>
            <w:tcW w:w="124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color w:val="auto"/>
              </w:rPr>
              <w:t>1,250</w:t>
            </w: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rPr>
              <w:t>17,907</w:t>
            </w: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19,673</w:t>
            </w:r>
          </w:p>
        </w:tc>
        <w:tc>
          <w:tcPr>
            <w:tcW w:w="1320" w:type="dxa"/>
            <w:vAlign w:val="bottom"/>
            <w:tcBorders>
              <w:bottom w:val="single" w:sz="8" w:color="auto"/>
            </w:tcBorders>
          </w:tcPr>
          <w:p>
            <w:pPr>
              <w:jc w:val="right"/>
              <w:ind w:right="403"/>
              <w:spacing w:after="0"/>
              <w:rPr>
                <w:sz w:val="20"/>
                <w:szCs w:val="20"/>
                <w:color w:val="auto"/>
              </w:rPr>
            </w:pPr>
            <w:r>
              <w:rPr>
                <w:rFonts w:ascii="Arial" w:cs="Arial" w:eastAsia="Arial" w:hAnsi="Arial"/>
                <w:sz w:val="16"/>
                <w:szCs w:val="16"/>
                <w:color w:val="auto"/>
              </w:rPr>
              <w:t>8.0</w:t>
            </w: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6.4</w:t>
            </w:r>
          </w:p>
        </w:tc>
        <w:tc>
          <w:tcPr>
            <w:tcW w:w="1420" w:type="dxa"/>
            <w:vAlign w:val="bottom"/>
            <w:tcBorders>
              <w:bottom w:val="single" w:sz="8" w:color="auto"/>
            </w:tcBorders>
          </w:tcPr>
          <w:p>
            <w:pPr>
              <w:jc w:val="right"/>
              <w:ind w:right="483"/>
              <w:spacing w:after="0"/>
              <w:rPr>
                <w:sz w:val="20"/>
                <w:szCs w:val="20"/>
                <w:color w:val="auto"/>
              </w:rPr>
            </w:pPr>
            <w:r>
              <w:rPr>
                <w:rFonts w:ascii="Arial" w:cs="Arial" w:eastAsia="Arial" w:hAnsi="Arial"/>
                <w:sz w:val="16"/>
                <w:szCs w:val="16"/>
                <w:color w:val="auto"/>
              </w:rPr>
              <w:t>1,724</w:t>
            </w:r>
          </w:p>
        </w:tc>
        <w:tc>
          <w:tcPr>
            <w:tcW w:w="0" w:type="dxa"/>
            <w:vAlign w:val="bottom"/>
          </w:tcPr>
          <w:p>
            <w:pPr>
              <w:spacing w:after="0"/>
              <w:rPr>
                <w:sz w:val="1"/>
                <w:szCs w:val="1"/>
                <w:color w:val="auto"/>
              </w:rPr>
            </w:pPr>
          </w:p>
        </w:tc>
      </w:tr>
      <w:tr>
        <w:trPr>
          <w:trHeight w:val="189"/>
        </w:trPr>
        <w:tc>
          <w:tcPr>
            <w:tcW w:w="2660" w:type="dxa"/>
            <w:vAlign w:val="bottom"/>
          </w:tcPr>
          <w:p>
            <w:pPr>
              <w:ind w:left="480"/>
              <w:spacing w:after="0"/>
              <w:rPr>
                <w:sz w:val="20"/>
                <w:szCs w:val="20"/>
                <w:color w:val="auto"/>
              </w:rPr>
            </w:pPr>
            <w:r>
              <w:rPr>
                <w:rFonts w:ascii="Arial" w:cs="Arial" w:eastAsia="Arial" w:hAnsi="Arial"/>
                <w:sz w:val="16"/>
                <w:szCs w:val="16"/>
                <w:color w:val="auto"/>
              </w:rPr>
              <w:t>Total</w:t>
            </w:r>
          </w:p>
        </w:tc>
        <w:tc>
          <w:tcPr>
            <w:tcW w:w="140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color w:val="auto"/>
              </w:rPr>
              <w:t>3,045</w:t>
            </w:r>
          </w:p>
        </w:tc>
        <w:tc>
          <w:tcPr>
            <w:tcW w:w="124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color w:val="auto"/>
              </w:rPr>
              <w:t>3,449</w:t>
            </w: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rPr>
              <w:t>23,977</w:t>
            </w: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24,430</w:t>
            </w:r>
          </w:p>
        </w:tc>
        <w:tc>
          <w:tcPr>
            <w:tcW w:w="1320" w:type="dxa"/>
            <w:vAlign w:val="bottom"/>
            <w:tcBorders>
              <w:bottom w:val="single" w:sz="8" w:color="auto"/>
            </w:tcBorders>
          </w:tcPr>
          <w:p>
            <w:pPr>
              <w:jc w:val="right"/>
              <w:ind w:right="403"/>
              <w:spacing w:after="0"/>
              <w:rPr>
                <w:sz w:val="20"/>
                <w:szCs w:val="20"/>
                <w:color w:val="auto"/>
              </w:rPr>
            </w:pPr>
            <w:r>
              <w:rPr>
                <w:rFonts w:ascii="Arial" w:cs="Arial" w:eastAsia="Arial" w:hAnsi="Arial"/>
                <w:sz w:val="16"/>
                <w:szCs w:val="16"/>
                <w:color w:val="auto"/>
              </w:rPr>
              <w:t>12.7</w:t>
            </w: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14.1</w:t>
            </w:r>
          </w:p>
        </w:tc>
        <w:tc>
          <w:tcPr>
            <w:tcW w:w="1420" w:type="dxa"/>
            <w:vAlign w:val="bottom"/>
            <w:tcBorders>
              <w:bottom w:val="single" w:sz="8" w:color="auto"/>
            </w:tcBorders>
          </w:tcPr>
          <w:p>
            <w:pPr>
              <w:jc w:val="right"/>
              <w:ind w:right="483"/>
              <w:spacing w:after="0"/>
              <w:rPr>
                <w:sz w:val="20"/>
                <w:szCs w:val="20"/>
                <w:color w:val="auto"/>
              </w:rPr>
            </w:pPr>
            <w:r>
              <w:rPr>
                <w:rFonts w:ascii="Arial" w:cs="Arial" w:eastAsia="Arial" w:hAnsi="Arial"/>
                <w:sz w:val="16"/>
                <w:szCs w:val="16"/>
                <w:color w:val="auto"/>
              </w:rPr>
              <w:t>3,034</w:t>
            </w:r>
          </w:p>
        </w:tc>
        <w:tc>
          <w:tcPr>
            <w:tcW w:w="0" w:type="dxa"/>
            <w:vAlign w:val="bottom"/>
          </w:tcPr>
          <w:p>
            <w:pPr>
              <w:spacing w:after="0"/>
              <w:rPr>
                <w:sz w:val="1"/>
                <w:szCs w:val="1"/>
                <w:color w:val="auto"/>
              </w:rPr>
            </w:pPr>
          </w:p>
        </w:tc>
      </w:tr>
      <w:tr>
        <w:trPr>
          <w:trHeight w:val="176"/>
        </w:trPr>
        <w:tc>
          <w:tcPr>
            <w:tcW w:w="2660" w:type="dxa"/>
            <w:vAlign w:val="bottom"/>
          </w:tcPr>
          <w:p>
            <w:pPr>
              <w:spacing w:after="0" w:line="176" w:lineRule="exact"/>
              <w:rPr>
                <w:sz w:val="20"/>
                <w:szCs w:val="20"/>
                <w:color w:val="auto"/>
              </w:rPr>
            </w:pPr>
            <w:r>
              <w:rPr>
                <w:rFonts w:ascii="Arial" w:cs="Arial" w:eastAsia="Arial" w:hAnsi="Arial"/>
                <w:sz w:val="16"/>
                <w:szCs w:val="16"/>
                <w:color w:val="auto"/>
              </w:rPr>
              <w:t>Chemical</w:t>
            </w: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66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1400" w:type="dxa"/>
            <w:vAlign w:val="bottom"/>
          </w:tcPr>
          <w:p>
            <w:pPr>
              <w:jc w:val="right"/>
              <w:ind w:right="462"/>
              <w:spacing w:after="0"/>
              <w:rPr>
                <w:sz w:val="20"/>
                <w:szCs w:val="20"/>
                <w:color w:val="auto"/>
              </w:rPr>
            </w:pPr>
            <w:r>
              <w:rPr>
                <w:rFonts w:ascii="Arial" w:cs="Arial" w:eastAsia="Arial" w:hAnsi="Arial"/>
                <w:sz w:val="16"/>
                <w:szCs w:val="16"/>
                <w:color w:val="auto"/>
              </w:rPr>
              <w:t>2,804</w:t>
            </w:r>
          </w:p>
        </w:tc>
        <w:tc>
          <w:tcPr>
            <w:tcW w:w="1240" w:type="dxa"/>
            <w:vAlign w:val="bottom"/>
          </w:tcPr>
          <w:p>
            <w:pPr>
              <w:jc w:val="right"/>
              <w:ind w:right="661"/>
              <w:spacing w:after="0"/>
              <w:rPr>
                <w:sz w:val="20"/>
                <w:szCs w:val="20"/>
                <w:color w:val="auto"/>
              </w:rPr>
            </w:pPr>
            <w:r>
              <w:rPr>
                <w:rFonts w:ascii="Arial" w:cs="Arial" w:eastAsia="Arial" w:hAnsi="Arial"/>
                <w:sz w:val="16"/>
                <w:szCs w:val="16"/>
                <w:color w:val="auto"/>
              </w:rPr>
              <w:t>2,755</w:t>
            </w:r>
          </w:p>
        </w:tc>
        <w:tc>
          <w:tcPr>
            <w:tcW w:w="1000" w:type="dxa"/>
            <w:vAlign w:val="bottom"/>
          </w:tcPr>
          <w:p>
            <w:pPr>
              <w:jc w:val="right"/>
              <w:ind w:right="382"/>
              <w:spacing w:after="0"/>
              <w:rPr>
                <w:sz w:val="20"/>
                <w:szCs w:val="20"/>
                <w:color w:val="auto"/>
              </w:rPr>
            </w:pPr>
            <w:r>
              <w:rPr>
                <w:rFonts w:ascii="Arial" w:cs="Arial" w:eastAsia="Arial" w:hAnsi="Arial"/>
                <w:sz w:val="16"/>
                <w:szCs w:val="16"/>
                <w:color w:val="auto"/>
              </w:rPr>
              <w:t>6,121</w:t>
            </w:r>
          </w:p>
        </w:tc>
        <w:tc>
          <w:tcPr>
            <w:tcW w:w="980" w:type="dxa"/>
            <w:vAlign w:val="bottom"/>
          </w:tcPr>
          <w:p>
            <w:pPr>
              <w:jc w:val="right"/>
              <w:ind w:right="340"/>
              <w:spacing w:after="0"/>
              <w:rPr>
                <w:sz w:val="20"/>
                <w:szCs w:val="20"/>
                <w:color w:val="auto"/>
              </w:rPr>
            </w:pPr>
            <w:r>
              <w:rPr>
                <w:rFonts w:ascii="Arial" w:cs="Arial" w:eastAsia="Arial" w:hAnsi="Arial"/>
                <w:sz w:val="16"/>
                <w:szCs w:val="16"/>
                <w:color w:val="auto"/>
              </w:rPr>
              <w:t>4,872</w:t>
            </w:r>
          </w:p>
        </w:tc>
        <w:tc>
          <w:tcPr>
            <w:tcW w:w="1320" w:type="dxa"/>
            <w:vAlign w:val="bottom"/>
          </w:tcPr>
          <w:p>
            <w:pPr>
              <w:jc w:val="right"/>
              <w:ind w:right="403"/>
              <w:spacing w:after="0"/>
              <w:rPr>
                <w:sz w:val="20"/>
                <w:szCs w:val="20"/>
                <w:color w:val="auto"/>
              </w:rPr>
            </w:pPr>
            <w:r>
              <w:rPr>
                <w:rFonts w:ascii="Arial" w:cs="Arial" w:eastAsia="Arial" w:hAnsi="Arial"/>
                <w:sz w:val="16"/>
                <w:szCs w:val="16"/>
                <w:color w:val="auto"/>
              </w:rPr>
              <w:t>45.8</w:t>
            </w:r>
          </w:p>
        </w:tc>
        <w:tc>
          <w:tcPr>
            <w:tcW w:w="920" w:type="dxa"/>
            <w:vAlign w:val="bottom"/>
          </w:tcPr>
          <w:p>
            <w:pPr>
              <w:jc w:val="right"/>
              <w:ind w:right="300"/>
              <w:spacing w:after="0"/>
              <w:rPr>
                <w:sz w:val="20"/>
                <w:szCs w:val="20"/>
                <w:color w:val="auto"/>
              </w:rPr>
            </w:pPr>
            <w:r>
              <w:rPr>
                <w:rFonts w:ascii="Arial" w:cs="Arial" w:eastAsia="Arial" w:hAnsi="Arial"/>
                <w:sz w:val="16"/>
                <w:szCs w:val="16"/>
                <w:color w:val="auto"/>
              </w:rPr>
              <w:t>56.5</w:t>
            </w:r>
          </w:p>
        </w:tc>
        <w:tc>
          <w:tcPr>
            <w:tcW w:w="1420" w:type="dxa"/>
            <w:vAlign w:val="bottom"/>
          </w:tcPr>
          <w:p>
            <w:pPr>
              <w:jc w:val="right"/>
              <w:ind w:right="483"/>
              <w:spacing w:after="0"/>
              <w:rPr>
                <w:sz w:val="20"/>
                <w:szCs w:val="20"/>
                <w:color w:val="auto"/>
              </w:rPr>
            </w:pPr>
            <w:r>
              <w:rPr>
                <w:rFonts w:ascii="Arial" w:cs="Arial" w:eastAsia="Arial" w:hAnsi="Arial"/>
                <w:sz w:val="16"/>
                <w:szCs w:val="16"/>
                <w:color w:val="auto"/>
              </w:rPr>
              <w:t>1,690</w:t>
            </w:r>
          </w:p>
        </w:tc>
        <w:tc>
          <w:tcPr>
            <w:tcW w:w="0" w:type="dxa"/>
            <w:vAlign w:val="bottom"/>
          </w:tcPr>
          <w:p>
            <w:pPr>
              <w:spacing w:after="0"/>
              <w:rPr>
                <w:sz w:val="1"/>
                <w:szCs w:val="1"/>
                <w:color w:val="auto"/>
              </w:rPr>
            </w:pPr>
          </w:p>
        </w:tc>
      </w:tr>
      <w:tr>
        <w:trPr>
          <w:trHeight w:val="208"/>
        </w:trPr>
        <w:tc>
          <w:tcPr>
            <w:tcW w:w="2660" w:type="dxa"/>
            <w:vAlign w:val="bottom"/>
          </w:tcPr>
          <w:p>
            <w:pPr>
              <w:ind w:left="240"/>
              <w:spacing w:after="0"/>
              <w:rPr>
                <w:sz w:val="20"/>
                <w:szCs w:val="20"/>
                <w:color w:val="auto"/>
              </w:rPr>
            </w:pPr>
            <w:r>
              <w:rPr>
                <w:rFonts w:ascii="Arial" w:cs="Arial" w:eastAsia="Arial" w:hAnsi="Arial"/>
                <w:sz w:val="16"/>
                <w:szCs w:val="16"/>
                <w:color w:val="auto"/>
              </w:rPr>
              <w:t>Non-U.S.</w:t>
            </w:r>
          </w:p>
        </w:tc>
        <w:tc>
          <w:tcPr>
            <w:tcW w:w="140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color w:val="auto"/>
              </w:rPr>
              <w:t>1,511</w:t>
            </w:r>
          </w:p>
        </w:tc>
        <w:tc>
          <w:tcPr>
            <w:tcW w:w="124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color w:val="auto"/>
              </w:rPr>
              <w:t>1,073</w:t>
            </w: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rPr>
              <w:t>16,076</w:t>
            </w: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15,793</w:t>
            </w:r>
          </w:p>
        </w:tc>
        <w:tc>
          <w:tcPr>
            <w:tcW w:w="1320" w:type="dxa"/>
            <w:vAlign w:val="bottom"/>
            <w:tcBorders>
              <w:bottom w:val="single" w:sz="8" w:color="auto"/>
            </w:tcBorders>
          </w:tcPr>
          <w:p>
            <w:pPr>
              <w:jc w:val="right"/>
              <w:ind w:right="403"/>
              <w:spacing w:after="0"/>
              <w:rPr>
                <w:sz w:val="20"/>
                <w:szCs w:val="20"/>
                <w:color w:val="auto"/>
              </w:rPr>
            </w:pPr>
            <w:r>
              <w:rPr>
                <w:rFonts w:ascii="Arial" w:cs="Arial" w:eastAsia="Arial" w:hAnsi="Arial"/>
                <w:sz w:val="16"/>
                <w:szCs w:val="16"/>
                <w:color w:val="auto"/>
              </w:rPr>
              <w:t>9.4</w:t>
            </w: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6.8</w:t>
            </w:r>
          </w:p>
        </w:tc>
        <w:tc>
          <w:tcPr>
            <w:tcW w:w="1420" w:type="dxa"/>
            <w:vAlign w:val="bottom"/>
            <w:tcBorders>
              <w:bottom w:val="single" w:sz="8" w:color="auto"/>
            </w:tcBorders>
          </w:tcPr>
          <w:p>
            <w:pPr>
              <w:jc w:val="right"/>
              <w:ind w:right="483"/>
              <w:spacing w:after="0"/>
              <w:rPr>
                <w:sz w:val="20"/>
                <w:szCs w:val="20"/>
                <w:color w:val="auto"/>
              </w:rPr>
            </w:pPr>
            <w:r>
              <w:rPr>
                <w:rFonts w:ascii="Arial" w:cs="Arial" w:eastAsia="Arial" w:hAnsi="Arial"/>
                <w:sz w:val="16"/>
                <w:szCs w:val="16"/>
                <w:color w:val="auto"/>
              </w:rPr>
              <w:t>1,051</w:t>
            </w:r>
          </w:p>
        </w:tc>
        <w:tc>
          <w:tcPr>
            <w:tcW w:w="0" w:type="dxa"/>
            <w:vAlign w:val="bottom"/>
          </w:tcPr>
          <w:p>
            <w:pPr>
              <w:spacing w:after="0"/>
              <w:rPr>
                <w:sz w:val="1"/>
                <w:szCs w:val="1"/>
                <w:color w:val="auto"/>
              </w:rPr>
            </w:pPr>
          </w:p>
        </w:tc>
      </w:tr>
      <w:tr>
        <w:trPr>
          <w:trHeight w:val="189"/>
        </w:trPr>
        <w:tc>
          <w:tcPr>
            <w:tcW w:w="2660" w:type="dxa"/>
            <w:vAlign w:val="bottom"/>
          </w:tcPr>
          <w:p>
            <w:pPr>
              <w:ind w:left="480"/>
              <w:spacing w:after="0"/>
              <w:rPr>
                <w:sz w:val="20"/>
                <w:szCs w:val="20"/>
                <w:color w:val="auto"/>
              </w:rPr>
            </w:pPr>
            <w:r>
              <w:rPr>
                <w:rFonts w:ascii="Arial" w:cs="Arial" w:eastAsia="Arial" w:hAnsi="Arial"/>
                <w:sz w:val="16"/>
                <w:szCs w:val="16"/>
                <w:color w:val="auto"/>
              </w:rPr>
              <w:t>Total</w:t>
            </w:r>
          </w:p>
        </w:tc>
        <w:tc>
          <w:tcPr>
            <w:tcW w:w="140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color w:val="auto"/>
              </w:rPr>
              <w:t>4,315</w:t>
            </w:r>
          </w:p>
        </w:tc>
        <w:tc>
          <w:tcPr>
            <w:tcW w:w="124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color w:val="auto"/>
              </w:rPr>
              <w:t>3,828</w:t>
            </w: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rPr>
              <w:t>22,197</w:t>
            </w: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20,665</w:t>
            </w:r>
          </w:p>
        </w:tc>
        <w:tc>
          <w:tcPr>
            <w:tcW w:w="1320" w:type="dxa"/>
            <w:vAlign w:val="bottom"/>
            <w:tcBorders>
              <w:bottom w:val="single" w:sz="8" w:color="auto"/>
            </w:tcBorders>
          </w:tcPr>
          <w:p>
            <w:pPr>
              <w:jc w:val="right"/>
              <w:ind w:right="403"/>
              <w:spacing w:after="0"/>
              <w:rPr>
                <w:sz w:val="20"/>
                <w:szCs w:val="20"/>
                <w:color w:val="auto"/>
              </w:rPr>
            </w:pPr>
            <w:r>
              <w:rPr>
                <w:rFonts w:ascii="Arial" w:cs="Arial" w:eastAsia="Arial" w:hAnsi="Arial"/>
                <w:sz w:val="16"/>
                <w:szCs w:val="16"/>
                <w:color w:val="auto"/>
              </w:rPr>
              <w:t>19.4</w:t>
            </w: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18.5</w:t>
            </w:r>
          </w:p>
        </w:tc>
        <w:tc>
          <w:tcPr>
            <w:tcW w:w="1420" w:type="dxa"/>
            <w:vAlign w:val="bottom"/>
            <w:tcBorders>
              <w:bottom w:val="single" w:sz="8" w:color="auto"/>
            </w:tcBorders>
          </w:tcPr>
          <w:p>
            <w:pPr>
              <w:jc w:val="right"/>
              <w:ind w:right="483"/>
              <w:spacing w:after="0"/>
              <w:rPr>
                <w:sz w:val="20"/>
                <w:szCs w:val="20"/>
                <w:color w:val="auto"/>
              </w:rPr>
            </w:pPr>
            <w:r>
              <w:rPr>
                <w:rFonts w:ascii="Arial" w:cs="Arial" w:eastAsia="Arial" w:hAnsi="Arial"/>
                <w:sz w:val="16"/>
                <w:szCs w:val="16"/>
                <w:color w:val="auto"/>
              </w:rPr>
              <w:t>2,741</w:t>
            </w:r>
          </w:p>
        </w:tc>
        <w:tc>
          <w:tcPr>
            <w:tcW w:w="0" w:type="dxa"/>
            <w:vAlign w:val="bottom"/>
          </w:tcPr>
          <w:p>
            <w:pPr>
              <w:spacing w:after="0"/>
              <w:rPr>
                <w:sz w:val="1"/>
                <w:szCs w:val="1"/>
                <w:color w:val="auto"/>
              </w:rPr>
            </w:pPr>
          </w:p>
        </w:tc>
      </w:tr>
      <w:tr>
        <w:trPr>
          <w:trHeight w:val="188"/>
        </w:trPr>
        <w:tc>
          <w:tcPr>
            <w:tcW w:w="2660" w:type="dxa"/>
            <w:vAlign w:val="bottom"/>
          </w:tcPr>
          <w:p>
            <w:pPr>
              <w:spacing w:after="0"/>
              <w:rPr>
                <w:sz w:val="20"/>
                <w:szCs w:val="20"/>
                <w:color w:val="auto"/>
              </w:rPr>
            </w:pPr>
            <w:r>
              <w:rPr>
                <w:rFonts w:ascii="Arial" w:cs="Arial" w:eastAsia="Arial" w:hAnsi="Arial"/>
                <w:sz w:val="16"/>
                <w:szCs w:val="16"/>
                <w:color w:val="auto"/>
              </w:rPr>
              <w:t>Corporate and financing</w:t>
            </w:r>
          </w:p>
        </w:tc>
        <w:tc>
          <w:tcPr>
            <w:tcW w:w="140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(2,388)</w:t>
            </w: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color w:val="auto"/>
              </w:rPr>
              <w:t>(1,538)</w:t>
            </w: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(8,029)</w:t>
            </w:r>
          </w:p>
        </w:tc>
        <w:tc>
          <w:tcPr>
            <w:tcW w:w="9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(6,489)</w:t>
            </w:r>
          </w:p>
        </w:tc>
        <w:tc>
          <w:tcPr>
            <w:tcW w:w="1320" w:type="dxa"/>
            <w:vAlign w:val="bottom"/>
            <w:tcBorders>
              <w:bottom w:val="single" w:sz="8" w:color="auto"/>
            </w:tcBorders>
          </w:tcPr>
          <w:p>
            <w:pPr>
              <w:jc w:val="right"/>
              <w:ind w:right="403"/>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483"/>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88"/>
        </w:trPr>
        <w:tc>
          <w:tcPr>
            <w:tcW w:w="2660" w:type="dxa"/>
            <w:vAlign w:val="bottom"/>
          </w:tcPr>
          <w:p>
            <w:pPr>
              <w:ind w:left="480"/>
              <w:spacing w:after="0"/>
              <w:rPr>
                <w:sz w:val="20"/>
                <w:szCs w:val="20"/>
                <w:color w:val="auto"/>
              </w:rPr>
            </w:pPr>
            <w:r>
              <w:rPr>
                <w:rFonts w:ascii="Arial" w:cs="Arial" w:eastAsia="Arial" w:hAnsi="Arial"/>
                <w:sz w:val="16"/>
                <w:szCs w:val="16"/>
                <w:color w:val="auto"/>
              </w:rPr>
              <w:t>Total</w:t>
            </w:r>
          </w:p>
        </w:tc>
        <w:tc>
          <w:tcPr>
            <w:tcW w:w="140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color w:val="auto"/>
              </w:rPr>
              <w:t>32,520</w:t>
            </w:r>
          </w:p>
        </w:tc>
        <w:tc>
          <w:tcPr>
            <w:tcW w:w="124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color w:val="auto"/>
                <w:w w:val="98"/>
              </w:rPr>
              <w:t>32,580</w:t>
            </w: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w w:val="89"/>
              </w:rPr>
              <w:t>203,110</w:t>
            </w: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w w:val="93"/>
              </w:rPr>
              <w:t>191,575</w:t>
            </w:r>
          </w:p>
        </w:tc>
        <w:tc>
          <w:tcPr>
            <w:tcW w:w="1320" w:type="dxa"/>
            <w:vAlign w:val="bottom"/>
            <w:tcBorders>
              <w:bottom w:val="single" w:sz="8" w:color="auto"/>
            </w:tcBorders>
          </w:tcPr>
          <w:p>
            <w:pPr>
              <w:jc w:val="right"/>
              <w:ind w:right="403"/>
              <w:spacing w:after="0"/>
              <w:rPr>
                <w:sz w:val="20"/>
                <w:szCs w:val="20"/>
                <w:color w:val="auto"/>
              </w:rPr>
            </w:pPr>
            <w:r>
              <w:rPr>
                <w:rFonts w:ascii="Arial" w:cs="Arial" w:eastAsia="Arial" w:hAnsi="Arial"/>
                <w:sz w:val="16"/>
                <w:szCs w:val="16"/>
                <w:color w:val="auto"/>
              </w:rPr>
              <w:t>16.2</w:t>
            </w: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17.2</w:t>
            </w:r>
          </w:p>
        </w:tc>
        <w:tc>
          <w:tcPr>
            <w:tcW w:w="1420" w:type="dxa"/>
            <w:vAlign w:val="bottom"/>
            <w:tcBorders>
              <w:bottom w:val="single" w:sz="8" w:color="auto"/>
            </w:tcBorders>
          </w:tcPr>
          <w:p>
            <w:pPr>
              <w:jc w:val="right"/>
              <w:ind w:right="483"/>
              <w:spacing w:after="0"/>
              <w:rPr>
                <w:sz w:val="20"/>
                <w:szCs w:val="20"/>
                <w:color w:val="auto"/>
              </w:rPr>
            </w:pPr>
            <w:r>
              <w:rPr>
                <w:rFonts w:ascii="Arial" w:cs="Arial" w:eastAsia="Arial" w:hAnsi="Arial"/>
                <w:sz w:val="16"/>
                <w:szCs w:val="16"/>
                <w:color w:val="auto"/>
              </w:rPr>
              <w:t>38,537</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Frequently Used Terms for a definition and calculation of capital employed and return on average capital employed.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Operating</w:t>
            </w:r>
          </w:p>
        </w:tc>
        <w:tc>
          <w:tcPr>
            <w:tcW w:w="1680" w:type="dxa"/>
            <w:vAlign w:val="bottom"/>
            <w:tcBorders>
              <w:bottom w:val="single" w:sz="8" w:color="auto"/>
            </w:tcBorders>
            <w:gridSpan w:val="2"/>
          </w:tcPr>
          <w:p>
            <w:pPr>
              <w:jc w:val="right"/>
              <w:ind w:right="487"/>
              <w:spacing w:after="0"/>
              <w:rPr>
                <w:sz w:val="20"/>
                <w:szCs w:val="20"/>
                <w:color w:val="auto"/>
              </w:rPr>
            </w:pPr>
            <w:r>
              <w:rPr>
                <w:rFonts w:ascii="Arial" w:cs="Arial" w:eastAsia="Arial" w:hAnsi="Arial"/>
                <w:sz w:val="13"/>
                <w:szCs w:val="13"/>
                <w:b w:val="1"/>
                <w:bCs w:val="1"/>
                <w:color w:val="auto"/>
              </w:rPr>
              <w:t>2014</w:t>
            </w:r>
          </w:p>
        </w:tc>
        <w:tc>
          <w:tcPr>
            <w:tcW w:w="86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2013</w:t>
            </w:r>
          </w:p>
        </w:tc>
        <w:tc>
          <w:tcPr>
            <w:tcW w:w="24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823"/>
              <w:spacing w:after="0"/>
              <w:rPr>
                <w:sz w:val="20"/>
                <w:szCs w:val="20"/>
                <w:color w:val="auto"/>
              </w:rPr>
            </w:pPr>
            <w:r>
              <w:rPr>
                <w:rFonts w:ascii="Arial" w:cs="Arial" w:eastAsia="Arial" w:hAnsi="Arial"/>
                <w:sz w:val="13"/>
                <w:szCs w:val="13"/>
                <w:b w:val="1"/>
                <w:bCs w:val="1"/>
                <w:color w:val="auto"/>
              </w:rPr>
              <w:t>2014</w:t>
            </w:r>
          </w:p>
        </w:tc>
      </w:tr>
      <w:tr>
        <w:trPr>
          <w:trHeight w:val="166"/>
        </w:trPr>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0" w:type="dxa"/>
            <w:vAlign w:val="bottom"/>
            <w:gridSpan w:val="3"/>
          </w:tcPr>
          <w:p>
            <w:pPr>
              <w:jc w:val="right"/>
              <w:ind w:right="240"/>
              <w:spacing w:after="0"/>
              <w:rPr>
                <w:sz w:val="20"/>
                <w:szCs w:val="20"/>
                <w:color w:val="auto"/>
              </w:rPr>
            </w:pPr>
            <w:r>
              <w:rPr>
                <w:rFonts w:ascii="Arial" w:cs="Arial" w:eastAsia="Arial" w:hAnsi="Arial"/>
                <w:sz w:val="13"/>
                <w:szCs w:val="13"/>
                <w:i w:val="1"/>
                <w:iCs w:val="1"/>
                <w:color w:val="auto"/>
              </w:rPr>
              <w:t>(thousands of barrels daily)</w:t>
            </w:r>
          </w:p>
        </w:tc>
        <w:tc>
          <w:tcPr>
            <w:tcW w:w="37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i w:val="1"/>
                <w:iCs w:val="1"/>
                <w:color w:val="auto"/>
              </w:rPr>
              <w:t>(thousands of barr</w:t>
            </w:r>
          </w:p>
        </w:tc>
      </w:tr>
      <w:tr>
        <w:trPr>
          <w:trHeight w:val="207"/>
        </w:trPr>
        <w:tc>
          <w:tcPr>
            <w:tcW w:w="2980" w:type="dxa"/>
            <w:vAlign w:val="bottom"/>
          </w:tcPr>
          <w:p>
            <w:pPr>
              <w:spacing w:after="0"/>
              <w:rPr>
                <w:sz w:val="20"/>
                <w:szCs w:val="20"/>
                <w:color w:val="auto"/>
              </w:rPr>
            </w:pPr>
            <w:r>
              <w:rPr>
                <w:rFonts w:ascii="Arial" w:cs="Arial" w:eastAsia="Arial" w:hAnsi="Arial"/>
                <w:sz w:val="16"/>
                <w:szCs w:val="16"/>
                <w:color w:val="auto"/>
              </w:rPr>
              <w:t>Net liquids production</w:t>
            </w: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60" w:type="dxa"/>
            <w:vAlign w:val="bottom"/>
          </w:tcPr>
          <w:p>
            <w:pPr>
              <w:ind w:left="220"/>
              <w:spacing w:after="0"/>
              <w:rPr>
                <w:sz w:val="20"/>
                <w:szCs w:val="20"/>
                <w:color w:val="auto"/>
              </w:rPr>
            </w:pPr>
            <w:r>
              <w:rPr>
                <w:rFonts w:ascii="Arial" w:cs="Arial" w:eastAsia="Arial" w:hAnsi="Arial"/>
                <w:sz w:val="16"/>
                <w:szCs w:val="16"/>
                <w:color w:val="auto"/>
              </w:rPr>
              <w:t>Refinery throughput</w:t>
            </w:r>
          </w:p>
        </w:tc>
        <w:tc>
          <w:tcPr>
            <w:tcW w:w="1420" w:type="dxa"/>
            <w:vAlign w:val="bottom"/>
          </w:tcPr>
          <w:p>
            <w:pPr>
              <w:spacing w:after="0"/>
              <w:rPr>
                <w:sz w:val="17"/>
                <w:szCs w:val="17"/>
                <w:color w:val="auto"/>
              </w:rPr>
            </w:pPr>
          </w:p>
        </w:tc>
      </w:tr>
      <w:tr>
        <w:trPr>
          <w:trHeight w:val="196"/>
        </w:trPr>
        <w:tc>
          <w:tcPr>
            <w:tcW w:w="298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1680" w:type="dxa"/>
            <w:vAlign w:val="bottom"/>
            <w:gridSpan w:val="2"/>
          </w:tcPr>
          <w:p>
            <w:pPr>
              <w:jc w:val="right"/>
              <w:ind w:right="267"/>
              <w:spacing w:after="0"/>
              <w:rPr>
                <w:sz w:val="20"/>
                <w:szCs w:val="20"/>
                <w:color w:val="auto"/>
              </w:rPr>
            </w:pPr>
            <w:r>
              <w:rPr>
                <w:rFonts w:ascii="Arial" w:cs="Arial" w:eastAsia="Arial" w:hAnsi="Arial"/>
                <w:sz w:val="16"/>
                <w:szCs w:val="16"/>
                <w:color w:val="auto"/>
              </w:rPr>
              <w:t>454</w:t>
            </w:r>
          </w:p>
        </w:tc>
        <w:tc>
          <w:tcPr>
            <w:tcW w:w="860" w:type="dxa"/>
            <w:vAlign w:val="bottom"/>
          </w:tcPr>
          <w:p>
            <w:pPr>
              <w:jc w:val="right"/>
              <w:spacing w:after="0"/>
              <w:rPr>
                <w:sz w:val="20"/>
                <w:szCs w:val="20"/>
                <w:color w:val="auto"/>
              </w:rPr>
            </w:pPr>
            <w:r>
              <w:rPr>
                <w:rFonts w:ascii="Arial" w:cs="Arial" w:eastAsia="Arial" w:hAnsi="Arial"/>
                <w:sz w:val="16"/>
                <w:szCs w:val="16"/>
                <w:color w:val="auto"/>
              </w:rPr>
              <w:t>431</w:t>
            </w:r>
          </w:p>
        </w:tc>
        <w:tc>
          <w:tcPr>
            <w:tcW w:w="240" w:type="dxa"/>
            <w:vAlign w:val="bottom"/>
          </w:tcPr>
          <w:p>
            <w:pPr>
              <w:spacing w:after="0"/>
              <w:rPr>
                <w:sz w:val="17"/>
                <w:szCs w:val="17"/>
                <w:color w:val="auto"/>
              </w:rPr>
            </w:pPr>
          </w:p>
        </w:tc>
        <w:tc>
          <w:tcPr>
            <w:tcW w:w="3760" w:type="dxa"/>
            <w:vAlign w:val="bottom"/>
          </w:tcPr>
          <w:p>
            <w:pPr>
              <w:ind w:left="460"/>
              <w:spacing w:after="0"/>
              <w:rPr>
                <w:sz w:val="20"/>
                <w:szCs w:val="20"/>
                <w:color w:val="auto"/>
              </w:rPr>
            </w:pPr>
            <w:r>
              <w:rPr>
                <w:rFonts w:ascii="Arial" w:cs="Arial" w:eastAsia="Arial" w:hAnsi="Arial"/>
                <w:sz w:val="16"/>
                <w:szCs w:val="16"/>
                <w:color w:val="auto"/>
              </w:rPr>
              <w:t>United States</w:t>
            </w:r>
          </w:p>
        </w:tc>
        <w:tc>
          <w:tcPr>
            <w:tcW w:w="1420" w:type="dxa"/>
            <w:vAlign w:val="bottom"/>
          </w:tcPr>
          <w:p>
            <w:pPr>
              <w:jc w:val="right"/>
              <w:ind w:right="603"/>
              <w:spacing w:after="0"/>
              <w:rPr>
                <w:sz w:val="20"/>
                <w:szCs w:val="20"/>
                <w:color w:val="auto"/>
              </w:rPr>
            </w:pPr>
            <w:r>
              <w:rPr>
                <w:rFonts w:ascii="Arial" w:cs="Arial" w:eastAsia="Arial" w:hAnsi="Arial"/>
                <w:sz w:val="16"/>
                <w:szCs w:val="16"/>
                <w:color w:val="auto"/>
              </w:rPr>
              <w:t>1,809</w:t>
            </w:r>
          </w:p>
        </w:tc>
      </w:tr>
      <w:tr>
        <w:trPr>
          <w:trHeight w:val="208"/>
        </w:trPr>
        <w:tc>
          <w:tcPr>
            <w:tcW w:w="2980" w:type="dxa"/>
            <w:vAlign w:val="bottom"/>
          </w:tcPr>
          <w:p>
            <w:pPr>
              <w:ind w:left="240"/>
              <w:spacing w:after="0"/>
              <w:rPr>
                <w:sz w:val="20"/>
                <w:szCs w:val="20"/>
                <w:color w:val="auto"/>
              </w:rPr>
            </w:pPr>
            <w:r>
              <w:rPr>
                <w:rFonts w:ascii="Arial" w:cs="Arial" w:eastAsia="Arial" w:hAnsi="Arial"/>
                <w:sz w:val="16"/>
                <w:szCs w:val="16"/>
                <w:color w:val="auto"/>
              </w:rPr>
              <w:t>Non-U.S.</w:t>
            </w:r>
          </w:p>
        </w:tc>
        <w:tc>
          <w:tcPr>
            <w:tcW w:w="1680" w:type="dxa"/>
            <w:vAlign w:val="bottom"/>
            <w:gridSpan w:val="2"/>
          </w:tcPr>
          <w:p>
            <w:pPr>
              <w:jc w:val="right"/>
              <w:ind w:right="267"/>
              <w:spacing w:after="0"/>
              <w:rPr>
                <w:sz w:val="20"/>
                <w:szCs w:val="20"/>
                <w:color w:val="auto"/>
              </w:rPr>
            </w:pPr>
            <w:r>
              <w:rPr>
                <w:rFonts w:ascii="Arial" w:cs="Arial" w:eastAsia="Arial" w:hAnsi="Arial"/>
                <w:sz w:val="16"/>
                <w:szCs w:val="16"/>
                <w:color w:val="auto"/>
              </w:rPr>
              <w:t>1,657</w:t>
            </w:r>
          </w:p>
        </w:tc>
        <w:tc>
          <w:tcPr>
            <w:tcW w:w="860" w:type="dxa"/>
            <w:vAlign w:val="bottom"/>
          </w:tcPr>
          <w:p>
            <w:pPr>
              <w:jc w:val="right"/>
              <w:spacing w:after="0"/>
              <w:rPr>
                <w:sz w:val="20"/>
                <w:szCs w:val="20"/>
                <w:color w:val="auto"/>
              </w:rPr>
            </w:pPr>
            <w:r>
              <w:rPr>
                <w:rFonts w:ascii="Arial" w:cs="Arial" w:eastAsia="Arial" w:hAnsi="Arial"/>
                <w:sz w:val="16"/>
                <w:szCs w:val="16"/>
                <w:color w:val="auto"/>
              </w:rPr>
              <w:t>1,771</w:t>
            </w:r>
          </w:p>
        </w:tc>
        <w:tc>
          <w:tcPr>
            <w:tcW w:w="240" w:type="dxa"/>
            <w:vAlign w:val="bottom"/>
          </w:tcPr>
          <w:p>
            <w:pPr>
              <w:spacing w:after="0"/>
              <w:rPr>
                <w:sz w:val="18"/>
                <w:szCs w:val="18"/>
                <w:color w:val="auto"/>
              </w:rPr>
            </w:pPr>
          </w:p>
        </w:tc>
        <w:tc>
          <w:tcPr>
            <w:tcW w:w="3760" w:type="dxa"/>
            <w:vAlign w:val="bottom"/>
          </w:tcPr>
          <w:p>
            <w:pPr>
              <w:ind w:left="460"/>
              <w:spacing w:after="0"/>
              <w:rPr>
                <w:sz w:val="20"/>
                <w:szCs w:val="20"/>
                <w:color w:val="auto"/>
              </w:rPr>
            </w:pPr>
            <w:r>
              <w:rPr>
                <w:rFonts w:ascii="Arial" w:cs="Arial" w:eastAsia="Arial" w:hAnsi="Arial"/>
                <w:sz w:val="16"/>
                <w:szCs w:val="16"/>
                <w:color w:val="auto"/>
              </w:rPr>
              <w:t>Non-U.S.</w:t>
            </w:r>
          </w:p>
        </w:tc>
        <w:tc>
          <w:tcPr>
            <w:tcW w:w="1420" w:type="dxa"/>
            <w:vAlign w:val="bottom"/>
          </w:tcPr>
          <w:p>
            <w:pPr>
              <w:jc w:val="right"/>
              <w:ind w:right="603"/>
              <w:spacing w:after="0"/>
              <w:rPr>
                <w:sz w:val="20"/>
                <w:szCs w:val="20"/>
                <w:color w:val="auto"/>
              </w:rPr>
            </w:pPr>
            <w:r>
              <w:rPr>
                <w:rFonts w:ascii="Arial" w:cs="Arial" w:eastAsia="Arial" w:hAnsi="Arial"/>
                <w:sz w:val="16"/>
                <w:szCs w:val="16"/>
                <w:color w:val="auto"/>
              </w:rPr>
              <w:t>2,667</w:t>
            </w:r>
          </w:p>
        </w:tc>
      </w:tr>
      <w:tr>
        <w:trPr>
          <w:trHeight w:val="189"/>
        </w:trPr>
        <w:tc>
          <w:tcPr>
            <w:tcW w:w="2980" w:type="dxa"/>
            <w:vAlign w:val="bottom"/>
          </w:tcPr>
          <w:p>
            <w:pPr>
              <w:ind w:left="480"/>
              <w:spacing w:after="0"/>
              <w:rPr>
                <w:sz w:val="20"/>
                <w:szCs w:val="20"/>
                <w:color w:val="auto"/>
              </w:rPr>
            </w:pPr>
            <w:r>
              <w:rPr>
                <w:rFonts w:ascii="Arial" w:cs="Arial" w:eastAsia="Arial" w:hAnsi="Arial"/>
                <w:sz w:val="16"/>
                <w:szCs w:val="16"/>
                <w:color w:val="auto"/>
              </w:rPr>
              <w:t>Total</w:t>
            </w:r>
          </w:p>
        </w:tc>
        <w:tc>
          <w:tcPr>
            <w:tcW w:w="58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6"/>
                <w:szCs w:val="16"/>
                <w:color w:val="auto"/>
              </w:rPr>
              <w:t>2,111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2,202</w:t>
            </w:r>
          </w:p>
        </w:tc>
        <w:tc>
          <w:tcPr>
            <w:tcW w:w="240" w:type="dxa"/>
            <w:vAlign w:val="bottom"/>
          </w:tcPr>
          <w:p>
            <w:pPr>
              <w:spacing w:after="0"/>
              <w:rPr>
                <w:sz w:val="16"/>
                <w:szCs w:val="16"/>
                <w:color w:val="auto"/>
              </w:rPr>
            </w:pPr>
          </w:p>
        </w:tc>
        <w:tc>
          <w:tcPr>
            <w:tcW w:w="3760" w:type="dxa"/>
            <w:vAlign w:val="bottom"/>
          </w:tcPr>
          <w:p>
            <w:pPr>
              <w:ind w:left="680"/>
              <w:spacing w:after="0"/>
              <w:rPr>
                <w:sz w:val="20"/>
                <w:szCs w:val="20"/>
                <w:color w:val="auto"/>
              </w:rPr>
            </w:pPr>
            <w:r>
              <w:rPr>
                <w:rFonts w:ascii="Arial" w:cs="Arial" w:eastAsia="Arial" w:hAnsi="Arial"/>
                <w:sz w:val="16"/>
                <w:szCs w:val="16"/>
                <w:color w:val="auto"/>
              </w:rPr>
              <w:t>Total</w:t>
            </w:r>
          </w:p>
        </w:tc>
        <w:tc>
          <w:tcPr>
            <w:tcW w:w="1420" w:type="dxa"/>
            <w:vAlign w:val="bottom"/>
            <w:tcBorders>
              <w:top w:val="single" w:sz="8" w:color="auto"/>
              <w:bottom w:val="single" w:sz="8" w:color="auto"/>
            </w:tcBorders>
          </w:tcPr>
          <w:p>
            <w:pPr>
              <w:jc w:val="right"/>
              <w:ind w:right="603"/>
              <w:spacing w:after="0"/>
              <w:rPr>
                <w:sz w:val="20"/>
                <w:szCs w:val="20"/>
                <w:color w:val="auto"/>
              </w:rPr>
            </w:pPr>
            <w:r>
              <w:rPr>
                <w:rFonts w:ascii="Arial" w:cs="Arial" w:eastAsia="Arial" w:hAnsi="Arial"/>
                <w:sz w:val="16"/>
                <w:szCs w:val="16"/>
                <w:color w:val="auto"/>
              </w:rPr>
              <w:t>4,476</w:t>
            </w:r>
          </w:p>
        </w:tc>
      </w:tr>
      <w:tr>
        <w:trPr>
          <w:trHeight w:val="361"/>
        </w:trPr>
        <w:tc>
          <w:tcPr>
            <w:tcW w:w="2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0" w:type="dxa"/>
            <w:vAlign w:val="bottom"/>
            <w:gridSpan w:val="3"/>
          </w:tcPr>
          <w:p>
            <w:pPr>
              <w:jc w:val="right"/>
              <w:ind w:right="240"/>
              <w:spacing w:after="0"/>
              <w:rPr>
                <w:sz w:val="20"/>
                <w:szCs w:val="20"/>
                <w:color w:val="auto"/>
              </w:rPr>
            </w:pPr>
            <w:r>
              <w:rPr>
                <w:rFonts w:ascii="Arial" w:cs="Arial" w:eastAsia="Arial" w:hAnsi="Arial"/>
                <w:sz w:val="13"/>
                <w:szCs w:val="13"/>
                <w:i w:val="1"/>
                <w:iCs w:val="1"/>
                <w:color w:val="auto"/>
              </w:rPr>
              <w:t>(millions of cubic feet daily)</w:t>
            </w:r>
          </w:p>
        </w:tc>
        <w:tc>
          <w:tcPr>
            <w:tcW w:w="37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3"/>
                <w:szCs w:val="13"/>
                <w:i w:val="1"/>
                <w:iCs w:val="1"/>
                <w:color w:val="auto"/>
              </w:rPr>
              <w:t>(thousands of barr</w:t>
            </w:r>
          </w:p>
        </w:tc>
      </w:tr>
      <w:tr>
        <w:trPr>
          <w:trHeight w:val="207"/>
        </w:trPr>
        <w:tc>
          <w:tcPr>
            <w:tcW w:w="2980" w:type="dxa"/>
            <w:vAlign w:val="bottom"/>
          </w:tcPr>
          <w:p>
            <w:pPr>
              <w:spacing w:after="0"/>
              <w:rPr>
                <w:sz w:val="20"/>
                <w:szCs w:val="20"/>
                <w:color w:val="auto"/>
              </w:rPr>
            </w:pPr>
            <w:r>
              <w:rPr>
                <w:rFonts w:ascii="Arial" w:cs="Arial" w:eastAsia="Arial" w:hAnsi="Arial"/>
                <w:sz w:val="16"/>
                <w:szCs w:val="16"/>
                <w:color w:val="auto"/>
              </w:rPr>
              <w:t>Natural gas production available for sale</w:t>
            </w: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60" w:type="dxa"/>
            <w:vAlign w:val="bottom"/>
          </w:tcPr>
          <w:p>
            <w:pPr>
              <w:ind w:left="220"/>
              <w:spacing w:after="0"/>
              <w:rPr>
                <w:sz w:val="20"/>
                <w:szCs w:val="20"/>
                <w:color w:val="auto"/>
              </w:rPr>
            </w:pPr>
            <w:r>
              <w:rPr>
                <w:rFonts w:ascii="Arial" w:cs="Arial" w:eastAsia="Arial" w:hAnsi="Arial"/>
                <w:sz w:val="16"/>
                <w:szCs w:val="16"/>
                <w:color w:val="auto"/>
              </w:rPr>
              <w:t>Petroleum product sales</w:t>
            </w:r>
          </w:p>
        </w:tc>
        <w:tc>
          <w:tcPr>
            <w:tcW w:w="1420" w:type="dxa"/>
            <w:vAlign w:val="bottom"/>
          </w:tcPr>
          <w:p>
            <w:pPr>
              <w:spacing w:after="0"/>
              <w:rPr>
                <w:sz w:val="17"/>
                <w:szCs w:val="17"/>
                <w:color w:val="auto"/>
              </w:rPr>
            </w:pPr>
          </w:p>
        </w:tc>
      </w:tr>
      <w:tr>
        <w:trPr>
          <w:trHeight w:val="196"/>
        </w:trPr>
        <w:tc>
          <w:tcPr>
            <w:tcW w:w="298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1680" w:type="dxa"/>
            <w:vAlign w:val="bottom"/>
            <w:gridSpan w:val="2"/>
          </w:tcPr>
          <w:p>
            <w:pPr>
              <w:jc w:val="right"/>
              <w:ind w:right="267"/>
              <w:spacing w:after="0"/>
              <w:rPr>
                <w:sz w:val="20"/>
                <w:szCs w:val="20"/>
                <w:color w:val="auto"/>
              </w:rPr>
            </w:pPr>
            <w:r>
              <w:rPr>
                <w:rFonts w:ascii="Arial" w:cs="Arial" w:eastAsia="Arial" w:hAnsi="Arial"/>
                <w:sz w:val="16"/>
                <w:szCs w:val="16"/>
                <w:color w:val="auto"/>
              </w:rPr>
              <w:t>3,404</w:t>
            </w:r>
          </w:p>
        </w:tc>
        <w:tc>
          <w:tcPr>
            <w:tcW w:w="860" w:type="dxa"/>
            <w:vAlign w:val="bottom"/>
          </w:tcPr>
          <w:p>
            <w:pPr>
              <w:jc w:val="right"/>
              <w:spacing w:after="0"/>
              <w:rPr>
                <w:sz w:val="20"/>
                <w:szCs w:val="20"/>
                <w:color w:val="auto"/>
              </w:rPr>
            </w:pPr>
            <w:r>
              <w:rPr>
                <w:rFonts w:ascii="Arial" w:cs="Arial" w:eastAsia="Arial" w:hAnsi="Arial"/>
                <w:sz w:val="16"/>
                <w:szCs w:val="16"/>
                <w:color w:val="auto"/>
              </w:rPr>
              <w:t>3,545</w:t>
            </w:r>
          </w:p>
        </w:tc>
        <w:tc>
          <w:tcPr>
            <w:tcW w:w="240" w:type="dxa"/>
            <w:vAlign w:val="bottom"/>
          </w:tcPr>
          <w:p>
            <w:pPr>
              <w:spacing w:after="0"/>
              <w:rPr>
                <w:sz w:val="17"/>
                <w:szCs w:val="17"/>
                <w:color w:val="auto"/>
              </w:rPr>
            </w:pPr>
          </w:p>
        </w:tc>
        <w:tc>
          <w:tcPr>
            <w:tcW w:w="3760" w:type="dxa"/>
            <w:vAlign w:val="bottom"/>
          </w:tcPr>
          <w:p>
            <w:pPr>
              <w:ind w:left="460"/>
              <w:spacing w:after="0"/>
              <w:rPr>
                <w:sz w:val="20"/>
                <w:szCs w:val="20"/>
                <w:color w:val="auto"/>
              </w:rPr>
            </w:pPr>
            <w:r>
              <w:rPr>
                <w:rFonts w:ascii="Arial" w:cs="Arial" w:eastAsia="Arial" w:hAnsi="Arial"/>
                <w:sz w:val="16"/>
                <w:szCs w:val="16"/>
                <w:color w:val="auto"/>
              </w:rPr>
              <w:t>United States</w:t>
            </w:r>
          </w:p>
        </w:tc>
        <w:tc>
          <w:tcPr>
            <w:tcW w:w="1420" w:type="dxa"/>
            <w:vAlign w:val="bottom"/>
          </w:tcPr>
          <w:p>
            <w:pPr>
              <w:jc w:val="right"/>
              <w:ind w:right="603"/>
              <w:spacing w:after="0"/>
              <w:rPr>
                <w:sz w:val="20"/>
                <w:szCs w:val="20"/>
                <w:color w:val="auto"/>
              </w:rPr>
            </w:pPr>
            <w:r>
              <w:rPr>
                <w:rFonts w:ascii="Arial" w:cs="Arial" w:eastAsia="Arial" w:hAnsi="Arial"/>
                <w:sz w:val="16"/>
                <w:szCs w:val="16"/>
                <w:color w:val="auto"/>
              </w:rPr>
              <w:t>2,655</w:t>
            </w:r>
          </w:p>
        </w:tc>
      </w:tr>
      <w:tr>
        <w:trPr>
          <w:trHeight w:val="208"/>
        </w:trPr>
        <w:tc>
          <w:tcPr>
            <w:tcW w:w="2980" w:type="dxa"/>
            <w:vAlign w:val="bottom"/>
          </w:tcPr>
          <w:p>
            <w:pPr>
              <w:ind w:left="240"/>
              <w:spacing w:after="0"/>
              <w:rPr>
                <w:sz w:val="20"/>
                <w:szCs w:val="20"/>
                <w:color w:val="auto"/>
              </w:rPr>
            </w:pPr>
            <w:r>
              <w:rPr>
                <w:rFonts w:ascii="Arial" w:cs="Arial" w:eastAsia="Arial" w:hAnsi="Arial"/>
                <w:sz w:val="16"/>
                <w:szCs w:val="16"/>
                <w:color w:val="auto"/>
              </w:rPr>
              <w:t>Non-U.S.</w:t>
            </w:r>
          </w:p>
        </w:tc>
        <w:tc>
          <w:tcPr>
            <w:tcW w:w="1680" w:type="dxa"/>
            <w:vAlign w:val="bottom"/>
            <w:gridSpan w:val="2"/>
          </w:tcPr>
          <w:p>
            <w:pPr>
              <w:jc w:val="right"/>
              <w:ind w:right="267"/>
              <w:spacing w:after="0"/>
              <w:rPr>
                <w:sz w:val="20"/>
                <w:szCs w:val="20"/>
                <w:color w:val="auto"/>
              </w:rPr>
            </w:pPr>
            <w:r>
              <w:rPr>
                <w:rFonts w:ascii="Arial" w:cs="Arial" w:eastAsia="Arial" w:hAnsi="Arial"/>
                <w:sz w:val="16"/>
                <w:szCs w:val="16"/>
                <w:color w:val="auto"/>
              </w:rPr>
              <w:t>7,741</w:t>
            </w:r>
          </w:p>
        </w:tc>
        <w:tc>
          <w:tcPr>
            <w:tcW w:w="860" w:type="dxa"/>
            <w:vAlign w:val="bottom"/>
          </w:tcPr>
          <w:p>
            <w:pPr>
              <w:jc w:val="right"/>
              <w:spacing w:after="0"/>
              <w:rPr>
                <w:sz w:val="20"/>
                <w:szCs w:val="20"/>
                <w:color w:val="auto"/>
              </w:rPr>
            </w:pPr>
            <w:r>
              <w:rPr>
                <w:rFonts w:ascii="Arial" w:cs="Arial" w:eastAsia="Arial" w:hAnsi="Arial"/>
                <w:sz w:val="16"/>
                <w:szCs w:val="16"/>
                <w:color w:val="auto"/>
              </w:rPr>
              <w:t>8,291</w:t>
            </w:r>
          </w:p>
        </w:tc>
        <w:tc>
          <w:tcPr>
            <w:tcW w:w="240" w:type="dxa"/>
            <w:vAlign w:val="bottom"/>
          </w:tcPr>
          <w:p>
            <w:pPr>
              <w:spacing w:after="0"/>
              <w:rPr>
                <w:sz w:val="18"/>
                <w:szCs w:val="18"/>
                <w:color w:val="auto"/>
              </w:rPr>
            </w:pPr>
          </w:p>
        </w:tc>
        <w:tc>
          <w:tcPr>
            <w:tcW w:w="3760" w:type="dxa"/>
            <w:vAlign w:val="bottom"/>
          </w:tcPr>
          <w:p>
            <w:pPr>
              <w:ind w:left="460"/>
              <w:spacing w:after="0"/>
              <w:rPr>
                <w:sz w:val="20"/>
                <w:szCs w:val="20"/>
                <w:color w:val="auto"/>
              </w:rPr>
            </w:pPr>
            <w:r>
              <w:rPr>
                <w:rFonts w:ascii="Arial" w:cs="Arial" w:eastAsia="Arial" w:hAnsi="Arial"/>
                <w:sz w:val="16"/>
                <w:szCs w:val="16"/>
                <w:color w:val="auto"/>
              </w:rPr>
              <w:t>Non-U.S.</w:t>
            </w:r>
          </w:p>
        </w:tc>
        <w:tc>
          <w:tcPr>
            <w:tcW w:w="1420" w:type="dxa"/>
            <w:vAlign w:val="bottom"/>
          </w:tcPr>
          <w:p>
            <w:pPr>
              <w:jc w:val="right"/>
              <w:ind w:right="603"/>
              <w:spacing w:after="0"/>
              <w:rPr>
                <w:sz w:val="20"/>
                <w:szCs w:val="20"/>
                <w:color w:val="auto"/>
              </w:rPr>
            </w:pPr>
            <w:r>
              <w:rPr>
                <w:rFonts w:ascii="Arial" w:cs="Arial" w:eastAsia="Arial" w:hAnsi="Arial"/>
                <w:sz w:val="16"/>
                <w:szCs w:val="16"/>
                <w:color w:val="auto"/>
              </w:rPr>
              <w:t>3,220</w:t>
            </w:r>
          </w:p>
        </w:tc>
      </w:tr>
      <w:tr>
        <w:trPr>
          <w:trHeight w:val="189"/>
        </w:trPr>
        <w:tc>
          <w:tcPr>
            <w:tcW w:w="2980" w:type="dxa"/>
            <w:vAlign w:val="bottom"/>
          </w:tcPr>
          <w:p>
            <w:pPr>
              <w:ind w:left="480"/>
              <w:spacing w:after="0"/>
              <w:rPr>
                <w:sz w:val="20"/>
                <w:szCs w:val="20"/>
                <w:color w:val="auto"/>
              </w:rPr>
            </w:pPr>
            <w:r>
              <w:rPr>
                <w:rFonts w:ascii="Arial" w:cs="Arial" w:eastAsia="Arial" w:hAnsi="Arial"/>
                <w:sz w:val="16"/>
                <w:szCs w:val="16"/>
                <w:color w:val="auto"/>
              </w:rPr>
              <w:t>Total</w:t>
            </w:r>
          </w:p>
        </w:tc>
        <w:tc>
          <w:tcPr>
            <w:tcW w:w="58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6"/>
                <w:szCs w:val="16"/>
                <w:color w:val="auto"/>
              </w:rPr>
              <w:t>11,145</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11,836</w:t>
            </w:r>
          </w:p>
        </w:tc>
        <w:tc>
          <w:tcPr>
            <w:tcW w:w="240" w:type="dxa"/>
            <w:vAlign w:val="bottom"/>
          </w:tcPr>
          <w:p>
            <w:pPr>
              <w:spacing w:after="0"/>
              <w:rPr>
                <w:sz w:val="16"/>
                <w:szCs w:val="16"/>
                <w:color w:val="auto"/>
              </w:rPr>
            </w:pPr>
          </w:p>
        </w:tc>
        <w:tc>
          <w:tcPr>
            <w:tcW w:w="3760" w:type="dxa"/>
            <w:vAlign w:val="bottom"/>
          </w:tcPr>
          <w:p>
            <w:pPr>
              <w:ind w:left="680"/>
              <w:spacing w:after="0"/>
              <w:rPr>
                <w:sz w:val="20"/>
                <w:szCs w:val="20"/>
                <w:color w:val="auto"/>
              </w:rPr>
            </w:pPr>
            <w:r>
              <w:rPr>
                <w:rFonts w:ascii="Arial" w:cs="Arial" w:eastAsia="Arial" w:hAnsi="Arial"/>
                <w:sz w:val="16"/>
                <w:szCs w:val="16"/>
                <w:color w:val="auto"/>
              </w:rPr>
              <w:t>Total</w:t>
            </w:r>
          </w:p>
        </w:tc>
        <w:tc>
          <w:tcPr>
            <w:tcW w:w="1420" w:type="dxa"/>
            <w:vAlign w:val="bottom"/>
            <w:tcBorders>
              <w:top w:val="single" w:sz="8" w:color="auto"/>
              <w:bottom w:val="single" w:sz="8" w:color="auto"/>
            </w:tcBorders>
          </w:tcPr>
          <w:p>
            <w:pPr>
              <w:jc w:val="right"/>
              <w:ind w:right="603"/>
              <w:spacing w:after="0"/>
              <w:rPr>
                <w:sz w:val="20"/>
                <w:szCs w:val="20"/>
                <w:color w:val="auto"/>
              </w:rPr>
            </w:pPr>
            <w:r>
              <w:rPr>
                <w:rFonts w:ascii="Arial" w:cs="Arial" w:eastAsia="Arial" w:hAnsi="Arial"/>
                <w:sz w:val="16"/>
                <w:szCs w:val="16"/>
                <w:color w:val="auto"/>
              </w:rPr>
              <w:t>5,875</w:t>
            </w:r>
          </w:p>
        </w:tc>
      </w:tr>
      <w:tr>
        <w:trPr>
          <w:trHeight w:val="361"/>
        </w:trPr>
        <w:tc>
          <w:tcPr>
            <w:tcW w:w="2980" w:type="dxa"/>
            <w:vAlign w:val="bottom"/>
          </w:tcPr>
          <w:p>
            <w:pPr>
              <w:spacing w:after="0"/>
              <w:rPr>
                <w:sz w:val="24"/>
                <w:szCs w:val="24"/>
                <w:color w:val="auto"/>
              </w:rPr>
            </w:pPr>
          </w:p>
        </w:tc>
        <w:tc>
          <w:tcPr>
            <w:tcW w:w="2780" w:type="dxa"/>
            <w:vAlign w:val="bottom"/>
            <w:gridSpan w:val="4"/>
          </w:tcPr>
          <w:p>
            <w:pPr>
              <w:jc w:val="right"/>
              <w:ind w:right="240"/>
              <w:spacing w:after="0"/>
              <w:rPr>
                <w:sz w:val="20"/>
                <w:szCs w:val="20"/>
                <w:color w:val="auto"/>
              </w:rPr>
            </w:pPr>
            <w:r>
              <w:rPr>
                <w:rFonts w:ascii="Arial" w:cs="Arial" w:eastAsia="Arial" w:hAnsi="Arial"/>
                <w:sz w:val="13"/>
                <w:szCs w:val="13"/>
                <w:i w:val="1"/>
                <w:iCs w:val="1"/>
                <w:color w:val="auto"/>
              </w:rPr>
              <w:t>(thousands of oil-equivalent barrels daily)</w:t>
            </w:r>
          </w:p>
        </w:tc>
        <w:tc>
          <w:tcPr>
            <w:tcW w:w="37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3"/>
                <w:szCs w:val="13"/>
                <w:i w:val="1"/>
                <w:iCs w:val="1"/>
                <w:color w:val="auto"/>
              </w:rPr>
              <w:t>(thousands of me</w:t>
            </w:r>
          </w:p>
        </w:tc>
      </w:tr>
      <w:tr>
        <w:trPr>
          <w:trHeight w:val="207"/>
        </w:trPr>
        <w:tc>
          <w:tcPr>
            <w:tcW w:w="2980" w:type="dxa"/>
            <w:vAlign w:val="bottom"/>
          </w:tcPr>
          <w:p>
            <w:pPr>
              <w:spacing w:after="0"/>
              <w:rPr>
                <w:sz w:val="20"/>
                <w:szCs w:val="20"/>
                <w:color w:val="auto"/>
              </w:rPr>
            </w:pPr>
            <w:r>
              <w:rPr>
                <w:rFonts w:ascii="Arial" w:cs="Arial" w:eastAsia="Arial" w:hAnsi="Arial"/>
                <w:sz w:val="16"/>
                <w:szCs w:val="16"/>
                <w:color w:val="auto"/>
              </w:rPr>
              <w:t xml:space="preserve">Oil-equivalent production </w:t>
            </w:r>
            <w:r>
              <w:rPr>
                <w:rFonts w:ascii="Arial" w:cs="Arial" w:eastAsia="Arial" w:hAnsi="Arial"/>
                <w:sz w:val="16"/>
                <w:szCs w:val="16"/>
                <w:i w:val="1"/>
                <w:iCs w:val="1"/>
                <w:color w:val="auto"/>
              </w:rPr>
              <w:t>(1)</w:t>
            </w:r>
          </w:p>
        </w:tc>
        <w:tc>
          <w:tcPr>
            <w:tcW w:w="1680" w:type="dxa"/>
            <w:vAlign w:val="bottom"/>
            <w:gridSpan w:val="2"/>
          </w:tcPr>
          <w:p>
            <w:pPr>
              <w:jc w:val="right"/>
              <w:ind w:right="267"/>
              <w:spacing w:after="0"/>
              <w:rPr>
                <w:sz w:val="20"/>
                <w:szCs w:val="20"/>
                <w:color w:val="auto"/>
              </w:rPr>
            </w:pPr>
            <w:r>
              <w:rPr>
                <w:rFonts w:ascii="Arial" w:cs="Arial" w:eastAsia="Arial" w:hAnsi="Arial"/>
                <w:sz w:val="16"/>
                <w:szCs w:val="16"/>
                <w:color w:val="auto"/>
              </w:rPr>
              <w:t>3,969</w:t>
            </w:r>
          </w:p>
        </w:tc>
        <w:tc>
          <w:tcPr>
            <w:tcW w:w="860" w:type="dxa"/>
            <w:vAlign w:val="bottom"/>
          </w:tcPr>
          <w:p>
            <w:pPr>
              <w:jc w:val="right"/>
              <w:spacing w:after="0"/>
              <w:rPr>
                <w:sz w:val="20"/>
                <w:szCs w:val="20"/>
                <w:color w:val="auto"/>
              </w:rPr>
            </w:pPr>
            <w:r>
              <w:rPr>
                <w:rFonts w:ascii="Arial" w:cs="Arial" w:eastAsia="Arial" w:hAnsi="Arial"/>
                <w:sz w:val="16"/>
                <w:szCs w:val="16"/>
                <w:color w:val="auto"/>
              </w:rPr>
              <w:t>4,175</w:t>
            </w:r>
          </w:p>
        </w:tc>
        <w:tc>
          <w:tcPr>
            <w:tcW w:w="240" w:type="dxa"/>
            <w:vAlign w:val="bottom"/>
          </w:tcPr>
          <w:p>
            <w:pPr>
              <w:spacing w:after="0"/>
              <w:rPr>
                <w:sz w:val="17"/>
                <w:szCs w:val="17"/>
                <w:color w:val="auto"/>
              </w:rPr>
            </w:pPr>
          </w:p>
        </w:tc>
        <w:tc>
          <w:tcPr>
            <w:tcW w:w="3760" w:type="dxa"/>
            <w:vAlign w:val="bottom"/>
          </w:tcPr>
          <w:p>
            <w:pPr>
              <w:ind w:left="220"/>
              <w:spacing w:after="0"/>
              <w:rPr>
                <w:sz w:val="20"/>
                <w:szCs w:val="20"/>
                <w:color w:val="auto"/>
              </w:rPr>
            </w:pPr>
            <w:r>
              <w:rPr>
                <w:rFonts w:ascii="Arial" w:cs="Arial" w:eastAsia="Arial" w:hAnsi="Arial"/>
                <w:sz w:val="16"/>
                <w:szCs w:val="16"/>
                <w:color w:val="auto"/>
              </w:rPr>
              <w:t xml:space="preserve">Chemical prime product sales </w:t>
            </w:r>
            <w:r>
              <w:rPr>
                <w:rFonts w:ascii="Arial" w:cs="Arial" w:eastAsia="Arial" w:hAnsi="Arial"/>
                <w:sz w:val="16"/>
                <w:szCs w:val="16"/>
                <w:i w:val="1"/>
                <w:iCs w:val="1"/>
                <w:color w:val="auto"/>
              </w:rPr>
              <w:t>(2)</w:t>
            </w:r>
          </w:p>
        </w:tc>
        <w:tc>
          <w:tcPr>
            <w:tcW w:w="1420" w:type="dxa"/>
            <w:vAlign w:val="bottom"/>
          </w:tcPr>
          <w:p>
            <w:pPr>
              <w:spacing w:after="0"/>
              <w:rPr>
                <w:sz w:val="17"/>
                <w:szCs w:val="17"/>
                <w:color w:val="auto"/>
              </w:rPr>
            </w:pPr>
          </w:p>
        </w:tc>
      </w:tr>
      <w:tr>
        <w:trPr>
          <w:trHeight w:val="196"/>
        </w:trPr>
        <w:tc>
          <w:tcPr>
            <w:tcW w:w="2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60" w:type="dxa"/>
            <w:vAlign w:val="bottom"/>
          </w:tcPr>
          <w:p>
            <w:pPr>
              <w:ind w:left="460"/>
              <w:spacing w:after="0"/>
              <w:rPr>
                <w:sz w:val="20"/>
                <w:szCs w:val="20"/>
                <w:color w:val="auto"/>
              </w:rPr>
            </w:pPr>
            <w:r>
              <w:rPr>
                <w:rFonts w:ascii="Arial" w:cs="Arial" w:eastAsia="Arial" w:hAnsi="Arial"/>
                <w:sz w:val="16"/>
                <w:szCs w:val="16"/>
                <w:color w:val="auto"/>
              </w:rPr>
              <w:t>United States</w:t>
            </w:r>
          </w:p>
        </w:tc>
        <w:tc>
          <w:tcPr>
            <w:tcW w:w="1420" w:type="dxa"/>
            <w:vAlign w:val="bottom"/>
          </w:tcPr>
          <w:p>
            <w:pPr>
              <w:jc w:val="right"/>
              <w:ind w:right="603"/>
              <w:spacing w:after="0"/>
              <w:rPr>
                <w:sz w:val="20"/>
                <w:szCs w:val="20"/>
                <w:color w:val="auto"/>
              </w:rPr>
            </w:pPr>
            <w:r>
              <w:rPr>
                <w:rFonts w:ascii="Arial" w:cs="Arial" w:eastAsia="Arial" w:hAnsi="Arial"/>
                <w:sz w:val="16"/>
                <w:szCs w:val="16"/>
                <w:color w:val="auto"/>
              </w:rPr>
              <w:t>9,528</w:t>
            </w:r>
          </w:p>
        </w:tc>
      </w:tr>
      <w:tr>
        <w:trPr>
          <w:trHeight w:val="208"/>
        </w:trPr>
        <w:tc>
          <w:tcPr>
            <w:tcW w:w="2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60" w:type="dxa"/>
            <w:vAlign w:val="bottom"/>
          </w:tcPr>
          <w:p>
            <w:pPr>
              <w:ind w:left="460"/>
              <w:spacing w:after="0"/>
              <w:rPr>
                <w:sz w:val="20"/>
                <w:szCs w:val="20"/>
                <w:color w:val="auto"/>
              </w:rPr>
            </w:pPr>
            <w:r>
              <w:rPr>
                <w:rFonts w:ascii="Arial" w:cs="Arial" w:eastAsia="Arial" w:hAnsi="Arial"/>
                <w:sz w:val="16"/>
                <w:szCs w:val="16"/>
                <w:color w:val="auto"/>
              </w:rPr>
              <w:t>Non-U.S.</w:t>
            </w:r>
          </w:p>
        </w:tc>
        <w:tc>
          <w:tcPr>
            <w:tcW w:w="1420" w:type="dxa"/>
            <w:vAlign w:val="bottom"/>
            <w:tcBorders>
              <w:bottom w:val="single" w:sz="8" w:color="auto"/>
            </w:tcBorders>
          </w:tcPr>
          <w:p>
            <w:pPr>
              <w:jc w:val="right"/>
              <w:ind w:right="603"/>
              <w:spacing w:after="0"/>
              <w:rPr>
                <w:sz w:val="20"/>
                <w:szCs w:val="20"/>
                <w:color w:val="auto"/>
              </w:rPr>
            </w:pPr>
            <w:r>
              <w:rPr>
                <w:rFonts w:ascii="Arial" w:cs="Arial" w:eastAsia="Arial" w:hAnsi="Arial"/>
                <w:sz w:val="16"/>
                <w:szCs w:val="16"/>
                <w:color w:val="auto"/>
              </w:rPr>
              <w:t>14,707</w:t>
            </w:r>
          </w:p>
        </w:tc>
      </w:tr>
      <w:tr>
        <w:trPr>
          <w:trHeight w:val="189"/>
        </w:trPr>
        <w:tc>
          <w:tcPr>
            <w:tcW w:w="2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60" w:type="dxa"/>
            <w:vAlign w:val="bottom"/>
          </w:tcPr>
          <w:p>
            <w:pPr>
              <w:ind w:left="680"/>
              <w:spacing w:after="0"/>
              <w:rPr>
                <w:sz w:val="20"/>
                <w:szCs w:val="20"/>
                <w:color w:val="auto"/>
              </w:rPr>
            </w:pPr>
            <w:r>
              <w:rPr>
                <w:rFonts w:ascii="Arial" w:cs="Arial" w:eastAsia="Arial" w:hAnsi="Arial"/>
                <w:sz w:val="16"/>
                <w:szCs w:val="16"/>
                <w:color w:val="auto"/>
              </w:rPr>
              <w:t>Total</w:t>
            </w:r>
          </w:p>
        </w:tc>
        <w:tc>
          <w:tcPr>
            <w:tcW w:w="1420" w:type="dxa"/>
            <w:vAlign w:val="bottom"/>
            <w:tcBorders>
              <w:bottom w:val="single" w:sz="8" w:color="auto"/>
            </w:tcBorders>
          </w:tcPr>
          <w:p>
            <w:pPr>
              <w:jc w:val="right"/>
              <w:ind w:right="603"/>
              <w:spacing w:after="0"/>
              <w:rPr>
                <w:sz w:val="20"/>
                <w:szCs w:val="20"/>
                <w:color w:val="auto"/>
              </w:rPr>
            </w:pPr>
            <w:r>
              <w:rPr>
                <w:rFonts w:ascii="Arial" w:cs="Arial" w:eastAsia="Arial" w:hAnsi="Arial"/>
                <w:sz w:val="16"/>
                <w:szCs w:val="16"/>
                <w:color w:val="auto"/>
              </w:rPr>
              <w:t>24,235</w:t>
            </w:r>
          </w:p>
        </w:tc>
      </w:tr>
    </w:tbl>
    <w:p>
      <w:pPr>
        <w:spacing w:after="0" w:line="233" w:lineRule="exact"/>
        <w:rPr>
          <w:sz w:val="20"/>
          <w:szCs w:val="20"/>
          <w:color w:val="auto"/>
        </w:rPr>
      </w:pPr>
    </w:p>
    <w:p>
      <w:pPr>
        <w:ind w:left="640" w:hanging="340"/>
        <w:spacing w:after="0"/>
        <w:tabs>
          <w:tab w:leader="none" w:pos="64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Gas converted to oil-equivalent at 6 million cubic feet = 1 thousand barrels.</w:t>
      </w:r>
    </w:p>
    <w:p>
      <w:pPr>
        <w:spacing w:after="0" w:line="61" w:lineRule="exact"/>
        <w:rPr>
          <w:rFonts w:ascii="Arial" w:cs="Arial" w:eastAsia="Arial" w:hAnsi="Arial"/>
          <w:sz w:val="16"/>
          <w:szCs w:val="16"/>
          <w:i w:val="1"/>
          <w:iCs w:val="1"/>
          <w:color w:val="auto"/>
        </w:rPr>
      </w:pPr>
    </w:p>
    <w:p>
      <w:pPr>
        <w:ind w:left="600" w:right="40" w:hanging="300"/>
        <w:spacing w:after="0" w:line="286" w:lineRule="auto"/>
        <w:tabs>
          <w:tab w:leader="none" w:pos="663"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Prime product sales are total product sales excluding carbon black oil and sulfur. Prime product sales include ExxonMobil´s share of equity company volu finished-product transfers to the Downstream.</w:t>
      </w:r>
    </w:p>
    <w:p>
      <w:pPr>
        <w:spacing w:after="0" w:line="248"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FINANCIAL SUMMARY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400" w:type="dxa"/>
            <w:vAlign w:val="bottom"/>
          </w:tcPr>
          <w:p>
            <w:pPr>
              <w:spacing w:after="0"/>
              <w:rPr>
                <w:sz w:val="14"/>
                <w:szCs w:val="14"/>
                <w:color w:val="auto"/>
              </w:rPr>
            </w:pPr>
          </w:p>
        </w:tc>
        <w:tc>
          <w:tcPr>
            <w:tcW w:w="1240" w:type="dxa"/>
            <w:vAlign w:val="bottom"/>
          </w:tcPr>
          <w:p>
            <w:pPr>
              <w:jc w:val="right"/>
              <w:ind w:right="579"/>
              <w:spacing w:after="0"/>
              <w:rPr>
                <w:sz w:val="20"/>
                <w:szCs w:val="20"/>
                <w:color w:val="auto"/>
              </w:rPr>
            </w:pPr>
            <w:r>
              <w:rPr>
                <w:rFonts w:ascii="Arial" w:cs="Arial" w:eastAsia="Arial" w:hAnsi="Arial"/>
                <w:sz w:val="13"/>
                <w:szCs w:val="13"/>
                <w:b w:val="1"/>
                <w:bCs w:val="1"/>
                <w:color w:val="auto"/>
              </w:rPr>
              <w:t>2014</w:t>
            </w:r>
          </w:p>
        </w:tc>
        <w:tc>
          <w:tcPr>
            <w:tcW w:w="1440" w:type="dxa"/>
            <w:vAlign w:val="bottom"/>
          </w:tcPr>
          <w:p>
            <w:pPr>
              <w:jc w:val="right"/>
              <w:ind w:right="619"/>
              <w:spacing w:after="0"/>
              <w:rPr>
                <w:sz w:val="20"/>
                <w:szCs w:val="20"/>
                <w:color w:val="auto"/>
              </w:rPr>
            </w:pPr>
            <w:r>
              <w:rPr>
                <w:rFonts w:ascii="Arial" w:cs="Arial" w:eastAsia="Arial" w:hAnsi="Arial"/>
                <w:sz w:val="13"/>
                <w:szCs w:val="13"/>
                <w:b w:val="1"/>
                <w:bCs w:val="1"/>
                <w:color w:val="auto"/>
              </w:rPr>
              <w:t>2013</w:t>
            </w:r>
          </w:p>
        </w:tc>
        <w:tc>
          <w:tcPr>
            <w:tcW w:w="1480" w:type="dxa"/>
            <w:vAlign w:val="bottom"/>
          </w:tcPr>
          <w:p>
            <w:pPr>
              <w:jc w:val="right"/>
              <w:ind w:right="739"/>
              <w:spacing w:after="0"/>
              <w:rPr>
                <w:sz w:val="20"/>
                <w:szCs w:val="20"/>
                <w:color w:val="auto"/>
              </w:rPr>
            </w:pPr>
            <w:r>
              <w:rPr>
                <w:rFonts w:ascii="Arial" w:cs="Arial" w:eastAsia="Arial" w:hAnsi="Arial"/>
                <w:sz w:val="13"/>
                <w:szCs w:val="13"/>
                <w:b w:val="1"/>
                <w:bCs w:val="1"/>
                <w:color w:val="auto"/>
              </w:rPr>
              <w:t>2012</w:t>
            </w:r>
          </w:p>
        </w:tc>
        <w:tc>
          <w:tcPr>
            <w:tcW w:w="1020" w:type="dxa"/>
            <w:vAlign w:val="bottom"/>
          </w:tcPr>
          <w:p>
            <w:pPr>
              <w:jc w:val="right"/>
              <w:ind w:right="459"/>
              <w:spacing w:after="0"/>
              <w:rPr>
                <w:sz w:val="20"/>
                <w:szCs w:val="20"/>
                <w:color w:val="auto"/>
              </w:rPr>
            </w:pPr>
            <w:r>
              <w:rPr>
                <w:rFonts w:ascii="Arial" w:cs="Arial" w:eastAsia="Arial" w:hAnsi="Arial"/>
                <w:sz w:val="13"/>
                <w:szCs w:val="13"/>
                <w:b w:val="1"/>
                <w:bCs w:val="1"/>
                <w:color w:val="auto"/>
              </w:rPr>
              <w:t>2011</w:t>
            </w:r>
          </w:p>
        </w:tc>
        <w:tc>
          <w:tcPr>
            <w:tcW w:w="360" w:type="dxa"/>
            <w:vAlign w:val="bottom"/>
          </w:tcPr>
          <w:p>
            <w:pPr>
              <w:spacing w:after="0"/>
              <w:rPr>
                <w:sz w:val="14"/>
                <w:szCs w:val="14"/>
                <w:color w:val="auto"/>
              </w:rPr>
            </w:pPr>
          </w:p>
        </w:tc>
      </w:tr>
      <w:tr>
        <w:trPr>
          <w:trHeight w:val="23"/>
        </w:trPr>
        <w:tc>
          <w:tcPr>
            <w:tcW w:w="5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65"/>
        </w:trPr>
        <w:tc>
          <w:tcPr>
            <w:tcW w:w="5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920" w:type="dxa"/>
            <w:vAlign w:val="bottom"/>
            <w:gridSpan w:val="2"/>
          </w:tcPr>
          <w:p>
            <w:pPr>
              <w:jc w:val="right"/>
              <w:ind w:right="79"/>
              <w:spacing w:after="0"/>
              <w:rPr>
                <w:sz w:val="20"/>
                <w:szCs w:val="20"/>
                <w:color w:val="auto"/>
              </w:rPr>
            </w:pPr>
            <w:r>
              <w:rPr>
                <w:rFonts w:ascii="Arial" w:cs="Arial" w:eastAsia="Arial" w:hAnsi="Arial"/>
                <w:sz w:val="13"/>
                <w:szCs w:val="13"/>
                <w:i w:val="1"/>
                <w:iCs w:val="1"/>
                <w:color w:val="auto"/>
              </w:rPr>
              <w:t>(millions of dollars, except per share amounts)</w:t>
            </w: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4"/>
        </w:trPr>
        <w:tc>
          <w:tcPr>
            <w:tcW w:w="5400" w:type="dxa"/>
            <w:vAlign w:val="bottom"/>
          </w:tcPr>
          <w:p>
            <w:pPr>
              <w:spacing w:after="0"/>
              <w:rPr>
                <w:sz w:val="20"/>
                <w:szCs w:val="20"/>
                <w:color w:val="auto"/>
              </w:rPr>
            </w:pPr>
            <w:r>
              <w:rPr>
                <w:rFonts w:ascii="Arial" w:cs="Arial" w:eastAsia="Arial" w:hAnsi="Arial"/>
                <w:sz w:val="16"/>
                <w:szCs w:val="16"/>
                <w:color w:val="auto"/>
              </w:rPr>
              <w:t xml:space="preserve">Sales and other operating revenue </w:t>
            </w:r>
            <w:r>
              <w:rPr>
                <w:rFonts w:ascii="Arial" w:cs="Arial" w:eastAsia="Arial" w:hAnsi="Arial"/>
                <w:sz w:val="14"/>
                <w:szCs w:val="14"/>
                <w:i w:val="1"/>
                <w:iCs w:val="1"/>
                <w:color w:val="auto"/>
              </w:rPr>
              <w:t>(1)</w:t>
            </w: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394,105</w:t>
            </w:r>
          </w:p>
        </w:tc>
        <w:tc>
          <w:tcPr>
            <w:tcW w:w="1440" w:type="dxa"/>
            <w:vAlign w:val="bottom"/>
          </w:tcPr>
          <w:p>
            <w:pPr>
              <w:jc w:val="right"/>
              <w:ind w:right="339"/>
              <w:spacing w:after="0"/>
              <w:rPr>
                <w:sz w:val="20"/>
                <w:szCs w:val="20"/>
                <w:color w:val="auto"/>
              </w:rPr>
            </w:pPr>
            <w:r>
              <w:rPr>
                <w:rFonts w:ascii="Arial" w:cs="Arial" w:eastAsia="Arial" w:hAnsi="Arial"/>
                <w:sz w:val="16"/>
                <w:szCs w:val="16"/>
                <w:color w:val="auto"/>
              </w:rPr>
              <w:t>420,836</w:t>
            </w:r>
          </w:p>
        </w:tc>
        <w:tc>
          <w:tcPr>
            <w:tcW w:w="1480" w:type="dxa"/>
            <w:vAlign w:val="bottom"/>
          </w:tcPr>
          <w:p>
            <w:pPr>
              <w:jc w:val="right"/>
              <w:ind w:right="459"/>
              <w:spacing w:after="0"/>
              <w:rPr>
                <w:sz w:val="20"/>
                <w:szCs w:val="20"/>
                <w:color w:val="auto"/>
              </w:rPr>
            </w:pPr>
            <w:r>
              <w:rPr>
                <w:rFonts w:ascii="Arial" w:cs="Arial" w:eastAsia="Arial" w:hAnsi="Arial"/>
                <w:sz w:val="16"/>
                <w:szCs w:val="16"/>
                <w:color w:val="auto"/>
              </w:rPr>
              <w:t>451,509</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467,029</w:t>
            </w:r>
          </w:p>
        </w:tc>
        <w:tc>
          <w:tcPr>
            <w:tcW w:w="3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8"/>
        </w:trPr>
        <w:tc>
          <w:tcPr>
            <w:tcW w:w="5400" w:type="dxa"/>
            <w:vAlign w:val="bottom"/>
          </w:tcPr>
          <w:p>
            <w:pPr>
              <w:spacing w:after="0"/>
              <w:rPr>
                <w:sz w:val="20"/>
                <w:szCs w:val="20"/>
                <w:color w:val="auto"/>
              </w:rPr>
            </w:pPr>
            <w:r>
              <w:rPr>
                <w:rFonts w:ascii="Arial" w:cs="Arial" w:eastAsia="Arial" w:hAnsi="Arial"/>
                <w:sz w:val="16"/>
                <w:szCs w:val="16"/>
                <w:color w:val="auto"/>
              </w:rPr>
              <w:t>Earnings</w:t>
            </w:r>
          </w:p>
        </w:tc>
        <w:tc>
          <w:tcPr>
            <w:tcW w:w="1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08"/>
        </w:trPr>
        <w:tc>
          <w:tcPr>
            <w:tcW w:w="5400" w:type="dxa"/>
            <w:vAlign w:val="bottom"/>
          </w:tcPr>
          <w:p>
            <w:pPr>
              <w:ind w:left="240"/>
              <w:spacing w:after="0"/>
              <w:rPr>
                <w:sz w:val="20"/>
                <w:szCs w:val="20"/>
                <w:color w:val="auto"/>
              </w:rPr>
            </w:pPr>
            <w:r>
              <w:rPr>
                <w:rFonts w:ascii="Arial" w:cs="Arial" w:eastAsia="Arial" w:hAnsi="Arial"/>
                <w:sz w:val="16"/>
                <w:szCs w:val="16"/>
                <w:color w:val="auto"/>
              </w:rPr>
              <w:t>Upstream</w:t>
            </w: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27,548</w:t>
            </w:r>
          </w:p>
        </w:tc>
        <w:tc>
          <w:tcPr>
            <w:tcW w:w="1440" w:type="dxa"/>
            <w:vAlign w:val="bottom"/>
          </w:tcPr>
          <w:p>
            <w:pPr>
              <w:jc w:val="right"/>
              <w:ind w:right="339"/>
              <w:spacing w:after="0"/>
              <w:rPr>
                <w:sz w:val="20"/>
                <w:szCs w:val="20"/>
                <w:color w:val="auto"/>
              </w:rPr>
            </w:pPr>
            <w:r>
              <w:rPr>
                <w:rFonts w:ascii="Arial" w:cs="Arial" w:eastAsia="Arial" w:hAnsi="Arial"/>
                <w:sz w:val="16"/>
                <w:szCs w:val="16"/>
                <w:color w:val="auto"/>
              </w:rPr>
              <w:t>26,841</w:t>
            </w:r>
          </w:p>
        </w:tc>
        <w:tc>
          <w:tcPr>
            <w:tcW w:w="1480" w:type="dxa"/>
            <w:vAlign w:val="bottom"/>
          </w:tcPr>
          <w:p>
            <w:pPr>
              <w:jc w:val="right"/>
              <w:ind w:right="459"/>
              <w:spacing w:after="0"/>
              <w:rPr>
                <w:sz w:val="20"/>
                <w:szCs w:val="20"/>
                <w:color w:val="auto"/>
              </w:rPr>
            </w:pPr>
            <w:r>
              <w:rPr>
                <w:rFonts w:ascii="Arial" w:cs="Arial" w:eastAsia="Arial" w:hAnsi="Arial"/>
                <w:sz w:val="16"/>
                <w:szCs w:val="16"/>
                <w:color w:val="auto"/>
              </w:rPr>
              <w:t>29,895</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34,439</w:t>
            </w:r>
          </w:p>
        </w:tc>
        <w:tc>
          <w:tcPr>
            <w:tcW w:w="360" w:type="dxa"/>
            <w:vAlign w:val="bottom"/>
          </w:tcPr>
          <w:p>
            <w:pPr>
              <w:spacing w:after="0"/>
              <w:rPr>
                <w:sz w:val="18"/>
                <w:szCs w:val="18"/>
                <w:color w:val="auto"/>
              </w:rPr>
            </w:pPr>
          </w:p>
        </w:tc>
      </w:tr>
      <w:tr>
        <w:trPr>
          <w:trHeight w:val="208"/>
        </w:trPr>
        <w:tc>
          <w:tcPr>
            <w:tcW w:w="5400" w:type="dxa"/>
            <w:vAlign w:val="bottom"/>
          </w:tcPr>
          <w:p>
            <w:pPr>
              <w:ind w:left="240"/>
              <w:spacing w:after="0"/>
              <w:rPr>
                <w:sz w:val="20"/>
                <w:szCs w:val="20"/>
                <w:color w:val="auto"/>
              </w:rPr>
            </w:pPr>
            <w:r>
              <w:rPr>
                <w:rFonts w:ascii="Arial" w:cs="Arial" w:eastAsia="Arial" w:hAnsi="Arial"/>
                <w:sz w:val="16"/>
                <w:szCs w:val="16"/>
                <w:color w:val="auto"/>
              </w:rPr>
              <w:t>Downstream</w:t>
            </w: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3,045</w:t>
            </w:r>
          </w:p>
        </w:tc>
        <w:tc>
          <w:tcPr>
            <w:tcW w:w="1440" w:type="dxa"/>
            <w:vAlign w:val="bottom"/>
          </w:tcPr>
          <w:p>
            <w:pPr>
              <w:jc w:val="right"/>
              <w:ind w:right="339"/>
              <w:spacing w:after="0"/>
              <w:rPr>
                <w:sz w:val="20"/>
                <w:szCs w:val="20"/>
                <w:color w:val="auto"/>
              </w:rPr>
            </w:pPr>
            <w:r>
              <w:rPr>
                <w:rFonts w:ascii="Arial" w:cs="Arial" w:eastAsia="Arial" w:hAnsi="Arial"/>
                <w:sz w:val="16"/>
                <w:szCs w:val="16"/>
                <w:color w:val="auto"/>
              </w:rPr>
              <w:t>3,449</w:t>
            </w:r>
          </w:p>
        </w:tc>
        <w:tc>
          <w:tcPr>
            <w:tcW w:w="1480" w:type="dxa"/>
            <w:vAlign w:val="bottom"/>
          </w:tcPr>
          <w:p>
            <w:pPr>
              <w:jc w:val="right"/>
              <w:ind w:right="459"/>
              <w:spacing w:after="0"/>
              <w:rPr>
                <w:sz w:val="20"/>
                <w:szCs w:val="20"/>
                <w:color w:val="auto"/>
              </w:rPr>
            </w:pPr>
            <w:r>
              <w:rPr>
                <w:rFonts w:ascii="Arial" w:cs="Arial" w:eastAsia="Arial" w:hAnsi="Arial"/>
                <w:sz w:val="16"/>
                <w:szCs w:val="16"/>
                <w:color w:val="auto"/>
              </w:rPr>
              <w:t>13,190</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4,459</w:t>
            </w:r>
          </w:p>
        </w:tc>
        <w:tc>
          <w:tcPr>
            <w:tcW w:w="360" w:type="dxa"/>
            <w:vAlign w:val="bottom"/>
          </w:tcPr>
          <w:p>
            <w:pPr>
              <w:spacing w:after="0"/>
              <w:rPr>
                <w:sz w:val="18"/>
                <w:szCs w:val="18"/>
                <w:color w:val="auto"/>
              </w:rPr>
            </w:pPr>
          </w:p>
        </w:tc>
      </w:tr>
      <w:tr>
        <w:trPr>
          <w:trHeight w:val="208"/>
        </w:trPr>
        <w:tc>
          <w:tcPr>
            <w:tcW w:w="5400" w:type="dxa"/>
            <w:vAlign w:val="bottom"/>
          </w:tcPr>
          <w:p>
            <w:pPr>
              <w:ind w:left="240"/>
              <w:spacing w:after="0"/>
              <w:rPr>
                <w:sz w:val="20"/>
                <w:szCs w:val="20"/>
                <w:color w:val="auto"/>
              </w:rPr>
            </w:pPr>
            <w:r>
              <w:rPr>
                <w:rFonts w:ascii="Arial" w:cs="Arial" w:eastAsia="Arial" w:hAnsi="Arial"/>
                <w:sz w:val="16"/>
                <w:szCs w:val="16"/>
                <w:color w:val="auto"/>
              </w:rPr>
              <w:t>Chemical</w:t>
            </w: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4,315</w:t>
            </w:r>
          </w:p>
        </w:tc>
        <w:tc>
          <w:tcPr>
            <w:tcW w:w="1440" w:type="dxa"/>
            <w:vAlign w:val="bottom"/>
          </w:tcPr>
          <w:p>
            <w:pPr>
              <w:jc w:val="right"/>
              <w:ind w:right="339"/>
              <w:spacing w:after="0"/>
              <w:rPr>
                <w:sz w:val="20"/>
                <w:szCs w:val="20"/>
                <w:color w:val="auto"/>
              </w:rPr>
            </w:pPr>
            <w:r>
              <w:rPr>
                <w:rFonts w:ascii="Arial" w:cs="Arial" w:eastAsia="Arial" w:hAnsi="Arial"/>
                <w:sz w:val="16"/>
                <w:szCs w:val="16"/>
                <w:color w:val="auto"/>
              </w:rPr>
              <w:t>3,828</w:t>
            </w:r>
          </w:p>
        </w:tc>
        <w:tc>
          <w:tcPr>
            <w:tcW w:w="1480" w:type="dxa"/>
            <w:vAlign w:val="bottom"/>
          </w:tcPr>
          <w:p>
            <w:pPr>
              <w:jc w:val="right"/>
              <w:ind w:right="459"/>
              <w:spacing w:after="0"/>
              <w:rPr>
                <w:sz w:val="20"/>
                <w:szCs w:val="20"/>
                <w:color w:val="auto"/>
              </w:rPr>
            </w:pPr>
            <w:r>
              <w:rPr>
                <w:rFonts w:ascii="Arial" w:cs="Arial" w:eastAsia="Arial" w:hAnsi="Arial"/>
                <w:sz w:val="16"/>
                <w:szCs w:val="16"/>
                <w:color w:val="auto"/>
              </w:rPr>
              <w:t>3,898</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4,383</w:t>
            </w:r>
          </w:p>
        </w:tc>
        <w:tc>
          <w:tcPr>
            <w:tcW w:w="360" w:type="dxa"/>
            <w:vAlign w:val="bottom"/>
          </w:tcPr>
          <w:p>
            <w:pPr>
              <w:spacing w:after="0"/>
              <w:rPr>
                <w:sz w:val="18"/>
                <w:szCs w:val="18"/>
                <w:color w:val="auto"/>
              </w:rPr>
            </w:pPr>
          </w:p>
        </w:tc>
      </w:tr>
      <w:tr>
        <w:trPr>
          <w:trHeight w:val="214"/>
        </w:trPr>
        <w:tc>
          <w:tcPr>
            <w:tcW w:w="5400" w:type="dxa"/>
            <w:vAlign w:val="bottom"/>
          </w:tcPr>
          <w:p>
            <w:pPr>
              <w:ind w:left="240"/>
              <w:spacing w:after="0"/>
              <w:rPr>
                <w:sz w:val="20"/>
                <w:szCs w:val="20"/>
                <w:color w:val="auto"/>
              </w:rPr>
            </w:pPr>
            <w:r>
              <w:rPr>
                <w:rFonts w:ascii="Arial" w:cs="Arial" w:eastAsia="Arial" w:hAnsi="Arial"/>
                <w:sz w:val="16"/>
                <w:szCs w:val="16"/>
                <w:color w:val="auto"/>
              </w:rPr>
              <w:t>Corporate and financing</w:t>
            </w: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(2,388)</w:t>
            </w:r>
          </w:p>
        </w:tc>
        <w:tc>
          <w:tcPr>
            <w:tcW w:w="14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(1,538)</w:t>
            </w:r>
          </w:p>
        </w:tc>
        <w:tc>
          <w:tcPr>
            <w:tcW w:w="14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(2,103)</w:t>
            </w: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(2,221)</w:t>
            </w:r>
          </w:p>
        </w:tc>
        <w:tc>
          <w:tcPr>
            <w:tcW w:w="360" w:type="dxa"/>
            <w:vAlign w:val="bottom"/>
            <w:tcBorders>
              <w:bottom w:val="single" w:sz="8" w:color="auto"/>
            </w:tcBorders>
          </w:tcPr>
          <w:p>
            <w:pPr>
              <w:spacing w:after="0"/>
              <w:rPr>
                <w:sz w:val="18"/>
                <w:szCs w:val="18"/>
                <w:color w:val="auto"/>
              </w:rPr>
            </w:pPr>
          </w:p>
        </w:tc>
      </w:tr>
      <w:tr>
        <w:trPr>
          <w:trHeight w:val="196"/>
        </w:trPr>
        <w:tc>
          <w:tcPr>
            <w:tcW w:w="5400" w:type="dxa"/>
            <w:vAlign w:val="bottom"/>
          </w:tcPr>
          <w:p>
            <w:pPr>
              <w:ind w:left="240"/>
              <w:spacing w:after="0" w:line="183" w:lineRule="exact"/>
              <w:rPr>
                <w:sz w:val="20"/>
                <w:szCs w:val="20"/>
                <w:color w:val="auto"/>
              </w:rPr>
            </w:pPr>
            <w:r>
              <w:rPr>
                <w:rFonts w:ascii="Arial" w:cs="Arial" w:eastAsia="Arial" w:hAnsi="Arial"/>
                <w:sz w:val="16"/>
                <w:szCs w:val="16"/>
                <w:color w:val="auto"/>
              </w:rPr>
              <w:t>Net income attributable to ExxonMobil</w:t>
            </w: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32,520</w:t>
            </w:r>
          </w:p>
        </w:tc>
        <w:tc>
          <w:tcPr>
            <w:tcW w:w="14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32,580</w:t>
            </w:r>
          </w:p>
        </w:tc>
        <w:tc>
          <w:tcPr>
            <w:tcW w:w="14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44,880</w:t>
            </w: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41,060</w:t>
            </w:r>
          </w:p>
        </w:tc>
        <w:tc>
          <w:tcPr>
            <w:tcW w:w="360" w:type="dxa"/>
            <w:vAlign w:val="bottom"/>
            <w:tcBorders>
              <w:bottom w:val="single" w:sz="8" w:color="auto"/>
            </w:tcBorders>
          </w:tcPr>
          <w:p>
            <w:pPr>
              <w:spacing w:after="0"/>
              <w:rPr>
                <w:sz w:val="17"/>
                <w:szCs w:val="17"/>
                <w:color w:val="auto"/>
              </w:rPr>
            </w:pPr>
          </w:p>
        </w:tc>
      </w:tr>
      <w:tr>
        <w:trPr>
          <w:trHeight w:val="176"/>
        </w:trPr>
        <w:tc>
          <w:tcPr>
            <w:tcW w:w="5400" w:type="dxa"/>
            <w:vAlign w:val="bottom"/>
          </w:tcPr>
          <w:p>
            <w:pPr>
              <w:spacing w:after="0" w:line="176" w:lineRule="exact"/>
              <w:rPr>
                <w:sz w:val="20"/>
                <w:szCs w:val="20"/>
                <w:color w:val="auto"/>
              </w:rPr>
            </w:pPr>
            <w:r>
              <w:rPr>
                <w:rFonts w:ascii="Arial" w:cs="Arial" w:eastAsia="Arial" w:hAnsi="Arial"/>
                <w:sz w:val="16"/>
                <w:szCs w:val="16"/>
                <w:color w:val="auto"/>
              </w:rPr>
              <w:t>Earnings per common share</w:t>
            </w:r>
          </w:p>
        </w:tc>
        <w:tc>
          <w:tcPr>
            <w:tcW w:w="1240" w:type="dxa"/>
            <w:vAlign w:val="bottom"/>
          </w:tcPr>
          <w:p>
            <w:pPr>
              <w:jc w:val="right"/>
              <w:ind w:right="299"/>
              <w:spacing w:after="0" w:line="176" w:lineRule="exact"/>
              <w:rPr>
                <w:sz w:val="20"/>
                <w:szCs w:val="20"/>
                <w:color w:val="auto"/>
              </w:rPr>
            </w:pPr>
            <w:r>
              <w:rPr>
                <w:rFonts w:ascii="Arial" w:cs="Arial" w:eastAsia="Arial" w:hAnsi="Arial"/>
                <w:sz w:val="16"/>
                <w:szCs w:val="16"/>
                <w:color w:val="auto"/>
              </w:rPr>
              <w:t>7.60</w:t>
            </w:r>
          </w:p>
        </w:tc>
        <w:tc>
          <w:tcPr>
            <w:tcW w:w="1440" w:type="dxa"/>
            <w:vAlign w:val="bottom"/>
          </w:tcPr>
          <w:p>
            <w:pPr>
              <w:jc w:val="right"/>
              <w:ind w:right="339"/>
              <w:spacing w:after="0" w:line="176" w:lineRule="exact"/>
              <w:rPr>
                <w:sz w:val="20"/>
                <w:szCs w:val="20"/>
                <w:color w:val="auto"/>
              </w:rPr>
            </w:pPr>
            <w:r>
              <w:rPr>
                <w:rFonts w:ascii="Arial" w:cs="Arial" w:eastAsia="Arial" w:hAnsi="Arial"/>
                <w:sz w:val="16"/>
                <w:szCs w:val="16"/>
                <w:color w:val="auto"/>
              </w:rPr>
              <w:t>7.37</w:t>
            </w:r>
          </w:p>
        </w:tc>
        <w:tc>
          <w:tcPr>
            <w:tcW w:w="1480" w:type="dxa"/>
            <w:vAlign w:val="bottom"/>
          </w:tcPr>
          <w:p>
            <w:pPr>
              <w:jc w:val="right"/>
              <w:ind w:right="459"/>
              <w:spacing w:after="0" w:line="176" w:lineRule="exact"/>
              <w:rPr>
                <w:sz w:val="20"/>
                <w:szCs w:val="20"/>
                <w:color w:val="auto"/>
              </w:rPr>
            </w:pPr>
            <w:r>
              <w:rPr>
                <w:rFonts w:ascii="Arial" w:cs="Arial" w:eastAsia="Arial" w:hAnsi="Arial"/>
                <w:sz w:val="16"/>
                <w:szCs w:val="16"/>
                <w:color w:val="auto"/>
              </w:rPr>
              <w:t>9.70</w:t>
            </w:r>
          </w:p>
        </w:tc>
        <w:tc>
          <w:tcPr>
            <w:tcW w:w="1020" w:type="dxa"/>
            <w:vAlign w:val="bottom"/>
          </w:tcPr>
          <w:p>
            <w:pPr>
              <w:jc w:val="right"/>
              <w:ind w:right="239"/>
              <w:spacing w:after="0" w:line="176" w:lineRule="exact"/>
              <w:rPr>
                <w:sz w:val="20"/>
                <w:szCs w:val="20"/>
                <w:color w:val="auto"/>
              </w:rPr>
            </w:pPr>
            <w:r>
              <w:rPr>
                <w:rFonts w:ascii="Arial" w:cs="Arial" w:eastAsia="Arial" w:hAnsi="Arial"/>
                <w:sz w:val="16"/>
                <w:szCs w:val="16"/>
                <w:color w:val="auto"/>
              </w:rPr>
              <w:t>8.43</w:t>
            </w:r>
          </w:p>
        </w:tc>
        <w:tc>
          <w:tcPr>
            <w:tcW w:w="360" w:type="dxa"/>
            <w:vAlign w:val="bottom"/>
          </w:tcPr>
          <w:p>
            <w:pPr>
              <w:spacing w:after="0"/>
              <w:rPr>
                <w:sz w:val="15"/>
                <w:szCs w:val="15"/>
                <w:color w:val="auto"/>
              </w:rPr>
            </w:pPr>
          </w:p>
        </w:tc>
      </w:tr>
      <w:tr>
        <w:trPr>
          <w:trHeight w:val="208"/>
        </w:trPr>
        <w:tc>
          <w:tcPr>
            <w:tcW w:w="5400" w:type="dxa"/>
            <w:vAlign w:val="bottom"/>
          </w:tcPr>
          <w:p>
            <w:pPr>
              <w:spacing w:after="0"/>
              <w:rPr>
                <w:sz w:val="20"/>
                <w:szCs w:val="20"/>
                <w:color w:val="auto"/>
              </w:rPr>
            </w:pPr>
            <w:r>
              <w:rPr>
                <w:rFonts w:ascii="Arial" w:cs="Arial" w:eastAsia="Arial" w:hAnsi="Arial"/>
                <w:sz w:val="16"/>
                <w:szCs w:val="16"/>
                <w:color w:val="auto"/>
              </w:rPr>
              <w:t>Earnings per common share – assuming dilution</w:t>
            </w: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7.60</w:t>
            </w:r>
          </w:p>
        </w:tc>
        <w:tc>
          <w:tcPr>
            <w:tcW w:w="1440" w:type="dxa"/>
            <w:vAlign w:val="bottom"/>
          </w:tcPr>
          <w:p>
            <w:pPr>
              <w:jc w:val="right"/>
              <w:ind w:right="339"/>
              <w:spacing w:after="0"/>
              <w:rPr>
                <w:sz w:val="20"/>
                <w:szCs w:val="20"/>
                <w:color w:val="auto"/>
              </w:rPr>
            </w:pPr>
            <w:r>
              <w:rPr>
                <w:rFonts w:ascii="Arial" w:cs="Arial" w:eastAsia="Arial" w:hAnsi="Arial"/>
                <w:sz w:val="16"/>
                <w:szCs w:val="16"/>
                <w:color w:val="auto"/>
              </w:rPr>
              <w:t>7.37</w:t>
            </w:r>
          </w:p>
        </w:tc>
        <w:tc>
          <w:tcPr>
            <w:tcW w:w="1480" w:type="dxa"/>
            <w:vAlign w:val="bottom"/>
          </w:tcPr>
          <w:p>
            <w:pPr>
              <w:jc w:val="right"/>
              <w:ind w:right="459"/>
              <w:spacing w:after="0"/>
              <w:rPr>
                <w:sz w:val="20"/>
                <w:szCs w:val="20"/>
                <w:color w:val="auto"/>
              </w:rPr>
            </w:pPr>
            <w:r>
              <w:rPr>
                <w:rFonts w:ascii="Arial" w:cs="Arial" w:eastAsia="Arial" w:hAnsi="Arial"/>
                <w:sz w:val="16"/>
                <w:szCs w:val="16"/>
                <w:color w:val="auto"/>
              </w:rPr>
              <w:t>9.70</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8.42</w:t>
            </w:r>
          </w:p>
        </w:tc>
        <w:tc>
          <w:tcPr>
            <w:tcW w:w="360" w:type="dxa"/>
            <w:vAlign w:val="bottom"/>
          </w:tcPr>
          <w:p>
            <w:pPr>
              <w:spacing w:after="0"/>
              <w:rPr>
                <w:sz w:val="18"/>
                <w:szCs w:val="18"/>
                <w:color w:val="auto"/>
              </w:rPr>
            </w:pPr>
          </w:p>
        </w:tc>
      </w:tr>
      <w:tr>
        <w:trPr>
          <w:trHeight w:val="208"/>
        </w:trPr>
        <w:tc>
          <w:tcPr>
            <w:tcW w:w="5400" w:type="dxa"/>
            <w:vAlign w:val="bottom"/>
          </w:tcPr>
          <w:p>
            <w:pPr>
              <w:spacing w:after="0"/>
              <w:rPr>
                <w:sz w:val="20"/>
                <w:szCs w:val="20"/>
                <w:color w:val="auto"/>
              </w:rPr>
            </w:pPr>
            <w:r>
              <w:rPr>
                <w:rFonts w:ascii="Arial" w:cs="Arial" w:eastAsia="Arial" w:hAnsi="Arial"/>
                <w:sz w:val="16"/>
                <w:szCs w:val="16"/>
                <w:color w:val="auto"/>
              </w:rPr>
              <w:t>Cash dividends per common share</w:t>
            </w: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2.70</w:t>
            </w:r>
          </w:p>
        </w:tc>
        <w:tc>
          <w:tcPr>
            <w:tcW w:w="1440" w:type="dxa"/>
            <w:vAlign w:val="bottom"/>
          </w:tcPr>
          <w:p>
            <w:pPr>
              <w:jc w:val="right"/>
              <w:ind w:right="339"/>
              <w:spacing w:after="0"/>
              <w:rPr>
                <w:sz w:val="20"/>
                <w:szCs w:val="20"/>
                <w:color w:val="auto"/>
              </w:rPr>
            </w:pPr>
            <w:r>
              <w:rPr>
                <w:rFonts w:ascii="Arial" w:cs="Arial" w:eastAsia="Arial" w:hAnsi="Arial"/>
                <w:sz w:val="16"/>
                <w:szCs w:val="16"/>
                <w:color w:val="auto"/>
              </w:rPr>
              <w:t>2.46</w:t>
            </w:r>
          </w:p>
        </w:tc>
        <w:tc>
          <w:tcPr>
            <w:tcW w:w="1480" w:type="dxa"/>
            <w:vAlign w:val="bottom"/>
          </w:tcPr>
          <w:p>
            <w:pPr>
              <w:jc w:val="right"/>
              <w:ind w:right="459"/>
              <w:spacing w:after="0"/>
              <w:rPr>
                <w:sz w:val="20"/>
                <w:szCs w:val="20"/>
                <w:color w:val="auto"/>
              </w:rPr>
            </w:pPr>
            <w:r>
              <w:rPr>
                <w:rFonts w:ascii="Arial" w:cs="Arial" w:eastAsia="Arial" w:hAnsi="Arial"/>
                <w:sz w:val="16"/>
                <w:szCs w:val="16"/>
                <w:color w:val="auto"/>
              </w:rPr>
              <w:t>2.18</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1.85</w:t>
            </w:r>
          </w:p>
        </w:tc>
        <w:tc>
          <w:tcPr>
            <w:tcW w:w="360" w:type="dxa"/>
            <w:vAlign w:val="bottom"/>
          </w:tcPr>
          <w:p>
            <w:pPr>
              <w:spacing w:after="0"/>
              <w:rPr>
                <w:sz w:val="18"/>
                <w:szCs w:val="18"/>
                <w:color w:val="auto"/>
              </w:rPr>
            </w:pPr>
          </w:p>
        </w:tc>
      </w:tr>
      <w:tr>
        <w:trPr>
          <w:trHeight w:val="417"/>
        </w:trPr>
        <w:tc>
          <w:tcPr>
            <w:tcW w:w="5400" w:type="dxa"/>
            <w:vAlign w:val="bottom"/>
          </w:tcPr>
          <w:p>
            <w:pPr>
              <w:spacing w:after="0"/>
              <w:rPr>
                <w:sz w:val="20"/>
                <w:szCs w:val="20"/>
                <w:color w:val="auto"/>
              </w:rPr>
            </w:pPr>
            <w:r>
              <w:rPr>
                <w:rFonts w:ascii="Arial" w:cs="Arial" w:eastAsia="Arial" w:hAnsi="Arial"/>
                <w:sz w:val="16"/>
                <w:szCs w:val="16"/>
                <w:color w:val="auto"/>
              </w:rPr>
              <w:t>Earnings to average ExxonMobil share of equity (percent)</w:t>
            </w: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18.7</w:t>
            </w:r>
          </w:p>
        </w:tc>
        <w:tc>
          <w:tcPr>
            <w:tcW w:w="1440" w:type="dxa"/>
            <w:vAlign w:val="bottom"/>
          </w:tcPr>
          <w:p>
            <w:pPr>
              <w:jc w:val="right"/>
              <w:ind w:right="339"/>
              <w:spacing w:after="0"/>
              <w:rPr>
                <w:sz w:val="20"/>
                <w:szCs w:val="20"/>
                <w:color w:val="auto"/>
              </w:rPr>
            </w:pPr>
            <w:r>
              <w:rPr>
                <w:rFonts w:ascii="Arial" w:cs="Arial" w:eastAsia="Arial" w:hAnsi="Arial"/>
                <w:sz w:val="16"/>
                <w:szCs w:val="16"/>
                <w:color w:val="auto"/>
              </w:rPr>
              <w:t>19.2</w:t>
            </w:r>
          </w:p>
        </w:tc>
        <w:tc>
          <w:tcPr>
            <w:tcW w:w="1480" w:type="dxa"/>
            <w:vAlign w:val="bottom"/>
          </w:tcPr>
          <w:p>
            <w:pPr>
              <w:jc w:val="right"/>
              <w:ind w:right="459"/>
              <w:spacing w:after="0"/>
              <w:rPr>
                <w:sz w:val="20"/>
                <w:szCs w:val="20"/>
                <w:color w:val="auto"/>
              </w:rPr>
            </w:pPr>
            <w:r>
              <w:rPr>
                <w:rFonts w:ascii="Arial" w:cs="Arial" w:eastAsia="Arial" w:hAnsi="Arial"/>
                <w:sz w:val="16"/>
                <w:szCs w:val="16"/>
                <w:color w:val="auto"/>
              </w:rPr>
              <w:t>28.0</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27.3</w:t>
            </w:r>
          </w:p>
        </w:tc>
        <w:tc>
          <w:tcPr>
            <w:tcW w:w="360" w:type="dxa"/>
            <w:vAlign w:val="bottom"/>
          </w:tcPr>
          <w:p>
            <w:pPr>
              <w:spacing w:after="0"/>
              <w:rPr>
                <w:sz w:val="24"/>
                <w:szCs w:val="24"/>
                <w:color w:val="auto"/>
              </w:rPr>
            </w:pPr>
          </w:p>
        </w:tc>
      </w:tr>
      <w:tr>
        <w:trPr>
          <w:trHeight w:val="417"/>
        </w:trPr>
        <w:tc>
          <w:tcPr>
            <w:tcW w:w="5400" w:type="dxa"/>
            <w:vAlign w:val="bottom"/>
          </w:tcPr>
          <w:p>
            <w:pPr>
              <w:spacing w:after="0"/>
              <w:rPr>
                <w:sz w:val="20"/>
                <w:szCs w:val="20"/>
                <w:color w:val="auto"/>
              </w:rPr>
            </w:pPr>
            <w:r>
              <w:rPr>
                <w:rFonts w:ascii="Arial" w:cs="Arial" w:eastAsia="Arial" w:hAnsi="Arial"/>
                <w:sz w:val="16"/>
                <w:szCs w:val="16"/>
                <w:color w:val="auto"/>
              </w:rPr>
              <w:t>Working capital</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(11,723)</w:t>
            </w:r>
          </w:p>
        </w:tc>
        <w:tc>
          <w:tcPr>
            <w:tcW w:w="1440" w:type="dxa"/>
            <w:vAlign w:val="bottom"/>
          </w:tcPr>
          <w:p>
            <w:pPr>
              <w:jc w:val="right"/>
              <w:ind w:right="299"/>
              <w:spacing w:after="0"/>
              <w:rPr>
                <w:sz w:val="20"/>
                <w:szCs w:val="20"/>
                <w:color w:val="auto"/>
              </w:rPr>
            </w:pPr>
            <w:r>
              <w:rPr>
                <w:rFonts w:ascii="Arial" w:cs="Arial" w:eastAsia="Arial" w:hAnsi="Arial"/>
                <w:sz w:val="16"/>
                <w:szCs w:val="16"/>
                <w:color w:val="auto"/>
              </w:rPr>
              <w:t>(12,416)</w:t>
            </w:r>
          </w:p>
        </w:tc>
        <w:tc>
          <w:tcPr>
            <w:tcW w:w="1480" w:type="dxa"/>
            <w:vAlign w:val="bottom"/>
          </w:tcPr>
          <w:p>
            <w:pPr>
              <w:jc w:val="right"/>
              <w:ind w:right="459"/>
              <w:spacing w:after="0"/>
              <w:rPr>
                <w:sz w:val="20"/>
                <w:szCs w:val="20"/>
                <w:color w:val="auto"/>
              </w:rPr>
            </w:pPr>
            <w:r>
              <w:rPr>
                <w:rFonts w:ascii="Arial" w:cs="Arial" w:eastAsia="Arial" w:hAnsi="Arial"/>
                <w:sz w:val="16"/>
                <w:szCs w:val="16"/>
                <w:color w:val="auto"/>
              </w:rPr>
              <w:t>321</w:t>
            </w: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(4,542)</w:t>
            </w:r>
          </w:p>
        </w:tc>
        <w:tc>
          <w:tcPr>
            <w:tcW w:w="360" w:type="dxa"/>
            <w:vAlign w:val="bottom"/>
          </w:tcPr>
          <w:p>
            <w:pPr>
              <w:spacing w:after="0"/>
              <w:rPr>
                <w:sz w:val="24"/>
                <w:szCs w:val="24"/>
                <w:color w:val="auto"/>
              </w:rPr>
            </w:pPr>
          </w:p>
        </w:tc>
      </w:tr>
      <w:tr>
        <w:trPr>
          <w:trHeight w:val="208"/>
        </w:trPr>
        <w:tc>
          <w:tcPr>
            <w:tcW w:w="5400" w:type="dxa"/>
            <w:vAlign w:val="bottom"/>
          </w:tcPr>
          <w:p>
            <w:pPr>
              <w:spacing w:after="0"/>
              <w:rPr>
                <w:sz w:val="20"/>
                <w:szCs w:val="20"/>
                <w:color w:val="auto"/>
              </w:rPr>
            </w:pPr>
            <w:r>
              <w:rPr>
                <w:rFonts w:ascii="Arial" w:cs="Arial" w:eastAsia="Arial" w:hAnsi="Arial"/>
                <w:sz w:val="16"/>
                <w:szCs w:val="16"/>
                <w:color w:val="auto"/>
              </w:rPr>
              <w:t>Ratio of current assets to current liabilities (times)</w:t>
            </w: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0.82</w:t>
            </w:r>
          </w:p>
        </w:tc>
        <w:tc>
          <w:tcPr>
            <w:tcW w:w="1440" w:type="dxa"/>
            <w:vAlign w:val="bottom"/>
          </w:tcPr>
          <w:p>
            <w:pPr>
              <w:jc w:val="right"/>
              <w:ind w:right="339"/>
              <w:spacing w:after="0"/>
              <w:rPr>
                <w:sz w:val="20"/>
                <w:szCs w:val="20"/>
                <w:color w:val="auto"/>
              </w:rPr>
            </w:pPr>
            <w:r>
              <w:rPr>
                <w:rFonts w:ascii="Arial" w:cs="Arial" w:eastAsia="Arial" w:hAnsi="Arial"/>
                <w:sz w:val="16"/>
                <w:szCs w:val="16"/>
                <w:color w:val="auto"/>
              </w:rPr>
              <w:t>0.83</w:t>
            </w:r>
          </w:p>
        </w:tc>
        <w:tc>
          <w:tcPr>
            <w:tcW w:w="1480" w:type="dxa"/>
            <w:vAlign w:val="bottom"/>
          </w:tcPr>
          <w:p>
            <w:pPr>
              <w:jc w:val="right"/>
              <w:ind w:right="459"/>
              <w:spacing w:after="0"/>
              <w:rPr>
                <w:sz w:val="20"/>
                <w:szCs w:val="20"/>
                <w:color w:val="auto"/>
              </w:rPr>
            </w:pPr>
            <w:r>
              <w:rPr>
                <w:rFonts w:ascii="Arial" w:cs="Arial" w:eastAsia="Arial" w:hAnsi="Arial"/>
                <w:sz w:val="16"/>
                <w:szCs w:val="16"/>
                <w:color w:val="auto"/>
              </w:rPr>
              <w:t>1.01</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0.94</w:t>
            </w:r>
          </w:p>
        </w:tc>
        <w:tc>
          <w:tcPr>
            <w:tcW w:w="360" w:type="dxa"/>
            <w:vAlign w:val="bottom"/>
          </w:tcPr>
          <w:p>
            <w:pPr>
              <w:spacing w:after="0"/>
              <w:rPr>
                <w:sz w:val="18"/>
                <w:szCs w:val="18"/>
                <w:color w:val="auto"/>
              </w:rPr>
            </w:pPr>
          </w:p>
        </w:tc>
      </w:tr>
      <w:tr>
        <w:trPr>
          <w:trHeight w:val="417"/>
        </w:trPr>
        <w:tc>
          <w:tcPr>
            <w:tcW w:w="5400" w:type="dxa"/>
            <w:vAlign w:val="bottom"/>
          </w:tcPr>
          <w:p>
            <w:pPr>
              <w:spacing w:after="0"/>
              <w:rPr>
                <w:sz w:val="20"/>
                <w:szCs w:val="20"/>
                <w:color w:val="auto"/>
              </w:rPr>
            </w:pPr>
            <w:r>
              <w:rPr>
                <w:rFonts w:ascii="Arial" w:cs="Arial" w:eastAsia="Arial" w:hAnsi="Arial"/>
                <w:sz w:val="16"/>
                <w:szCs w:val="16"/>
                <w:color w:val="auto"/>
              </w:rPr>
              <w:t>Additions to property, plant and equipment</w:t>
            </w: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34,256</w:t>
            </w:r>
          </w:p>
        </w:tc>
        <w:tc>
          <w:tcPr>
            <w:tcW w:w="1440" w:type="dxa"/>
            <w:vAlign w:val="bottom"/>
          </w:tcPr>
          <w:p>
            <w:pPr>
              <w:jc w:val="right"/>
              <w:ind w:right="339"/>
              <w:spacing w:after="0"/>
              <w:rPr>
                <w:sz w:val="20"/>
                <w:szCs w:val="20"/>
                <w:color w:val="auto"/>
              </w:rPr>
            </w:pPr>
            <w:r>
              <w:rPr>
                <w:rFonts w:ascii="Arial" w:cs="Arial" w:eastAsia="Arial" w:hAnsi="Arial"/>
                <w:sz w:val="16"/>
                <w:szCs w:val="16"/>
                <w:color w:val="auto"/>
              </w:rPr>
              <w:t>37,741</w:t>
            </w:r>
          </w:p>
        </w:tc>
        <w:tc>
          <w:tcPr>
            <w:tcW w:w="1480" w:type="dxa"/>
            <w:vAlign w:val="bottom"/>
          </w:tcPr>
          <w:p>
            <w:pPr>
              <w:jc w:val="right"/>
              <w:ind w:right="459"/>
              <w:spacing w:after="0"/>
              <w:rPr>
                <w:sz w:val="20"/>
                <w:szCs w:val="20"/>
                <w:color w:val="auto"/>
              </w:rPr>
            </w:pPr>
            <w:r>
              <w:rPr>
                <w:rFonts w:ascii="Arial" w:cs="Arial" w:eastAsia="Arial" w:hAnsi="Arial"/>
                <w:sz w:val="16"/>
                <w:szCs w:val="16"/>
                <w:color w:val="auto"/>
              </w:rPr>
              <w:t>35,179</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33,638</w:t>
            </w:r>
          </w:p>
        </w:tc>
        <w:tc>
          <w:tcPr>
            <w:tcW w:w="360" w:type="dxa"/>
            <w:vAlign w:val="bottom"/>
          </w:tcPr>
          <w:p>
            <w:pPr>
              <w:spacing w:after="0"/>
              <w:rPr>
                <w:sz w:val="24"/>
                <w:szCs w:val="24"/>
                <w:color w:val="auto"/>
              </w:rPr>
            </w:pPr>
          </w:p>
        </w:tc>
      </w:tr>
      <w:tr>
        <w:trPr>
          <w:trHeight w:val="208"/>
        </w:trPr>
        <w:tc>
          <w:tcPr>
            <w:tcW w:w="5400" w:type="dxa"/>
            <w:vAlign w:val="bottom"/>
          </w:tcPr>
          <w:p>
            <w:pPr>
              <w:spacing w:after="0"/>
              <w:rPr>
                <w:sz w:val="20"/>
                <w:szCs w:val="20"/>
                <w:color w:val="auto"/>
              </w:rPr>
            </w:pPr>
            <w:r>
              <w:rPr>
                <w:rFonts w:ascii="Arial" w:cs="Arial" w:eastAsia="Arial" w:hAnsi="Arial"/>
                <w:sz w:val="16"/>
                <w:szCs w:val="16"/>
                <w:color w:val="auto"/>
              </w:rPr>
              <w:t>Property, plant and equipment, less allowances</w:t>
            </w: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252,668</w:t>
            </w:r>
          </w:p>
        </w:tc>
        <w:tc>
          <w:tcPr>
            <w:tcW w:w="1440" w:type="dxa"/>
            <w:vAlign w:val="bottom"/>
          </w:tcPr>
          <w:p>
            <w:pPr>
              <w:jc w:val="right"/>
              <w:ind w:right="339"/>
              <w:spacing w:after="0"/>
              <w:rPr>
                <w:sz w:val="20"/>
                <w:szCs w:val="20"/>
                <w:color w:val="auto"/>
              </w:rPr>
            </w:pPr>
            <w:r>
              <w:rPr>
                <w:rFonts w:ascii="Arial" w:cs="Arial" w:eastAsia="Arial" w:hAnsi="Arial"/>
                <w:sz w:val="16"/>
                <w:szCs w:val="16"/>
                <w:color w:val="auto"/>
              </w:rPr>
              <w:t>243,650</w:t>
            </w:r>
          </w:p>
        </w:tc>
        <w:tc>
          <w:tcPr>
            <w:tcW w:w="1480" w:type="dxa"/>
            <w:vAlign w:val="bottom"/>
          </w:tcPr>
          <w:p>
            <w:pPr>
              <w:jc w:val="right"/>
              <w:ind w:right="459"/>
              <w:spacing w:after="0"/>
              <w:rPr>
                <w:sz w:val="20"/>
                <w:szCs w:val="20"/>
                <w:color w:val="auto"/>
              </w:rPr>
            </w:pPr>
            <w:r>
              <w:rPr>
                <w:rFonts w:ascii="Arial" w:cs="Arial" w:eastAsia="Arial" w:hAnsi="Arial"/>
                <w:sz w:val="16"/>
                <w:szCs w:val="16"/>
                <w:color w:val="auto"/>
              </w:rPr>
              <w:t>226,949</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214,664</w:t>
            </w: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8"/>
        </w:trPr>
        <w:tc>
          <w:tcPr>
            <w:tcW w:w="5400" w:type="dxa"/>
            <w:vAlign w:val="bottom"/>
          </w:tcPr>
          <w:p>
            <w:pPr>
              <w:spacing w:after="0"/>
              <w:rPr>
                <w:sz w:val="20"/>
                <w:szCs w:val="20"/>
                <w:color w:val="auto"/>
              </w:rPr>
            </w:pPr>
            <w:r>
              <w:rPr>
                <w:rFonts w:ascii="Arial" w:cs="Arial" w:eastAsia="Arial" w:hAnsi="Arial"/>
                <w:sz w:val="16"/>
                <w:szCs w:val="16"/>
                <w:color w:val="auto"/>
              </w:rPr>
              <w:t>Total assets</w:t>
            </w: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349,493</w:t>
            </w:r>
          </w:p>
        </w:tc>
        <w:tc>
          <w:tcPr>
            <w:tcW w:w="1440" w:type="dxa"/>
            <w:vAlign w:val="bottom"/>
          </w:tcPr>
          <w:p>
            <w:pPr>
              <w:jc w:val="right"/>
              <w:ind w:right="339"/>
              <w:spacing w:after="0"/>
              <w:rPr>
                <w:sz w:val="20"/>
                <w:szCs w:val="20"/>
                <w:color w:val="auto"/>
              </w:rPr>
            </w:pPr>
            <w:r>
              <w:rPr>
                <w:rFonts w:ascii="Arial" w:cs="Arial" w:eastAsia="Arial" w:hAnsi="Arial"/>
                <w:sz w:val="16"/>
                <w:szCs w:val="16"/>
                <w:color w:val="auto"/>
              </w:rPr>
              <w:t>346,808</w:t>
            </w:r>
          </w:p>
        </w:tc>
        <w:tc>
          <w:tcPr>
            <w:tcW w:w="1480" w:type="dxa"/>
            <w:vAlign w:val="bottom"/>
          </w:tcPr>
          <w:p>
            <w:pPr>
              <w:jc w:val="right"/>
              <w:ind w:right="459"/>
              <w:spacing w:after="0"/>
              <w:rPr>
                <w:sz w:val="20"/>
                <w:szCs w:val="20"/>
                <w:color w:val="auto"/>
              </w:rPr>
            </w:pPr>
            <w:r>
              <w:rPr>
                <w:rFonts w:ascii="Arial" w:cs="Arial" w:eastAsia="Arial" w:hAnsi="Arial"/>
                <w:sz w:val="16"/>
                <w:szCs w:val="16"/>
                <w:color w:val="auto"/>
              </w:rPr>
              <w:t>333,795</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331,052</w:t>
            </w:r>
          </w:p>
        </w:tc>
        <w:tc>
          <w:tcPr>
            <w:tcW w:w="3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417"/>
        </w:trPr>
        <w:tc>
          <w:tcPr>
            <w:tcW w:w="5400" w:type="dxa"/>
            <w:vAlign w:val="bottom"/>
          </w:tcPr>
          <w:p>
            <w:pPr>
              <w:spacing w:after="0"/>
              <w:rPr>
                <w:sz w:val="20"/>
                <w:szCs w:val="20"/>
                <w:color w:val="auto"/>
              </w:rPr>
            </w:pPr>
            <w:r>
              <w:rPr>
                <w:rFonts w:ascii="Arial" w:cs="Arial" w:eastAsia="Arial" w:hAnsi="Arial"/>
                <w:sz w:val="16"/>
                <w:szCs w:val="16"/>
                <w:color w:val="auto"/>
              </w:rPr>
              <w:t>Exploration expenses, including dry holes</w:t>
            </w: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1,669</w:t>
            </w:r>
          </w:p>
        </w:tc>
        <w:tc>
          <w:tcPr>
            <w:tcW w:w="1440" w:type="dxa"/>
            <w:vAlign w:val="bottom"/>
          </w:tcPr>
          <w:p>
            <w:pPr>
              <w:jc w:val="right"/>
              <w:ind w:right="339"/>
              <w:spacing w:after="0"/>
              <w:rPr>
                <w:sz w:val="20"/>
                <w:szCs w:val="20"/>
                <w:color w:val="auto"/>
              </w:rPr>
            </w:pPr>
            <w:r>
              <w:rPr>
                <w:rFonts w:ascii="Arial" w:cs="Arial" w:eastAsia="Arial" w:hAnsi="Arial"/>
                <w:sz w:val="16"/>
                <w:szCs w:val="16"/>
                <w:color w:val="auto"/>
              </w:rPr>
              <w:t>1,976</w:t>
            </w:r>
          </w:p>
        </w:tc>
        <w:tc>
          <w:tcPr>
            <w:tcW w:w="1480" w:type="dxa"/>
            <w:vAlign w:val="bottom"/>
          </w:tcPr>
          <w:p>
            <w:pPr>
              <w:jc w:val="right"/>
              <w:ind w:right="459"/>
              <w:spacing w:after="0"/>
              <w:rPr>
                <w:sz w:val="20"/>
                <w:szCs w:val="20"/>
                <w:color w:val="auto"/>
              </w:rPr>
            </w:pPr>
            <w:r>
              <w:rPr>
                <w:rFonts w:ascii="Arial" w:cs="Arial" w:eastAsia="Arial" w:hAnsi="Arial"/>
                <w:sz w:val="16"/>
                <w:szCs w:val="16"/>
                <w:color w:val="auto"/>
              </w:rPr>
              <w:t>1,840</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2,081</w:t>
            </w:r>
          </w:p>
        </w:tc>
        <w:tc>
          <w:tcPr>
            <w:tcW w:w="360" w:type="dxa"/>
            <w:vAlign w:val="bottom"/>
          </w:tcPr>
          <w:p>
            <w:pPr>
              <w:spacing w:after="0"/>
              <w:rPr>
                <w:sz w:val="24"/>
                <w:szCs w:val="24"/>
                <w:color w:val="auto"/>
              </w:rPr>
            </w:pPr>
          </w:p>
        </w:tc>
      </w:tr>
      <w:tr>
        <w:trPr>
          <w:trHeight w:val="208"/>
        </w:trPr>
        <w:tc>
          <w:tcPr>
            <w:tcW w:w="5400" w:type="dxa"/>
            <w:vAlign w:val="bottom"/>
          </w:tcPr>
          <w:p>
            <w:pPr>
              <w:spacing w:after="0"/>
              <w:rPr>
                <w:sz w:val="20"/>
                <w:szCs w:val="20"/>
                <w:color w:val="auto"/>
              </w:rPr>
            </w:pPr>
            <w:r>
              <w:rPr>
                <w:rFonts w:ascii="Arial" w:cs="Arial" w:eastAsia="Arial" w:hAnsi="Arial"/>
                <w:sz w:val="16"/>
                <w:szCs w:val="16"/>
                <w:color w:val="auto"/>
              </w:rPr>
              <w:t>Research and development costs</w:t>
            </w: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971</w:t>
            </w:r>
          </w:p>
        </w:tc>
        <w:tc>
          <w:tcPr>
            <w:tcW w:w="1440" w:type="dxa"/>
            <w:vAlign w:val="bottom"/>
          </w:tcPr>
          <w:p>
            <w:pPr>
              <w:jc w:val="right"/>
              <w:ind w:right="339"/>
              <w:spacing w:after="0"/>
              <w:rPr>
                <w:sz w:val="20"/>
                <w:szCs w:val="20"/>
                <w:color w:val="auto"/>
              </w:rPr>
            </w:pPr>
            <w:r>
              <w:rPr>
                <w:rFonts w:ascii="Arial" w:cs="Arial" w:eastAsia="Arial" w:hAnsi="Arial"/>
                <w:sz w:val="16"/>
                <w:szCs w:val="16"/>
                <w:color w:val="auto"/>
              </w:rPr>
              <w:t>1,044</w:t>
            </w:r>
          </w:p>
        </w:tc>
        <w:tc>
          <w:tcPr>
            <w:tcW w:w="1480" w:type="dxa"/>
            <w:vAlign w:val="bottom"/>
          </w:tcPr>
          <w:p>
            <w:pPr>
              <w:jc w:val="right"/>
              <w:ind w:right="459"/>
              <w:spacing w:after="0"/>
              <w:rPr>
                <w:sz w:val="20"/>
                <w:szCs w:val="20"/>
                <w:color w:val="auto"/>
              </w:rPr>
            </w:pPr>
            <w:r>
              <w:rPr>
                <w:rFonts w:ascii="Arial" w:cs="Arial" w:eastAsia="Arial" w:hAnsi="Arial"/>
                <w:sz w:val="16"/>
                <w:szCs w:val="16"/>
                <w:color w:val="auto"/>
              </w:rPr>
              <w:t>1,042</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1,044</w:t>
            </w:r>
          </w:p>
        </w:tc>
        <w:tc>
          <w:tcPr>
            <w:tcW w:w="360" w:type="dxa"/>
            <w:vAlign w:val="bottom"/>
          </w:tcPr>
          <w:p>
            <w:pPr>
              <w:spacing w:after="0"/>
              <w:rPr>
                <w:sz w:val="18"/>
                <w:szCs w:val="18"/>
                <w:color w:val="auto"/>
              </w:rPr>
            </w:pPr>
          </w:p>
        </w:tc>
      </w:tr>
      <w:tr>
        <w:trPr>
          <w:trHeight w:val="417"/>
        </w:trPr>
        <w:tc>
          <w:tcPr>
            <w:tcW w:w="5400" w:type="dxa"/>
            <w:vAlign w:val="bottom"/>
          </w:tcPr>
          <w:p>
            <w:pPr>
              <w:spacing w:after="0"/>
              <w:rPr>
                <w:sz w:val="20"/>
                <w:szCs w:val="20"/>
                <w:color w:val="auto"/>
              </w:rPr>
            </w:pPr>
            <w:r>
              <w:rPr>
                <w:rFonts w:ascii="Arial" w:cs="Arial" w:eastAsia="Arial" w:hAnsi="Arial"/>
                <w:sz w:val="16"/>
                <w:szCs w:val="16"/>
                <w:color w:val="auto"/>
              </w:rPr>
              <w:t>Long-term debt</w:t>
            </w: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11,653</w:t>
            </w:r>
          </w:p>
        </w:tc>
        <w:tc>
          <w:tcPr>
            <w:tcW w:w="1440" w:type="dxa"/>
            <w:vAlign w:val="bottom"/>
          </w:tcPr>
          <w:p>
            <w:pPr>
              <w:jc w:val="right"/>
              <w:ind w:right="339"/>
              <w:spacing w:after="0"/>
              <w:rPr>
                <w:sz w:val="20"/>
                <w:szCs w:val="20"/>
                <w:color w:val="auto"/>
              </w:rPr>
            </w:pPr>
            <w:r>
              <w:rPr>
                <w:rFonts w:ascii="Arial" w:cs="Arial" w:eastAsia="Arial" w:hAnsi="Arial"/>
                <w:sz w:val="16"/>
                <w:szCs w:val="16"/>
                <w:color w:val="auto"/>
              </w:rPr>
              <w:t>6,891</w:t>
            </w:r>
          </w:p>
        </w:tc>
        <w:tc>
          <w:tcPr>
            <w:tcW w:w="1480" w:type="dxa"/>
            <w:vAlign w:val="bottom"/>
          </w:tcPr>
          <w:p>
            <w:pPr>
              <w:jc w:val="right"/>
              <w:ind w:right="459"/>
              <w:spacing w:after="0"/>
              <w:rPr>
                <w:sz w:val="20"/>
                <w:szCs w:val="20"/>
                <w:color w:val="auto"/>
              </w:rPr>
            </w:pPr>
            <w:r>
              <w:rPr>
                <w:rFonts w:ascii="Arial" w:cs="Arial" w:eastAsia="Arial" w:hAnsi="Arial"/>
                <w:sz w:val="16"/>
                <w:szCs w:val="16"/>
                <w:color w:val="auto"/>
              </w:rPr>
              <w:t>7,928</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9,322</w:t>
            </w:r>
          </w:p>
        </w:tc>
        <w:tc>
          <w:tcPr>
            <w:tcW w:w="360" w:type="dxa"/>
            <w:vAlign w:val="bottom"/>
          </w:tcPr>
          <w:p>
            <w:pPr>
              <w:spacing w:after="0"/>
              <w:rPr>
                <w:sz w:val="24"/>
                <w:szCs w:val="24"/>
                <w:color w:val="auto"/>
              </w:rPr>
            </w:pPr>
          </w:p>
        </w:tc>
      </w:tr>
      <w:tr>
        <w:trPr>
          <w:trHeight w:val="208"/>
        </w:trPr>
        <w:tc>
          <w:tcPr>
            <w:tcW w:w="5400" w:type="dxa"/>
            <w:vAlign w:val="bottom"/>
          </w:tcPr>
          <w:p>
            <w:pPr>
              <w:spacing w:after="0"/>
              <w:rPr>
                <w:sz w:val="20"/>
                <w:szCs w:val="20"/>
                <w:color w:val="auto"/>
              </w:rPr>
            </w:pPr>
            <w:r>
              <w:rPr>
                <w:rFonts w:ascii="Arial" w:cs="Arial" w:eastAsia="Arial" w:hAnsi="Arial"/>
                <w:sz w:val="16"/>
                <w:szCs w:val="16"/>
                <w:color w:val="auto"/>
              </w:rPr>
              <w:t>Total debt</w:t>
            </w: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29,121</w:t>
            </w:r>
          </w:p>
        </w:tc>
        <w:tc>
          <w:tcPr>
            <w:tcW w:w="1440" w:type="dxa"/>
            <w:vAlign w:val="bottom"/>
          </w:tcPr>
          <w:p>
            <w:pPr>
              <w:jc w:val="right"/>
              <w:ind w:right="339"/>
              <w:spacing w:after="0"/>
              <w:rPr>
                <w:sz w:val="20"/>
                <w:szCs w:val="20"/>
                <w:color w:val="auto"/>
              </w:rPr>
            </w:pPr>
            <w:r>
              <w:rPr>
                <w:rFonts w:ascii="Arial" w:cs="Arial" w:eastAsia="Arial" w:hAnsi="Arial"/>
                <w:sz w:val="16"/>
                <w:szCs w:val="16"/>
                <w:color w:val="auto"/>
              </w:rPr>
              <w:t>22,699</w:t>
            </w:r>
          </w:p>
        </w:tc>
        <w:tc>
          <w:tcPr>
            <w:tcW w:w="1480" w:type="dxa"/>
            <w:vAlign w:val="bottom"/>
          </w:tcPr>
          <w:p>
            <w:pPr>
              <w:jc w:val="right"/>
              <w:ind w:right="459"/>
              <w:spacing w:after="0"/>
              <w:rPr>
                <w:sz w:val="20"/>
                <w:szCs w:val="20"/>
                <w:color w:val="auto"/>
              </w:rPr>
            </w:pPr>
            <w:r>
              <w:rPr>
                <w:rFonts w:ascii="Arial" w:cs="Arial" w:eastAsia="Arial" w:hAnsi="Arial"/>
                <w:sz w:val="16"/>
                <w:szCs w:val="16"/>
                <w:color w:val="auto"/>
              </w:rPr>
              <w:t>11,581</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17,033</w:t>
            </w:r>
          </w:p>
        </w:tc>
        <w:tc>
          <w:tcPr>
            <w:tcW w:w="360" w:type="dxa"/>
            <w:vAlign w:val="bottom"/>
          </w:tcPr>
          <w:p>
            <w:pPr>
              <w:spacing w:after="0"/>
              <w:rPr>
                <w:sz w:val="18"/>
                <w:szCs w:val="18"/>
                <w:color w:val="auto"/>
              </w:rPr>
            </w:pPr>
          </w:p>
        </w:tc>
      </w:tr>
      <w:tr>
        <w:trPr>
          <w:trHeight w:val="208"/>
        </w:trPr>
        <w:tc>
          <w:tcPr>
            <w:tcW w:w="5400" w:type="dxa"/>
            <w:vAlign w:val="bottom"/>
          </w:tcPr>
          <w:p>
            <w:pPr>
              <w:spacing w:after="0"/>
              <w:rPr>
                <w:sz w:val="20"/>
                <w:szCs w:val="20"/>
                <w:color w:val="auto"/>
              </w:rPr>
            </w:pPr>
            <w:r>
              <w:rPr>
                <w:rFonts w:ascii="Arial" w:cs="Arial" w:eastAsia="Arial" w:hAnsi="Arial"/>
                <w:sz w:val="16"/>
                <w:szCs w:val="16"/>
                <w:color w:val="auto"/>
              </w:rPr>
              <w:t>Fixed-charge coverage ratio (times)</w:t>
            </w: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46.9</w:t>
            </w:r>
          </w:p>
        </w:tc>
        <w:tc>
          <w:tcPr>
            <w:tcW w:w="1440" w:type="dxa"/>
            <w:vAlign w:val="bottom"/>
          </w:tcPr>
          <w:p>
            <w:pPr>
              <w:jc w:val="right"/>
              <w:ind w:right="339"/>
              <w:spacing w:after="0"/>
              <w:rPr>
                <w:sz w:val="20"/>
                <w:szCs w:val="20"/>
                <w:color w:val="auto"/>
              </w:rPr>
            </w:pPr>
            <w:r>
              <w:rPr>
                <w:rFonts w:ascii="Arial" w:cs="Arial" w:eastAsia="Arial" w:hAnsi="Arial"/>
                <w:sz w:val="16"/>
                <w:szCs w:val="16"/>
                <w:color w:val="auto"/>
              </w:rPr>
              <w:t>55.7</w:t>
            </w:r>
          </w:p>
        </w:tc>
        <w:tc>
          <w:tcPr>
            <w:tcW w:w="1480" w:type="dxa"/>
            <w:vAlign w:val="bottom"/>
          </w:tcPr>
          <w:p>
            <w:pPr>
              <w:jc w:val="right"/>
              <w:ind w:right="459"/>
              <w:spacing w:after="0"/>
              <w:rPr>
                <w:sz w:val="20"/>
                <w:szCs w:val="20"/>
                <w:color w:val="auto"/>
              </w:rPr>
            </w:pPr>
            <w:r>
              <w:rPr>
                <w:rFonts w:ascii="Arial" w:cs="Arial" w:eastAsia="Arial" w:hAnsi="Arial"/>
                <w:sz w:val="16"/>
                <w:szCs w:val="16"/>
                <w:color w:val="auto"/>
              </w:rPr>
              <w:t>62.4</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53.4</w:t>
            </w:r>
          </w:p>
        </w:tc>
        <w:tc>
          <w:tcPr>
            <w:tcW w:w="360" w:type="dxa"/>
            <w:vAlign w:val="bottom"/>
          </w:tcPr>
          <w:p>
            <w:pPr>
              <w:spacing w:after="0"/>
              <w:rPr>
                <w:sz w:val="18"/>
                <w:szCs w:val="18"/>
                <w:color w:val="auto"/>
              </w:rPr>
            </w:pPr>
          </w:p>
        </w:tc>
      </w:tr>
      <w:tr>
        <w:trPr>
          <w:trHeight w:val="208"/>
        </w:trPr>
        <w:tc>
          <w:tcPr>
            <w:tcW w:w="5400" w:type="dxa"/>
            <w:vAlign w:val="bottom"/>
          </w:tcPr>
          <w:p>
            <w:pPr>
              <w:spacing w:after="0"/>
              <w:rPr>
                <w:sz w:val="20"/>
                <w:szCs w:val="20"/>
                <w:color w:val="auto"/>
              </w:rPr>
            </w:pPr>
            <w:r>
              <w:rPr>
                <w:rFonts w:ascii="Arial" w:cs="Arial" w:eastAsia="Arial" w:hAnsi="Arial"/>
                <w:sz w:val="16"/>
                <w:szCs w:val="16"/>
                <w:color w:val="auto"/>
              </w:rPr>
              <w:t>Debt to capital (percent)</w:t>
            </w: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13.9</w:t>
            </w:r>
          </w:p>
        </w:tc>
        <w:tc>
          <w:tcPr>
            <w:tcW w:w="1440" w:type="dxa"/>
            <w:vAlign w:val="bottom"/>
          </w:tcPr>
          <w:p>
            <w:pPr>
              <w:jc w:val="right"/>
              <w:ind w:right="339"/>
              <w:spacing w:after="0"/>
              <w:rPr>
                <w:sz w:val="20"/>
                <w:szCs w:val="20"/>
                <w:color w:val="auto"/>
              </w:rPr>
            </w:pPr>
            <w:r>
              <w:rPr>
                <w:rFonts w:ascii="Arial" w:cs="Arial" w:eastAsia="Arial" w:hAnsi="Arial"/>
                <w:sz w:val="16"/>
                <w:szCs w:val="16"/>
                <w:color w:val="auto"/>
              </w:rPr>
              <w:t>11.2</w:t>
            </w:r>
          </w:p>
        </w:tc>
        <w:tc>
          <w:tcPr>
            <w:tcW w:w="1480" w:type="dxa"/>
            <w:vAlign w:val="bottom"/>
          </w:tcPr>
          <w:p>
            <w:pPr>
              <w:jc w:val="right"/>
              <w:ind w:right="459"/>
              <w:spacing w:after="0"/>
              <w:rPr>
                <w:sz w:val="20"/>
                <w:szCs w:val="20"/>
                <w:color w:val="auto"/>
              </w:rPr>
            </w:pPr>
            <w:r>
              <w:rPr>
                <w:rFonts w:ascii="Arial" w:cs="Arial" w:eastAsia="Arial" w:hAnsi="Arial"/>
                <w:sz w:val="16"/>
                <w:szCs w:val="16"/>
                <w:color w:val="auto"/>
              </w:rPr>
              <w:t>6.3</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9.6</w:t>
            </w:r>
          </w:p>
        </w:tc>
        <w:tc>
          <w:tcPr>
            <w:tcW w:w="360" w:type="dxa"/>
            <w:vAlign w:val="bottom"/>
          </w:tcPr>
          <w:p>
            <w:pPr>
              <w:spacing w:after="0"/>
              <w:rPr>
                <w:sz w:val="18"/>
                <w:szCs w:val="18"/>
                <w:color w:val="auto"/>
              </w:rPr>
            </w:pPr>
          </w:p>
        </w:tc>
      </w:tr>
      <w:tr>
        <w:trPr>
          <w:trHeight w:val="208"/>
        </w:trPr>
        <w:tc>
          <w:tcPr>
            <w:tcW w:w="5400" w:type="dxa"/>
            <w:vAlign w:val="bottom"/>
          </w:tcPr>
          <w:p>
            <w:pPr>
              <w:spacing w:after="0"/>
              <w:rPr>
                <w:sz w:val="20"/>
                <w:szCs w:val="20"/>
                <w:color w:val="auto"/>
              </w:rPr>
            </w:pPr>
            <w:r>
              <w:rPr>
                <w:rFonts w:ascii="Arial" w:cs="Arial" w:eastAsia="Arial" w:hAnsi="Arial"/>
                <w:sz w:val="16"/>
                <w:szCs w:val="16"/>
                <w:color w:val="auto"/>
              </w:rPr>
              <w:t xml:space="preserve">Net debt to capital (percent) </w:t>
            </w:r>
            <w:r>
              <w:rPr>
                <w:rFonts w:ascii="Arial" w:cs="Arial" w:eastAsia="Arial" w:hAnsi="Arial"/>
                <w:sz w:val="14"/>
                <w:szCs w:val="14"/>
                <w:i w:val="1"/>
                <w:iCs w:val="1"/>
                <w:color w:val="auto"/>
              </w:rPr>
              <w:t>(2)</w:t>
            </w: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11.9</w:t>
            </w:r>
          </w:p>
        </w:tc>
        <w:tc>
          <w:tcPr>
            <w:tcW w:w="1440" w:type="dxa"/>
            <w:vAlign w:val="bottom"/>
          </w:tcPr>
          <w:p>
            <w:pPr>
              <w:jc w:val="right"/>
              <w:ind w:right="339"/>
              <w:spacing w:after="0"/>
              <w:rPr>
                <w:sz w:val="20"/>
                <w:szCs w:val="20"/>
                <w:color w:val="auto"/>
              </w:rPr>
            </w:pPr>
            <w:r>
              <w:rPr>
                <w:rFonts w:ascii="Arial" w:cs="Arial" w:eastAsia="Arial" w:hAnsi="Arial"/>
                <w:sz w:val="16"/>
                <w:szCs w:val="16"/>
                <w:color w:val="auto"/>
              </w:rPr>
              <w:t>9.1</w:t>
            </w:r>
          </w:p>
        </w:tc>
        <w:tc>
          <w:tcPr>
            <w:tcW w:w="1480" w:type="dxa"/>
            <w:vAlign w:val="bottom"/>
          </w:tcPr>
          <w:p>
            <w:pPr>
              <w:jc w:val="right"/>
              <w:ind w:right="459"/>
              <w:spacing w:after="0"/>
              <w:rPr>
                <w:sz w:val="20"/>
                <w:szCs w:val="20"/>
                <w:color w:val="auto"/>
              </w:rPr>
            </w:pPr>
            <w:r>
              <w:rPr>
                <w:rFonts w:ascii="Arial" w:cs="Arial" w:eastAsia="Arial" w:hAnsi="Arial"/>
                <w:sz w:val="16"/>
                <w:szCs w:val="16"/>
                <w:color w:val="auto"/>
              </w:rPr>
              <w:t>1.2</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2.6</w:t>
            </w:r>
          </w:p>
        </w:tc>
        <w:tc>
          <w:tcPr>
            <w:tcW w:w="360" w:type="dxa"/>
            <w:vAlign w:val="bottom"/>
          </w:tcPr>
          <w:p>
            <w:pPr>
              <w:spacing w:after="0"/>
              <w:rPr>
                <w:sz w:val="18"/>
                <w:szCs w:val="18"/>
                <w:color w:val="auto"/>
              </w:rPr>
            </w:pPr>
          </w:p>
        </w:tc>
      </w:tr>
      <w:tr>
        <w:trPr>
          <w:trHeight w:val="417"/>
        </w:trPr>
        <w:tc>
          <w:tcPr>
            <w:tcW w:w="5400" w:type="dxa"/>
            <w:vAlign w:val="bottom"/>
          </w:tcPr>
          <w:p>
            <w:pPr>
              <w:spacing w:after="0"/>
              <w:rPr>
                <w:sz w:val="20"/>
                <w:szCs w:val="20"/>
                <w:color w:val="auto"/>
              </w:rPr>
            </w:pPr>
            <w:r>
              <w:rPr>
                <w:rFonts w:ascii="Arial" w:cs="Arial" w:eastAsia="Arial" w:hAnsi="Arial"/>
                <w:sz w:val="16"/>
                <w:szCs w:val="16"/>
                <w:color w:val="auto"/>
              </w:rPr>
              <w:t>ExxonMobil share of equity at year-end</w:t>
            </w: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174,399</w:t>
            </w:r>
          </w:p>
        </w:tc>
        <w:tc>
          <w:tcPr>
            <w:tcW w:w="1440" w:type="dxa"/>
            <w:vAlign w:val="bottom"/>
          </w:tcPr>
          <w:p>
            <w:pPr>
              <w:jc w:val="right"/>
              <w:ind w:right="339"/>
              <w:spacing w:after="0"/>
              <w:rPr>
                <w:sz w:val="20"/>
                <w:szCs w:val="20"/>
                <w:color w:val="auto"/>
              </w:rPr>
            </w:pPr>
            <w:r>
              <w:rPr>
                <w:rFonts w:ascii="Arial" w:cs="Arial" w:eastAsia="Arial" w:hAnsi="Arial"/>
                <w:sz w:val="16"/>
                <w:szCs w:val="16"/>
                <w:color w:val="auto"/>
              </w:rPr>
              <w:t>174,003</w:t>
            </w:r>
          </w:p>
        </w:tc>
        <w:tc>
          <w:tcPr>
            <w:tcW w:w="1480" w:type="dxa"/>
            <w:vAlign w:val="bottom"/>
          </w:tcPr>
          <w:p>
            <w:pPr>
              <w:jc w:val="right"/>
              <w:ind w:right="459"/>
              <w:spacing w:after="0"/>
              <w:rPr>
                <w:sz w:val="20"/>
                <w:szCs w:val="20"/>
                <w:color w:val="auto"/>
              </w:rPr>
            </w:pPr>
            <w:r>
              <w:rPr>
                <w:rFonts w:ascii="Arial" w:cs="Arial" w:eastAsia="Arial" w:hAnsi="Arial"/>
                <w:sz w:val="16"/>
                <w:szCs w:val="16"/>
                <w:color w:val="auto"/>
              </w:rPr>
              <w:t>165,863</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154,396</w:t>
            </w: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8"/>
        </w:trPr>
        <w:tc>
          <w:tcPr>
            <w:tcW w:w="5400" w:type="dxa"/>
            <w:vAlign w:val="bottom"/>
          </w:tcPr>
          <w:p>
            <w:pPr>
              <w:spacing w:after="0"/>
              <w:rPr>
                <w:sz w:val="20"/>
                <w:szCs w:val="20"/>
                <w:color w:val="auto"/>
              </w:rPr>
            </w:pPr>
            <w:r>
              <w:rPr>
                <w:rFonts w:ascii="Arial" w:cs="Arial" w:eastAsia="Arial" w:hAnsi="Arial"/>
                <w:sz w:val="16"/>
                <w:szCs w:val="16"/>
                <w:color w:val="auto"/>
              </w:rPr>
              <w:t>ExxonMobil share of equity per common share</w:t>
            </w: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41.51</w:t>
            </w:r>
          </w:p>
        </w:tc>
        <w:tc>
          <w:tcPr>
            <w:tcW w:w="1440" w:type="dxa"/>
            <w:vAlign w:val="bottom"/>
          </w:tcPr>
          <w:p>
            <w:pPr>
              <w:jc w:val="right"/>
              <w:ind w:right="339"/>
              <w:spacing w:after="0"/>
              <w:rPr>
                <w:sz w:val="20"/>
                <w:szCs w:val="20"/>
                <w:color w:val="auto"/>
              </w:rPr>
            </w:pPr>
            <w:r>
              <w:rPr>
                <w:rFonts w:ascii="Arial" w:cs="Arial" w:eastAsia="Arial" w:hAnsi="Arial"/>
                <w:sz w:val="16"/>
                <w:szCs w:val="16"/>
                <w:color w:val="auto"/>
              </w:rPr>
              <w:t>40.14</w:t>
            </w:r>
          </w:p>
        </w:tc>
        <w:tc>
          <w:tcPr>
            <w:tcW w:w="1480" w:type="dxa"/>
            <w:vAlign w:val="bottom"/>
          </w:tcPr>
          <w:p>
            <w:pPr>
              <w:jc w:val="right"/>
              <w:ind w:right="459"/>
              <w:spacing w:after="0"/>
              <w:rPr>
                <w:sz w:val="20"/>
                <w:szCs w:val="20"/>
                <w:color w:val="auto"/>
              </w:rPr>
            </w:pPr>
            <w:r>
              <w:rPr>
                <w:rFonts w:ascii="Arial" w:cs="Arial" w:eastAsia="Arial" w:hAnsi="Arial"/>
                <w:sz w:val="16"/>
                <w:szCs w:val="16"/>
                <w:color w:val="auto"/>
              </w:rPr>
              <w:t>36.84</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32.61</w:t>
            </w:r>
          </w:p>
        </w:tc>
        <w:tc>
          <w:tcPr>
            <w:tcW w:w="360" w:type="dxa"/>
            <w:vAlign w:val="bottom"/>
          </w:tcPr>
          <w:p>
            <w:pPr>
              <w:spacing w:after="0"/>
              <w:rPr>
                <w:sz w:val="18"/>
                <w:szCs w:val="18"/>
                <w:color w:val="auto"/>
              </w:rPr>
            </w:pPr>
          </w:p>
        </w:tc>
      </w:tr>
      <w:tr>
        <w:trPr>
          <w:trHeight w:val="208"/>
        </w:trPr>
        <w:tc>
          <w:tcPr>
            <w:tcW w:w="5400" w:type="dxa"/>
            <w:vAlign w:val="bottom"/>
          </w:tcPr>
          <w:p>
            <w:pPr>
              <w:spacing w:after="0"/>
              <w:rPr>
                <w:sz w:val="20"/>
                <w:szCs w:val="20"/>
                <w:color w:val="auto"/>
              </w:rPr>
            </w:pPr>
            <w:r>
              <w:rPr>
                <w:rFonts w:ascii="Arial" w:cs="Arial" w:eastAsia="Arial" w:hAnsi="Arial"/>
                <w:sz w:val="16"/>
                <w:szCs w:val="16"/>
                <w:color w:val="auto"/>
              </w:rPr>
              <w:t>Weighted average number of common shares</w:t>
            </w:r>
          </w:p>
        </w:tc>
        <w:tc>
          <w:tcPr>
            <w:tcW w:w="1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08"/>
        </w:trPr>
        <w:tc>
          <w:tcPr>
            <w:tcW w:w="5400" w:type="dxa"/>
            <w:vAlign w:val="bottom"/>
          </w:tcPr>
          <w:p>
            <w:pPr>
              <w:ind w:left="240"/>
              <w:spacing w:after="0"/>
              <w:rPr>
                <w:sz w:val="20"/>
                <w:szCs w:val="20"/>
                <w:color w:val="auto"/>
              </w:rPr>
            </w:pPr>
            <w:r>
              <w:rPr>
                <w:rFonts w:ascii="Arial" w:cs="Arial" w:eastAsia="Arial" w:hAnsi="Arial"/>
                <w:sz w:val="16"/>
                <w:szCs w:val="16"/>
                <w:color w:val="auto"/>
              </w:rPr>
              <w:t>outstanding (millions)</w:t>
            </w: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4,282</w:t>
            </w:r>
          </w:p>
        </w:tc>
        <w:tc>
          <w:tcPr>
            <w:tcW w:w="1440" w:type="dxa"/>
            <w:vAlign w:val="bottom"/>
          </w:tcPr>
          <w:p>
            <w:pPr>
              <w:jc w:val="right"/>
              <w:ind w:right="339"/>
              <w:spacing w:after="0"/>
              <w:rPr>
                <w:sz w:val="20"/>
                <w:szCs w:val="20"/>
                <w:color w:val="auto"/>
              </w:rPr>
            </w:pPr>
            <w:r>
              <w:rPr>
                <w:rFonts w:ascii="Arial" w:cs="Arial" w:eastAsia="Arial" w:hAnsi="Arial"/>
                <w:sz w:val="16"/>
                <w:szCs w:val="16"/>
                <w:color w:val="auto"/>
              </w:rPr>
              <w:t>4,419</w:t>
            </w:r>
          </w:p>
        </w:tc>
        <w:tc>
          <w:tcPr>
            <w:tcW w:w="1480" w:type="dxa"/>
            <w:vAlign w:val="bottom"/>
          </w:tcPr>
          <w:p>
            <w:pPr>
              <w:jc w:val="right"/>
              <w:ind w:right="459"/>
              <w:spacing w:after="0"/>
              <w:rPr>
                <w:sz w:val="20"/>
                <w:szCs w:val="20"/>
                <w:color w:val="auto"/>
              </w:rPr>
            </w:pPr>
            <w:r>
              <w:rPr>
                <w:rFonts w:ascii="Arial" w:cs="Arial" w:eastAsia="Arial" w:hAnsi="Arial"/>
                <w:sz w:val="16"/>
                <w:szCs w:val="16"/>
                <w:color w:val="auto"/>
              </w:rPr>
              <w:t>4,628</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4,870</w:t>
            </w:r>
          </w:p>
        </w:tc>
        <w:tc>
          <w:tcPr>
            <w:tcW w:w="360" w:type="dxa"/>
            <w:vAlign w:val="bottom"/>
          </w:tcPr>
          <w:p>
            <w:pPr>
              <w:spacing w:after="0"/>
              <w:rPr>
                <w:sz w:val="18"/>
                <w:szCs w:val="18"/>
                <w:color w:val="auto"/>
              </w:rPr>
            </w:pPr>
          </w:p>
        </w:tc>
      </w:tr>
      <w:tr>
        <w:trPr>
          <w:trHeight w:val="417"/>
        </w:trPr>
        <w:tc>
          <w:tcPr>
            <w:tcW w:w="5400" w:type="dxa"/>
            <w:vAlign w:val="bottom"/>
          </w:tcPr>
          <w:p>
            <w:pPr>
              <w:spacing w:after="0"/>
              <w:rPr>
                <w:sz w:val="20"/>
                <w:szCs w:val="20"/>
                <w:color w:val="auto"/>
              </w:rPr>
            </w:pPr>
            <w:r>
              <w:rPr>
                <w:rFonts w:ascii="Arial" w:cs="Arial" w:eastAsia="Arial" w:hAnsi="Arial"/>
                <w:sz w:val="16"/>
                <w:szCs w:val="16"/>
                <w:color w:val="auto"/>
              </w:rPr>
              <w:t xml:space="preserve">Number of regular employees at year-end (thousands) </w:t>
            </w:r>
            <w:r>
              <w:rPr>
                <w:rFonts w:ascii="Arial" w:cs="Arial" w:eastAsia="Arial" w:hAnsi="Arial"/>
                <w:sz w:val="14"/>
                <w:szCs w:val="14"/>
                <w:i w:val="1"/>
                <w:iCs w:val="1"/>
                <w:color w:val="auto"/>
              </w:rPr>
              <w:t>(3)</w:t>
            </w: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75.3</w:t>
            </w:r>
          </w:p>
        </w:tc>
        <w:tc>
          <w:tcPr>
            <w:tcW w:w="1440" w:type="dxa"/>
            <w:vAlign w:val="bottom"/>
          </w:tcPr>
          <w:p>
            <w:pPr>
              <w:jc w:val="right"/>
              <w:ind w:right="339"/>
              <w:spacing w:after="0"/>
              <w:rPr>
                <w:sz w:val="20"/>
                <w:szCs w:val="20"/>
                <w:color w:val="auto"/>
              </w:rPr>
            </w:pPr>
            <w:r>
              <w:rPr>
                <w:rFonts w:ascii="Arial" w:cs="Arial" w:eastAsia="Arial" w:hAnsi="Arial"/>
                <w:sz w:val="16"/>
                <w:szCs w:val="16"/>
                <w:color w:val="auto"/>
              </w:rPr>
              <w:t>75.0</w:t>
            </w:r>
          </w:p>
        </w:tc>
        <w:tc>
          <w:tcPr>
            <w:tcW w:w="1480" w:type="dxa"/>
            <w:vAlign w:val="bottom"/>
          </w:tcPr>
          <w:p>
            <w:pPr>
              <w:jc w:val="right"/>
              <w:ind w:right="459"/>
              <w:spacing w:after="0"/>
              <w:rPr>
                <w:sz w:val="20"/>
                <w:szCs w:val="20"/>
                <w:color w:val="auto"/>
              </w:rPr>
            </w:pPr>
            <w:r>
              <w:rPr>
                <w:rFonts w:ascii="Arial" w:cs="Arial" w:eastAsia="Arial" w:hAnsi="Arial"/>
                <w:sz w:val="16"/>
                <w:szCs w:val="16"/>
                <w:color w:val="auto"/>
              </w:rPr>
              <w:t>76.9</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82.1</w:t>
            </w:r>
          </w:p>
        </w:tc>
        <w:tc>
          <w:tcPr>
            <w:tcW w:w="360" w:type="dxa"/>
            <w:vAlign w:val="bottom"/>
          </w:tcPr>
          <w:p>
            <w:pPr>
              <w:spacing w:after="0"/>
              <w:rPr>
                <w:sz w:val="24"/>
                <w:szCs w:val="24"/>
                <w:color w:val="auto"/>
              </w:rPr>
            </w:pPr>
          </w:p>
        </w:tc>
      </w:tr>
      <w:tr>
        <w:trPr>
          <w:trHeight w:val="417"/>
        </w:trPr>
        <w:tc>
          <w:tcPr>
            <w:tcW w:w="5400" w:type="dxa"/>
            <w:vAlign w:val="bottom"/>
          </w:tcPr>
          <w:p>
            <w:pPr>
              <w:spacing w:after="0"/>
              <w:rPr>
                <w:sz w:val="20"/>
                <w:szCs w:val="20"/>
                <w:color w:val="auto"/>
              </w:rPr>
            </w:pPr>
            <w:r>
              <w:rPr>
                <w:rFonts w:ascii="Arial" w:cs="Arial" w:eastAsia="Arial" w:hAnsi="Arial"/>
                <w:sz w:val="16"/>
                <w:szCs w:val="16"/>
                <w:color w:val="auto"/>
              </w:rPr>
              <w:t xml:space="preserve">CORS employees not included above (thousands) </w:t>
            </w:r>
            <w:r>
              <w:rPr>
                <w:rFonts w:ascii="Arial" w:cs="Arial" w:eastAsia="Arial" w:hAnsi="Arial"/>
                <w:sz w:val="14"/>
                <w:szCs w:val="14"/>
                <w:i w:val="1"/>
                <w:iCs w:val="1"/>
                <w:color w:val="auto"/>
              </w:rPr>
              <w:t>(4)</w:t>
            </w: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8.4</w:t>
            </w:r>
          </w:p>
        </w:tc>
        <w:tc>
          <w:tcPr>
            <w:tcW w:w="1440" w:type="dxa"/>
            <w:vAlign w:val="bottom"/>
          </w:tcPr>
          <w:p>
            <w:pPr>
              <w:jc w:val="right"/>
              <w:ind w:right="339"/>
              <w:spacing w:after="0"/>
              <w:rPr>
                <w:sz w:val="20"/>
                <w:szCs w:val="20"/>
                <w:color w:val="auto"/>
              </w:rPr>
            </w:pPr>
            <w:r>
              <w:rPr>
                <w:rFonts w:ascii="Arial" w:cs="Arial" w:eastAsia="Arial" w:hAnsi="Arial"/>
                <w:sz w:val="16"/>
                <w:szCs w:val="16"/>
                <w:color w:val="auto"/>
              </w:rPr>
              <w:t>9.8</w:t>
            </w:r>
          </w:p>
        </w:tc>
        <w:tc>
          <w:tcPr>
            <w:tcW w:w="1480" w:type="dxa"/>
            <w:vAlign w:val="bottom"/>
          </w:tcPr>
          <w:p>
            <w:pPr>
              <w:jc w:val="right"/>
              <w:ind w:right="459"/>
              <w:spacing w:after="0"/>
              <w:rPr>
                <w:sz w:val="20"/>
                <w:szCs w:val="20"/>
                <w:color w:val="auto"/>
              </w:rPr>
            </w:pPr>
            <w:r>
              <w:rPr>
                <w:rFonts w:ascii="Arial" w:cs="Arial" w:eastAsia="Arial" w:hAnsi="Arial"/>
                <w:sz w:val="16"/>
                <w:szCs w:val="16"/>
                <w:color w:val="auto"/>
              </w:rPr>
              <w:t>11.1</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17.0</w:t>
            </w:r>
          </w:p>
        </w:tc>
        <w:tc>
          <w:tcPr>
            <w:tcW w:w="360" w:type="dxa"/>
            <w:vAlign w:val="bottom"/>
          </w:tcPr>
          <w:p>
            <w:pPr>
              <w:spacing w:after="0"/>
              <w:rPr>
                <w:sz w:val="24"/>
                <w:szCs w:val="24"/>
                <w:color w:val="auto"/>
              </w:rPr>
            </w:pPr>
          </w:p>
        </w:tc>
      </w:tr>
    </w:tbl>
    <w:p>
      <w:pPr>
        <w:spacing w:after="0" w:line="246" w:lineRule="exact"/>
        <w:rPr>
          <w:sz w:val="20"/>
          <w:szCs w:val="20"/>
          <w:color w:val="auto"/>
        </w:rPr>
      </w:pPr>
    </w:p>
    <w:p>
      <w:pPr>
        <w:ind w:left="300" w:hanging="294"/>
        <w:spacing w:after="0" w:line="286" w:lineRule="auto"/>
        <w:tabs>
          <w:tab w:leader="none" w:pos="334"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Sales and other operating revenue includes sales-based taxes of $29,342 million for 2014, $30,589 million for 2013, $32,409 million for 2012, $33,503 million f and $28,547 million for 2010.</w:t>
      </w:r>
    </w:p>
    <w:p>
      <w:pPr>
        <w:spacing w:after="0" w:line="2" w:lineRule="exact"/>
        <w:rPr>
          <w:rFonts w:ascii="Arial" w:cs="Arial" w:eastAsia="Arial" w:hAnsi="Arial"/>
          <w:sz w:val="16"/>
          <w:szCs w:val="16"/>
          <w:i w:val="1"/>
          <w:iCs w:val="1"/>
          <w:color w:val="auto"/>
        </w:rPr>
      </w:pPr>
    </w:p>
    <w:p>
      <w:pPr>
        <w:ind w:left="320" w:hanging="314"/>
        <w:spacing w:after="0"/>
        <w:tabs>
          <w:tab w:leader="none" w:pos="32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Debt net of cash, excluding restricted cash.</w:t>
      </w:r>
    </w:p>
    <w:p>
      <w:pPr>
        <w:spacing w:after="0" w:line="61" w:lineRule="exact"/>
        <w:rPr>
          <w:rFonts w:ascii="Arial" w:cs="Arial" w:eastAsia="Arial" w:hAnsi="Arial"/>
          <w:sz w:val="16"/>
          <w:szCs w:val="16"/>
          <w:i w:val="1"/>
          <w:iCs w:val="1"/>
          <w:color w:val="auto"/>
        </w:rPr>
      </w:pPr>
    </w:p>
    <w:p>
      <w:pPr>
        <w:ind w:left="300" w:right="60" w:hanging="294"/>
        <w:spacing w:after="0" w:line="286" w:lineRule="auto"/>
        <w:tabs>
          <w:tab w:leader="none" w:pos="319"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Regular employees are defined as active executive, management, professional, technical and wage employees who work full time or part time for the Corporation covered by the Corporation’s benefit plans and programs.</w:t>
      </w:r>
    </w:p>
    <w:p>
      <w:pPr>
        <w:spacing w:after="0" w:line="2" w:lineRule="exact"/>
        <w:rPr>
          <w:rFonts w:ascii="Arial" w:cs="Arial" w:eastAsia="Arial" w:hAnsi="Arial"/>
          <w:sz w:val="16"/>
          <w:szCs w:val="16"/>
          <w:i w:val="1"/>
          <w:iCs w:val="1"/>
          <w:color w:val="auto"/>
        </w:rPr>
      </w:pPr>
    </w:p>
    <w:p>
      <w:pPr>
        <w:ind w:left="320" w:hanging="314"/>
        <w:spacing w:after="0"/>
        <w:tabs>
          <w:tab w:leader="none" w:pos="32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CORS employees are employees of company-operated retail sites.</w:t>
      </w:r>
    </w:p>
    <w:p>
      <w:pPr>
        <w:spacing w:after="0" w:line="257"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38" w:name="page39"/>
    <w:bookmarkEnd w:id="38"/>
    <w:p>
      <w:pPr>
        <w:ind w:left="580"/>
        <w:spacing w:after="0"/>
        <w:rPr>
          <w:sz w:val="20"/>
          <w:szCs w:val="20"/>
          <w:color w:val="auto"/>
        </w:rPr>
      </w:pPr>
      <w:r>
        <w:rPr>
          <w:rFonts w:ascii="Arial" w:cs="Arial" w:eastAsia="Arial" w:hAnsi="Arial"/>
          <w:sz w:val="16"/>
          <w:szCs w:val="16"/>
          <w:b w:val="1"/>
          <w:bCs w:val="1"/>
          <w:color w:val="auto"/>
        </w:rPr>
        <w:t>FREQUENTLY USED TERMS</w:t>
      </w:r>
    </w:p>
    <w:p>
      <w:pPr>
        <w:spacing w:after="0" w:line="212" w:lineRule="exact"/>
        <w:rPr>
          <w:sz w:val="20"/>
          <w:szCs w:val="20"/>
          <w:color w:val="auto"/>
        </w:rPr>
      </w:pPr>
    </w:p>
    <w:p>
      <w:pPr>
        <w:ind w:left="580" w:right="20"/>
        <w:spacing w:after="0" w:line="286" w:lineRule="auto"/>
        <w:rPr>
          <w:sz w:val="20"/>
          <w:szCs w:val="20"/>
          <w:color w:val="auto"/>
        </w:rPr>
      </w:pPr>
      <w:r>
        <w:rPr>
          <w:rFonts w:ascii="Arial" w:cs="Arial" w:eastAsia="Arial" w:hAnsi="Arial"/>
          <w:sz w:val="16"/>
          <w:szCs w:val="16"/>
          <w:color w:val="auto"/>
        </w:rPr>
        <w:t>Listed below are definitions of several of ExxonMobil’s key business and financial performance measures. These definitions are provided to facilitate understandin terms and their calculation.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Cash Flow From Operations and Asset Sales</w:t>
      </w:r>
    </w:p>
    <w:p>
      <w:pPr>
        <w:spacing w:after="0" w:line="90" w:lineRule="exact"/>
        <w:rPr>
          <w:sz w:val="20"/>
          <w:szCs w:val="20"/>
          <w:color w:val="auto"/>
        </w:rPr>
      </w:pPr>
    </w:p>
    <w:p>
      <w:pPr>
        <w:jc w:val="both"/>
        <w:ind w:left="580"/>
        <w:spacing w:after="0" w:line="282" w:lineRule="auto"/>
        <w:rPr>
          <w:sz w:val="20"/>
          <w:szCs w:val="20"/>
          <w:color w:val="auto"/>
        </w:rPr>
      </w:pPr>
      <w:r>
        <w:rPr>
          <w:rFonts w:ascii="Arial" w:cs="Arial" w:eastAsia="Arial" w:hAnsi="Arial"/>
          <w:sz w:val="15"/>
          <w:szCs w:val="15"/>
          <w:color w:val="auto"/>
        </w:rPr>
        <w:t>Cash flow from operations and asset sales is the sum of the net cash provided by operating activities and proceeds associated with sales of subsidiaries, property, pl equipment, and sales and returns of investments from the Consolidated Statement of Cash Flows. This cash flow reflects the total sources of cash from both opera Corporation’s assets and from the divesting of assets. The Corporation employs a long-standing and regular disciplined review process to ensure that all assets are cont to the Corporation’s strategic objectives. Assets are divested when they are no longer meeting these objectives or are worth considerably more to others. Because regular nature of this activity, we believe it is useful for investors to consider proceeds associated with asset sales together with cash provided by operating activitie evaluating cash available for investment in the business and financing activities, including shareholder distributions.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12"/>
        </w:trPr>
        <w:tc>
          <w:tcPr>
            <w:tcW w:w="7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Cash flow from operations and asset sales</w:t>
            </w: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2014</w:t>
            </w:r>
          </w:p>
        </w:tc>
        <w:tc>
          <w:tcPr>
            <w:tcW w:w="1840" w:type="dxa"/>
            <w:vAlign w:val="bottom"/>
            <w:tcBorders>
              <w:bottom w:val="single" w:sz="8" w:color="auto"/>
            </w:tcBorders>
          </w:tcPr>
          <w:p>
            <w:pPr>
              <w:jc w:val="right"/>
              <w:ind w:right="785"/>
              <w:spacing w:after="0"/>
              <w:rPr>
                <w:sz w:val="20"/>
                <w:szCs w:val="20"/>
                <w:color w:val="auto"/>
              </w:rPr>
            </w:pPr>
            <w:r>
              <w:rPr>
                <w:rFonts w:ascii="Arial" w:cs="Arial" w:eastAsia="Arial" w:hAnsi="Arial"/>
                <w:sz w:val="13"/>
                <w:szCs w:val="13"/>
                <w:b w:val="1"/>
                <w:bCs w:val="1"/>
                <w:color w:val="auto"/>
              </w:rPr>
              <w:t>2013</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w:t>
            </w:r>
          </w:p>
        </w:tc>
      </w:tr>
      <w:tr>
        <w:trPr>
          <w:trHeight w:val="166"/>
        </w:trPr>
        <w:tc>
          <w:tcPr>
            <w:tcW w:w="7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40" w:type="dxa"/>
            <w:vAlign w:val="bottom"/>
          </w:tcPr>
          <w:p>
            <w:pPr>
              <w:jc w:val="right"/>
              <w:ind w:right="405"/>
              <w:spacing w:after="0"/>
              <w:rPr>
                <w:sz w:val="20"/>
                <w:szCs w:val="20"/>
                <w:color w:val="auto"/>
              </w:rPr>
            </w:pPr>
            <w:r>
              <w:rPr>
                <w:rFonts w:ascii="Arial" w:cs="Arial" w:eastAsia="Arial" w:hAnsi="Arial"/>
                <w:sz w:val="13"/>
                <w:szCs w:val="13"/>
                <w:i w:val="1"/>
                <w:iCs w:val="1"/>
                <w:color w:val="auto"/>
              </w:rPr>
              <w:t>(millions of dollars)</w:t>
            </w:r>
          </w:p>
        </w:tc>
        <w:tc>
          <w:tcPr>
            <w:tcW w:w="560" w:type="dxa"/>
            <w:vAlign w:val="bottom"/>
          </w:tcPr>
          <w:p>
            <w:pPr>
              <w:spacing w:after="0"/>
              <w:rPr>
                <w:sz w:val="14"/>
                <w:szCs w:val="14"/>
                <w:color w:val="auto"/>
              </w:rPr>
            </w:pPr>
          </w:p>
        </w:tc>
      </w:tr>
      <w:tr>
        <w:trPr>
          <w:trHeight w:val="414"/>
        </w:trPr>
        <w:tc>
          <w:tcPr>
            <w:tcW w:w="7340" w:type="dxa"/>
            <w:vAlign w:val="bottom"/>
          </w:tcPr>
          <w:p>
            <w:pPr>
              <w:spacing w:after="0"/>
              <w:rPr>
                <w:sz w:val="20"/>
                <w:szCs w:val="20"/>
                <w:color w:val="auto"/>
              </w:rPr>
            </w:pPr>
            <w:r>
              <w:rPr>
                <w:rFonts w:ascii="Arial" w:cs="Arial" w:eastAsia="Arial" w:hAnsi="Arial"/>
                <w:sz w:val="16"/>
                <w:szCs w:val="16"/>
                <w:color w:val="auto"/>
              </w:rPr>
              <w:t>Net cash provided by operating activities</w:t>
            </w:r>
          </w:p>
        </w:tc>
        <w:tc>
          <w:tcPr>
            <w:tcW w:w="1200" w:type="dxa"/>
            <w:vAlign w:val="bottom"/>
          </w:tcPr>
          <w:p>
            <w:pPr>
              <w:jc w:val="right"/>
              <w:ind w:right="262"/>
              <w:spacing w:after="0"/>
              <w:rPr>
                <w:sz w:val="20"/>
                <w:szCs w:val="20"/>
                <w:color w:val="auto"/>
              </w:rPr>
            </w:pPr>
            <w:r>
              <w:rPr>
                <w:rFonts w:ascii="Arial" w:cs="Arial" w:eastAsia="Arial" w:hAnsi="Arial"/>
                <w:sz w:val="16"/>
                <w:szCs w:val="16"/>
                <w:color w:val="auto"/>
              </w:rPr>
              <w:t>45,116</w:t>
            </w:r>
          </w:p>
        </w:tc>
        <w:tc>
          <w:tcPr>
            <w:tcW w:w="1840" w:type="dxa"/>
            <w:vAlign w:val="bottom"/>
          </w:tcPr>
          <w:p>
            <w:pPr>
              <w:jc w:val="right"/>
              <w:ind w:right="505"/>
              <w:spacing w:after="0"/>
              <w:rPr>
                <w:sz w:val="20"/>
                <w:szCs w:val="20"/>
                <w:color w:val="auto"/>
              </w:rPr>
            </w:pPr>
            <w:r>
              <w:rPr>
                <w:rFonts w:ascii="Arial" w:cs="Arial" w:eastAsia="Arial" w:hAnsi="Arial"/>
                <w:sz w:val="16"/>
                <w:szCs w:val="16"/>
                <w:color w:val="auto"/>
              </w:rPr>
              <w:t>44,914</w:t>
            </w:r>
          </w:p>
        </w:tc>
        <w:tc>
          <w:tcPr>
            <w:tcW w:w="560" w:type="dxa"/>
            <w:vAlign w:val="bottom"/>
          </w:tcPr>
          <w:p>
            <w:pPr>
              <w:spacing w:after="0"/>
              <w:rPr>
                <w:sz w:val="24"/>
                <w:szCs w:val="24"/>
                <w:color w:val="auto"/>
              </w:rPr>
            </w:pPr>
          </w:p>
        </w:tc>
      </w:tr>
      <w:tr>
        <w:trPr>
          <w:trHeight w:val="208"/>
        </w:trPr>
        <w:tc>
          <w:tcPr>
            <w:tcW w:w="7340" w:type="dxa"/>
            <w:vAlign w:val="bottom"/>
          </w:tcPr>
          <w:p>
            <w:pPr>
              <w:spacing w:after="0"/>
              <w:rPr>
                <w:sz w:val="20"/>
                <w:szCs w:val="20"/>
                <w:color w:val="auto"/>
              </w:rPr>
            </w:pPr>
            <w:r>
              <w:rPr>
                <w:rFonts w:ascii="Arial" w:cs="Arial" w:eastAsia="Arial" w:hAnsi="Arial"/>
                <w:sz w:val="16"/>
                <w:szCs w:val="16"/>
                <w:color w:val="auto"/>
              </w:rPr>
              <w:t>Proceeds associated with sales of subsidiaries, property, plant and equipment,</w:t>
            </w:r>
          </w:p>
        </w:tc>
        <w:tc>
          <w:tcPr>
            <w:tcW w:w="1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4"/>
        </w:trPr>
        <w:tc>
          <w:tcPr>
            <w:tcW w:w="7340" w:type="dxa"/>
            <w:vAlign w:val="bottom"/>
          </w:tcPr>
          <w:p>
            <w:pPr>
              <w:ind w:left="240"/>
              <w:spacing w:after="0"/>
              <w:rPr>
                <w:sz w:val="20"/>
                <w:szCs w:val="20"/>
                <w:color w:val="auto"/>
              </w:rPr>
            </w:pPr>
            <w:r>
              <w:rPr>
                <w:rFonts w:ascii="Arial" w:cs="Arial" w:eastAsia="Arial" w:hAnsi="Arial"/>
                <w:sz w:val="16"/>
                <w:szCs w:val="16"/>
                <w:color w:val="auto"/>
              </w:rPr>
              <w:t>and sales and returns of investments</w:t>
            </w:r>
          </w:p>
        </w:tc>
        <w:tc>
          <w:tcPr>
            <w:tcW w:w="120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4,035</w:t>
            </w:r>
          </w:p>
        </w:tc>
        <w:tc>
          <w:tcPr>
            <w:tcW w:w="1840" w:type="dxa"/>
            <w:vAlign w:val="bottom"/>
            <w:tcBorders>
              <w:bottom w:val="single" w:sz="8" w:color="auto"/>
            </w:tcBorders>
          </w:tcPr>
          <w:p>
            <w:pPr>
              <w:jc w:val="right"/>
              <w:ind w:right="505"/>
              <w:spacing w:after="0"/>
              <w:rPr>
                <w:sz w:val="20"/>
                <w:szCs w:val="20"/>
                <w:color w:val="auto"/>
              </w:rPr>
            </w:pPr>
            <w:r>
              <w:rPr>
                <w:rFonts w:ascii="Arial" w:cs="Arial" w:eastAsia="Arial" w:hAnsi="Arial"/>
                <w:sz w:val="16"/>
                <w:szCs w:val="16"/>
                <w:color w:val="auto"/>
              </w:rPr>
              <w:t>2,707</w:t>
            </w:r>
          </w:p>
        </w:tc>
        <w:tc>
          <w:tcPr>
            <w:tcW w:w="560" w:type="dxa"/>
            <w:vAlign w:val="bottom"/>
            <w:tcBorders>
              <w:bottom w:val="single" w:sz="8" w:color="auto"/>
            </w:tcBorders>
          </w:tcPr>
          <w:p>
            <w:pPr>
              <w:spacing w:after="0"/>
              <w:rPr>
                <w:sz w:val="18"/>
                <w:szCs w:val="18"/>
                <w:color w:val="auto"/>
              </w:rPr>
            </w:pPr>
          </w:p>
        </w:tc>
      </w:tr>
      <w:tr>
        <w:trPr>
          <w:trHeight w:val="196"/>
        </w:trPr>
        <w:tc>
          <w:tcPr>
            <w:tcW w:w="7340" w:type="dxa"/>
            <w:vAlign w:val="bottom"/>
          </w:tcPr>
          <w:p>
            <w:pPr>
              <w:ind w:left="240"/>
              <w:spacing w:after="0" w:line="183" w:lineRule="exact"/>
              <w:rPr>
                <w:sz w:val="20"/>
                <w:szCs w:val="20"/>
                <w:color w:val="auto"/>
              </w:rPr>
            </w:pPr>
            <w:r>
              <w:rPr>
                <w:rFonts w:ascii="Arial" w:cs="Arial" w:eastAsia="Arial" w:hAnsi="Arial"/>
                <w:sz w:val="16"/>
                <w:szCs w:val="16"/>
                <w:color w:val="auto"/>
              </w:rPr>
              <w:t>Cash flow from operations and asset sales</w:t>
            </w:r>
          </w:p>
        </w:tc>
        <w:tc>
          <w:tcPr>
            <w:tcW w:w="120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49,151</w:t>
            </w:r>
          </w:p>
        </w:tc>
        <w:tc>
          <w:tcPr>
            <w:tcW w:w="1840" w:type="dxa"/>
            <w:vAlign w:val="bottom"/>
            <w:tcBorders>
              <w:bottom w:val="single" w:sz="8" w:color="auto"/>
            </w:tcBorders>
          </w:tcPr>
          <w:p>
            <w:pPr>
              <w:jc w:val="right"/>
              <w:ind w:right="505"/>
              <w:spacing w:after="0"/>
              <w:rPr>
                <w:sz w:val="20"/>
                <w:szCs w:val="20"/>
                <w:color w:val="auto"/>
              </w:rPr>
            </w:pPr>
            <w:r>
              <w:rPr>
                <w:rFonts w:ascii="Arial" w:cs="Arial" w:eastAsia="Arial" w:hAnsi="Arial"/>
                <w:sz w:val="16"/>
                <w:szCs w:val="16"/>
                <w:color w:val="auto"/>
              </w:rPr>
              <w:t>47,621</w:t>
            </w:r>
          </w:p>
        </w:tc>
        <w:tc>
          <w:tcPr>
            <w:tcW w:w="560" w:type="dxa"/>
            <w:vAlign w:val="bottom"/>
            <w:tcBorders>
              <w:bottom w:val="single" w:sz="8" w:color="auto"/>
            </w:tcBorders>
          </w:tcPr>
          <w:p>
            <w:pPr>
              <w:spacing w:after="0"/>
              <w:rPr>
                <w:sz w:val="17"/>
                <w:szCs w:val="17"/>
                <w:color w:val="auto"/>
              </w:rPr>
            </w:pPr>
          </w:p>
        </w:tc>
      </w:tr>
    </w:tbl>
    <w:p>
      <w:pPr>
        <w:spacing w:after="0" w:line="180"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Capital Employed</w:t>
      </w:r>
    </w:p>
    <w:p>
      <w:pPr>
        <w:spacing w:after="0" w:line="90" w:lineRule="exact"/>
        <w:rPr>
          <w:sz w:val="20"/>
          <w:szCs w:val="20"/>
          <w:color w:val="auto"/>
        </w:rPr>
      </w:pPr>
    </w:p>
    <w:p>
      <w:pPr>
        <w:jc w:val="both"/>
        <w:ind w:left="580"/>
        <w:spacing w:after="0" w:line="289" w:lineRule="auto"/>
        <w:rPr>
          <w:sz w:val="20"/>
          <w:szCs w:val="20"/>
          <w:color w:val="auto"/>
        </w:rPr>
      </w:pPr>
      <w:r>
        <w:rPr>
          <w:rFonts w:ascii="Arial" w:cs="Arial" w:eastAsia="Arial" w:hAnsi="Arial"/>
          <w:sz w:val="15"/>
          <w:szCs w:val="15"/>
          <w:color w:val="auto"/>
        </w:rPr>
        <w:t>Capital employed is a measure of net investment. When viewed from the perspective of how the capital is used by the businesses, it includes ExxonMobil’s net s property, plant and equipment and other assets less liabilities, excluding both short-term and long-term debt. When viewed from the perspective of the sources of employed in total for the Corporation, it includes ExxonMobil’s share of total debt and equity. Both of these views include ExxonMobil’s share of amounts appli equity companies, which the Corporation believes should be included to provide a more comprehensive measure of capital employed.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0" w:type="dxa"/>
            <w:vAlign w:val="bottom"/>
          </w:tcPr>
          <w:p>
            <w:pPr>
              <w:spacing w:after="0"/>
              <w:rPr>
                <w:sz w:val="18"/>
                <w:szCs w:val="18"/>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Capital employed</w:t>
            </w:r>
          </w:p>
        </w:tc>
        <w:tc>
          <w:tcPr>
            <w:tcW w:w="3380" w:type="dxa"/>
            <w:vAlign w:val="bottom"/>
            <w:tcBorders>
              <w:bottom w:val="single" w:sz="8" w:color="auto"/>
            </w:tcBorders>
            <w:gridSpan w:val="2"/>
          </w:tcPr>
          <w:p>
            <w:pPr>
              <w:jc w:val="right"/>
              <w:ind w:right="558"/>
              <w:spacing w:after="0"/>
              <w:rPr>
                <w:sz w:val="20"/>
                <w:szCs w:val="20"/>
                <w:color w:val="auto"/>
              </w:rPr>
            </w:pPr>
            <w:r>
              <w:rPr>
                <w:rFonts w:ascii="Arial" w:cs="Arial" w:eastAsia="Arial" w:hAnsi="Arial"/>
                <w:sz w:val="13"/>
                <w:szCs w:val="13"/>
                <w:b w:val="1"/>
                <w:bCs w:val="1"/>
                <w:color w:val="auto"/>
              </w:rPr>
              <w:t>2014</w:t>
            </w:r>
          </w:p>
        </w:tc>
        <w:tc>
          <w:tcPr>
            <w:tcW w:w="1820" w:type="dxa"/>
            <w:vAlign w:val="bottom"/>
            <w:tcBorders>
              <w:bottom w:val="single" w:sz="8" w:color="auto"/>
            </w:tcBorders>
          </w:tcPr>
          <w:p>
            <w:pPr>
              <w:jc w:val="right"/>
              <w:ind w:right="781"/>
              <w:spacing w:after="0"/>
              <w:rPr>
                <w:sz w:val="20"/>
                <w:szCs w:val="20"/>
                <w:color w:val="auto"/>
              </w:rPr>
            </w:pPr>
            <w:r>
              <w:rPr>
                <w:rFonts w:ascii="Arial" w:cs="Arial" w:eastAsia="Arial" w:hAnsi="Arial"/>
                <w:sz w:val="13"/>
                <w:szCs w:val="13"/>
                <w:b w:val="1"/>
                <w:bCs w:val="1"/>
                <w:color w:val="auto"/>
              </w:rPr>
              <w:t>2013</w:t>
            </w: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w:t>
            </w:r>
          </w:p>
        </w:tc>
      </w:tr>
      <w:tr>
        <w:trPr>
          <w:trHeight w:val="166"/>
        </w:trPr>
        <w:tc>
          <w:tcPr>
            <w:tcW w:w="5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20" w:type="dxa"/>
            <w:vAlign w:val="bottom"/>
          </w:tcPr>
          <w:p>
            <w:pPr>
              <w:jc w:val="right"/>
              <w:ind w:right="401"/>
              <w:spacing w:after="0"/>
              <w:rPr>
                <w:sz w:val="20"/>
                <w:szCs w:val="20"/>
                <w:color w:val="auto"/>
              </w:rPr>
            </w:pPr>
            <w:r>
              <w:rPr>
                <w:rFonts w:ascii="Arial" w:cs="Arial" w:eastAsia="Arial" w:hAnsi="Arial"/>
                <w:sz w:val="13"/>
                <w:szCs w:val="13"/>
                <w:i w:val="1"/>
                <w:iCs w:val="1"/>
                <w:color w:val="auto"/>
              </w:rPr>
              <w:t>(millions of dollars)</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8"/>
        </w:trPr>
        <w:tc>
          <w:tcPr>
            <w:tcW w:w="5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Business uses: asset and liability perspective</w:t>
            </w:r>
          </w:p>
        </w:tc>
        <w:tc>
          <w:tcPr>
            <w:tcW w:w="2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5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Total assets</w:t>
            </w:r>
          </w:p>
        </w:tc>
        <w:tc>
          <w:tcPr>
            <w:tcW w:w="3380" w:type="dxa"/>
            <w:vAlign w:val="bottom"/>
            <w:gridSpan w:val="2"/>
          </w:tcPr>
          <w:p>
            <w:pPr>
              <w:jc w:val="right"/>
              <w:ind w:right="278"/>
              <w:spacing w:after="0"/>
              <w:rPr>
                <w:sz w:val="20"/>
                <w:szCs w:val="20"/>
                <w:color w:val="auto"/>
              </w:rPr>
            </w:pPr>
            <w:r>
              <w:rPr>
                <w:rFonts w:ascii="Arial" w:cs="Arial" w:eastAsia="Arial" w:hAnsi="Arial"/>
                <w:sz w:val="16"/>
                <w:szCs w:val="16"/>
                <w:color w:val="auto"/>
              </w:rPr>
              <w:t>349,493</w:t>
            </w:r>
          </w:p>
        </w:tc>
        <w:tc>
          <w:tcPr>
            <w:tcW w:w="1820" w:type="dxa"/>
            <w:vAlign w:val="bottom"/>
          </w:tcPr>
          <w:p>
            <w:pPr>
              <w:jc w:val="right"/>
              <w:ind w:right="501"/>
              <w:spacing w:after="0"/>
              <w:rPr>
                <w:sz w:val="20"/>
                <w:szCs w:val="20"/>
                <w:color w:val="auto"/>
              </w:rPr>
            </w:pPr>
            <w:r>
              <w:rPr>
                <w:rFonts w:ascii="Arial" w:cs="Arial" w:eastAsia="Arial" w:hAnsi="Arial"/>
                <w:sz w:val="16"/>
                <w:szCs w:val="16"/>
                <w:color w:val="auto"/>
              </w:rPr>
              <w:t>346,808</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w:t>
            </w:r>
          </w:p>
        </w:tc>
      </w:tr>
      <w:tr>
        <w:trPr>
          <w:trHeight w:val="208"/>
        </w:trPr>
        <w:tc>
          <w:tcPr>
            <w:tcW w:w="5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Less liabilities and noncontrolling interests share of assets and liabilities</w:t>
            </w:r>
          </w:p>
        </w:tc>
        <w:tc>
          <w:tcPr>
            <w:tcW w:w="2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580" w:type="dxa"/>
            <w:vAlign w:val="bottom"/>
          </w:tcPr>
          <w:p>
            <w:pPr>
              <w:spacing w:after="0"/>
              <w:rPr>
                <w:sz w:val="18"/>
                <w:szCs w:val="18"/>
                <w:color w:val="auto"/>
              </w:rPr>
            </w:pPr>
          </w:p>
        </w:tc>
        <w:tc>
          <w:tcPr>
            <w:tcW w:w="5180" w:type="dxa"/>
            <w:vAlign w:val="bottom"/>
          </w:tcPr>
          <w:p>
            <w:pPr>
              <w:ind w:left="240"/>
              <w:spacing w:after="0"/>
              <w:rPr>
                <w:sz w:val="20"/>
                <w:szCs w:val="20"/>
                <w:color w:val="auto"/>
              </w:rPr>
            </w:pPr>
            <w:r>
              <w:rPr>
                <w:rFonts w:ascii="Arial" w:cs="Arial" w:eastAsia="Arial" w:hAnsi="Arial"/>
                <w:sz w:val="16"/>
                <w:szCs w:val="16"/>
                <w:color w:val="auto"/>
              </w:rPr>
              <w:t>Total current liabilities excluding notes and loans payable</w:t>
            </w:r>
          </w:p>
        </w:tc>
        <w:tc>
          <w:tcPr>
            <w:tcW w:w="3380" w:type="dxa"/>
            <w:vAlign w:val="bottom"/>
            <w:gridSpan w:val="2"/>
          </w:tcPr>
          <w:p>
            <w:pPr>
              <w:jc w:val="right"/>
              <w:ind w:right="218"/>
              <w:spacing w:after="0"/>
              <w:rPr>
                <w:sz w:val="20"/>
                <w:szCs w:val="20"/>
                <w:color w:val="auto"/>
              </w:rPr>
            </w:pPr>
            <w:r>
              <w:rPr>
                <w:rFonts w:ascii="Arial" w:cs="Arial" w:eastAsia="Arial" w:hAnsi="Arial"/>
                <w:sz w:val="16"/>
                <w:szCs w:val="16"/>
                <w:color w:val="auto"/>
              </w:rPr>
              <w:t>(47,165)</w:t>
            </w:r>
          </w:p>
        </w:tc>
        <w:tc>
          <w:tcPr>
            <w:tcW w:w="1820" w:type="dxa"/>
            <w:vAlign w:val="bottom"/>
          </w:tcPr>
          <w:p>
            <w:pPr>
              <w:jc w:val="right"/>
              <w:ind w:right="441"/>
              <w:spacing w:after="0"/>
              <w:rPr>
                <w:sz w:val="20"/>
                <w:szCs w:val="20"/>
                <w:color w:val="auto"/>
              </w:rPr>
            </w:pPr>
            <w:r>
              <w:rPr>
                <w:rFonts w:ascii="Arial" w:cs="Arial" w:eastAsia="Arial" w:hAnsi="Arial"/>
                <w:sz w:val="16"/>
                <w:szCs w:val="16"/>
                <w:color w:val="auto"/>
              </w:rPr>
              <w:t>(55,916)</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580" w:type="dxa"/>
            <w:vAlign w:val="bottom"/>
          </w:tcPr>
          <w:p>
            <w:pPr>
              <w:spacing w:after="0"/>
              <w:rPr>
                <w:sz w:val="18"/>
                <w:szCs w:val="18"/>
                <w:color w:val="auto"/>
              </w:rPr>
            </w:pPr>
          </w:p>
        </w:tc>
        <w:tc>
          <w:tcPr>
            <w:tcW w:w="5180" w:type="dxa"/>
            <w:vAlign w:val="bottom"/>
          </w:tcPr>
          <w:p>
            <w:pPr>
              <w:ind w:left="240"/>
              <w:spacing w:after="0"/>
              <w:rPr>
                <w:sz w:val="20"/>
                <w:szCs w:val="20"/>
                <w:color w:val="auto"/>
              </w:rPr>
            </w:pPr>
            <w:r>
              <w:rPr>
                <w:rFonts w:ascii="Arial" w:cs="Arial" w:eastAsia="Arial" w:hAnsi="Arial"/>
                <w:sz w:val="16"/>
                <w:szCs w:val="16"/>
                <w:color w:val="auto"/>
              </w:rPr>
              <w:t>Total long-term liabilities excluding long-term debt</w:t>
            </w:r>
          </w:p>
        </w:tc>
        <w:tc>
          <w:tcPr>
            <w:tcW w:w="3380" w:type="dxa"/>
            <w:vAlign w:val="bottom"/>
            <w:gridSpan w:val="2"/>
          </w:tcPr>
          <w:p>
            <w:pPr>
              <w:jc w:val="right"/>
              <w:ind w:right="218"/>
              <w:spacing w:after="0"/>
              <w:rPr>
                <w:sz w:val="20"/>
                <w:szCs w:val="20"/>
                <w:color w:val="auto"/>
              </w:rPr>
            </w:pPr>
            <w:r>
              <w:rPr>
                <w:rFonts w:ascii="Arial" w:cs="Arial" w:eastAsia="Arial" w:hAnsi="Arial"/>
                <w:sz w:val="16"/>
                <w:szCs w:val="16"/>
                <w:color w:val="auto"/>
              </w:rPr>
              <w:t>(92,143)</w:t>
            </w:r>
          </w:p>
        </w:tc>
        <w:tc>
          <w:tcPr>
            <w:tcW w:w="1820" w:type="dxa"/>
            <w:vAlign w:val="bottom"/>
          </w:tcPr>
          <w:p>
            <w:pPr>
              <w:jc w:val="right"/>
              <w:ind w:right="441"/>
              <w:spacing w:after="0"/>
              <w:rPr>
                <w:sz w:val="20"/>
                <w:szCs w:val="20"/>
                <w:color w:val="auto"/>
              </w:rPr>
            </w:pPr>
            <w:r>
              <w:rPr>
                <w:rFonts w:ascii="Arial" w:cs="Arial" w:eastAsia="Arial" w:hAnsi="Arial"/>
                <w:sz w:val="16"/>
                <w:szCs w:val="16"/>
                <w:color w:val="auto"/>
              </w:rPr>
              <w:t>(87,698)</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580" w:type="dxa"/>
            <w:vAlign w:val="bottom"/>
          </w:tcPr>
          <w:p>
            <w:pPr>
              <w:spacing w:after="0"/>
              <w:rPr>
                <w:sz w:val="18"/>
                <w:szCs w:val="18"/>
                <w:color w:val="auto"/>
              </w:rPr>
            </w:pPr>
          </w:p>
        </w:tc>
        <w:tc>
          <w:tcPr>
            <w:tcW w:w="5180" w:type="dxa"/>
            <w:vAlign w:val="bottom"/>
          </w:tcPr>
          <w:p>
            <w:pPr>
              <w:ind w:left="240"/>
              <w:spacing w:after="0"/>
              <w:rPr>
                <w:sz w:val="20"/>
                <w:szCs w:val="20"/>
                <w:color w:val="auto"/>
              </w:rPr>
            </w:pPr>
            <w:r>
              <w:rPr>
                <w:rFonts w:ascii="Arial" w:cs="Arial" w:eastAsia="Arial" w:hAnsi="Arial"/>
                <w:sz w:val="16"/>
                <w:szCs w:val="16"/>
                <w:color w:val="auto"/>
              </w:rPr>
              <w:t>Noncontrolling interests share of assets and liabilities</w:t>
            </w:r>
          </w:p>
        </w:tc>
        <w:tc>
          <w:tcPr>
            <w:tcW w:w="3380" w:type="dxa"/>
            <w:vAlign w:val="bottom"/>
            <w:gridSpan w:val="2"/>
          </w:tcPr>
          <w:p>
            <w:pPr>
              <w:jc w:val="right"/>
              <w:ind w:right="218"/>
              <w:spacing w:after="0"/>
              <w:rPr>
                <w:sz w:val="20"/>
                <w:szCs w:val="20"/>
                <w:color w:val="auto"/>
              </w:rPr>
            </w:pPr>
            <w:r>
              <w:rPr>
                <w:rFonts w:ascii="Arial" w:cs="Arial" w:eastAsia="Arial" w:hAnsi="Arial"/>
                <w:sz w:val="16"/>
                <w:szCs w:val="16"/>
                <w:color w:val="auto"/>
              </w:rPr>
              <w:t>(9,099)</w:t>
            </w:r>
          </w:p>
        </w:tc>
        <w:tc>
          <w:tcPr>
            <w:tcW w:w="1820" w:type="dxa"/>
            <w:vAlign w:val="bottom"/>
          </w:tcPr>
          <w:p>
            <w:pPr>
              <w:jc w:val="right"/>
              <w:ind w:right="441"/>
              <w:spacing w:after="0"/>
              <w:rPr>
                <w:sz w:val="20"/>
                <w:szCs w:val="20"/>
                <w:color w:val="auto"/>
              </w:rPr>
            </w:pPr>
            <w:r>
              <w:rPr>
                <w:rFonts w:ascii="Arial" w:cs="Arial" w:eastAsia="Arial" w:hAnsi="Arial"/>
                <w:sz w:val="16"/>
                <w:szCs w:val="16"/>
                <w:color w:val="auto"/>
              </w:rPr>
              <w:t>(8,935)</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Add ExxonMobil share of debt-financed equity company net assets</w:t>
            </w:r>
          </w:p>
        </w:tc>
        <w:tc>
          <w:tcPr>
            <w:tcW w:w="3380" w:type="dxa"/>
            <w:vAlign w:val="bottom"/>
            <w:gridSpan w:val="2"/>
          </w:tcPr>
          <w:p>
            <w:pPr>
              <w:jc w:val="right"/>
              <w:ind w:right="278"/>
              <w:spacing w:after="0"/>
              <w:rPr>
                <w:sz w:val="20"/>
                <w:szCs w:val="20"/>
                <w:color w:val="auto"/>
              </w:rPr>
            </w:pPr>
            <w:r>
              <w:rPr>
                <w:rFonts w:ascii="Arial" w:cs="Arial" w:eastAsia="Arial" w:hAnsi="Arial"/>
                <w:sz w:val="16"/>
                <w:szCs w:val="16"/>
                <w:color w:val="auto"/>
              </w:rPr>
              <w:t>4,766</w:t>
            </w:r>
          </w:p>
        </w:tc>
        <w:tc>
          <w:tcPr>
            <w:tcW w:w="1820" w:type="dxa"/>
            <w:vAlign w:val="bottom"/>
          </w:tcPr>
          <w:p>
            <w:pPr>
              <w:jc w:val="right"/>
              <w:ind w:right="501"/>
              <w:spacing w:after="0"/>
              <w:rPr>
                <w:sz w:val="20"/>
                <w:szCs w:val="20"/>
                <w:color w:val="auto"/>
              </w:rPr>
            </w:pPr>
            <w:r>
              <w:rPr>
                <w:rFonts w:ascii="Arial" w:cs="Arial" w:eastAsia="Arial" w:hAnsi="Arial"/>
                <w:sz w:val="16"/>
                <w:szCs w:val="16"/>
                <w:color w:val="auto"/>
              </w:rPr>
              <w:t>6,109</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580" w:type="dxa"/>
            <w:vAlign w:val="bottom"/>
          </w:tcPr>
          <w:p>
            <w:pPr>
              <w:spacing w:after="0"/>
              <w:rPr>
                <w:sz w:val="17"/>
                <w:szCs w:val="17"/>
                <w:color w:val="auto"/>
              </w:rPr>
            </w:pPr>
          </w:p>
        </w:tc>
        <w:tc>
          <w:tcPr>
            <w:tcW w:w="5180" w:type="dxa"/>
            <w:vAlign w:val="bottom"/>
          </w:tcPr>
          <w:p>
            <w:pPr>
              <w:ind w:left="240"/>
              <w:spacing w:after="0" w:line="183" w:lineRule="exact"/>
              <w:rPr>
                <w:sz w:val="20"/>
                <w:szCs w:val="20"/>
                <w:color w:val="auto"/>
              </w:rPr>
            </w:pPr>
            <w:r>
              <w:rPr>
                <w:rFonts w:ascii="Arial" w:cs="Arial" w:eastAsia="Arial" w:hAnsi="Arial"/>
                <w:sz w:val="16"/>
                <w:szCs w:val="16"/>
                <w:color w:val="auto"/>
              </w:rPr>
              <w:t>Total capital employed</w:t>
            </w:r>
          </w:p>
        </w:tc>
        <w:tc>
          <w:tcPr>
            <w:tcW w:w="216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6"/>
                <w:szCs w:val="16"/>
                <w:color w:val="auto"/>
              </w:rPr>
              <w:t>205,852</w:t>
            </w:r>
          </w:p>
        </w:tc>
        <w:tc>
          <w:tcPr>
            <w:tcW w:w="182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6"/>
                <w:szCs w:val="16"/>
                <w:color w:val="auto"/>
              </w:rPr>
              <w:t>200,368</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w:t>
            </w:r>
          </w:p>
        </w:tc>
      </w:tr>
      <w:tr>
        <w:trPr>
          <w:trHeight w:val="383"/>
        </w:trPr>
        <w:tc>
          <w:tcPr>
            <w:tcW w:w="580" w:type="dxa"/>
            <w:vAlign w:val="bottom"/>
          </w:tcPr>
          <w:p>
            <w:pPr>
              <w:spacing w:after="0"/>
              <w:rPr>
                <w:sz w:val="24"/>
                <w:szCs w:val="24"/>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Total corporate sources: debt and equity perspective</w:t>
            </w:r>
          </w:p>
        </w:tc>
        <w:tc>
          <w:tcPr>
            <w:tcW w:w="2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8"/>
        </w:trPr>
        <w:tc>
          <w:tcPr>
            <w:tcW w:w="5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Notes and loans payable</w:t>
            </w:r>
          </w:p>
        </w:tc>
        <w:tc>
          <w:tcPr>
            <w:tcW w:w="3380" w:type="dxa"/>
            <w:vAlign w:val="bottom"/>
            <w:gridSpan w:val="2"/>
          </w:tcPr>
          <w:p>
            <w:pPr>
              <w:jc w:val="right"/>
              <w:ind w:right="278"/>
              <w:spacing w:after="0"/>
              <w:rPr>
                <w:sz w:val="20"/>
                <w:szCs w:val="20"/>
                <w:color w:val="auto"/>
              </w:rPr>
            </w:pPr>
            <w:r>
              <w:rPr>
                <w:rFonts w:ascii="Arial" w:cs="Arial" w:eastAsia="Arial" w:hAnsi="Arial"/>
                <w:sz w:val="16"/>
                <w:szCs w:val="16"/>
                <w:color w:val="auto"/>
              </w:rPr>
              <w:t>17,468</w:t>
            </w:r>
          </w:p>
        </w:tc>
        <w:tc>
          <w:tcPr>
            <w:tcW w:w="1820" w:type="dxa"/>
            <w:vAlign w:val="bottom"/>
          </w:tcPr>
          <w:p>
            <w:pPr>
              <w:jc w:val="right"/>
              <w:ind w:right="501"/>
              <w:spacing w:after="0"/>
              <w:rPr>
                <w:sz w:val="20"/>
                <w:szCs w:val="20"/>
                <w:color w:val="auto"/>
              </w:rPr>
            </w:pPr>
            <w:r>
              <w:rPr>
                <w:rFonts w:ascii="Arial" w:cs="Arial" w:eastAsia="Arial" w:hAnsi="Arial"/>
                <w:sz w:val="16"/>
                <w:szCs w:val="16"/>
                <w:color w:val="auto"/>
              </w:rPr>
              <w:t>15,808</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5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Long-term debt</w:t>
            </w:r>
          </w:p>
        </w:tc>
        <w:tc>
          <w:tcPr>
            <w:tcW w:w="3380" w:type="dxa"/>
            <w:vAlign w:val="bottom"/>
            <w:gridSpan w:val="2"/>
          </w:tcPr>
          <w:p>
            <w:pPr>
              <w:jc w:val="right"/>
              <w:ind w:right="278"/>
              <w:spacing w:after="0"/>
              <w:rPr>
                <w:sz w:val="20"/>
                <w:szCs w:val="20"/>
                <w:color w:val="auto"/>
              </w:rPr>
            </w:pPr>
            <w:r>
              <w:rPr>
                <w:rFonts w:ascii="Arial" w:cs="Arial" w:eastAsia="Arial" w:hAnsi="Arial"/>
                <w:sz w:val="16"/>
                <w:szCs w:val="16"/>
                <w:color w:val="auto"/>
              </w:rPr>
              <w:t>11,653</w:t>
            </w:r>
          </w:p>
        </w:tc>
        <w:tc>
          <w:tcPr>
            <w:tcW w:w="1820" w:type="dxa"/>
            <w:vAlign w:val="bottom"/>
          </w:tcPr>
          <w:p>
            <w:pPr>
              <w:jc w:val="right"/>
              <w:ind w:right="501"/>
              <w:spacing w:after="0"/>
              <w:rPr>
                <w:sz w:val="20"/>
                <w:szCs w:val="20"/>
                <w:color w:val="auto"/>
              </w:rPr>
            </w:pPr>
            <w:r>
              <w:rPr>
                <w:rFonts w:ascii="Arial" w:cs="Arial" w:eastAsia="Arial" w:hAnsi="Arial"/>
                <w:sz w:val="16"/>
                <w:szCs w:val="16"/>
                <w:color w:val="auto"/>
              </w:rPr>
              <w:t>6,891</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5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ExxonMobil share of equity</w:t>
            </w:r>
          </w:p>
        </w:tc>
        <w:tc>
          <w:tcPr>
            <w:tcW w:w="3380" w:type="dxa"/>
            <w:vAlign w:val="bottom"/>
            <w:gridSpan w:val="2"/>
          </w:tcPr>
          <w:p>
            <w:pPr>
              <w:jc w:val="right"/>
              <w:ind w:right="278"/>
              <w:spacing w:after="0"/>
              <w:rPr>
                <w:sz w:val="20"/>
                <w:szCs w:val="20"/>
                <w:color w:val="auto"/>
              </w:rPr>
            </w:pPr>
            <w:r>
              <w:rPr>
                <w:rFonts w:ascii="Arial" w:cs="Arial" w:eastAsia="Arial" w:hAnsi="Arial"/>
                <w:sz w:val="16"/>
                <w:szCs w:val="16"/>
                <w:color w:val="auto"/>
              </w:rPr>
              <w:t>174,399</w:t>
            </w:r>
          </w:p>
        </w:tc>
        <w:tc>
          <w:tcPr>
            <w:tcW w:w="1820" w:type="dxa"/>
            <w:vAlign w:val="bottom"/>
          </w:tcPr>
          <w:p>
            <w:pPr>
              <w:jc w:val="right"/>
              <w:ind w:right="501"/>
              <w:spacing w:after="0"/>
              <w:rPr>
                <w:sz w:val="20"/>
                <w:szCs w:val="20"/>
                <w:color w:val="auto"/>
              </w:rPr>
            </w:pPr>
            <w:r>
              <w:rPr>
                <w:rFonts w:ascii="Arial" w:cs="Arial" w:eastAsia="Arial" w:hAnsi="Arial"/>
                <w:sz w:val="16"/>
                <w:szCs w:val="16"/>
                <w:color w:val="auto"/>
              </w:rPr>
              <w:t>174,003</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08"/>
        </w:trPr>
        <w:tc>
          <w:tcPr>
            <w:tcW w:w="5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Less noncontrolling interests share of total debt</w:t>
            </w:r>
          </w:p>
        </w:tc>
        <w:tc>
          <w:tcPr>
            <w:tcW w:w="3380" w:type="dxa"/>
            <w:vAlign w:val="bottom"/>
            <w:gridSpan w:val="2"/>
          </w:tcPr>
          <w:p>
            <w:pPr>
              <w:jc w:val="right"/>
              <w:ind w:right="218"/>
              <w:spacing w:after="0"/>
              <w:rPr>
                <w:sz w:val="20"/>
                <w:szCs w:val="20"/>
                <w:color w:val="auto"/>
              </w:rPr>
            </w:pPr>
            <w:r>
              <w:rPr>
                <w:rFonts w:ascii="Arial" w:cs="Arial" w:eastAsia="Arial" w:hAnsi="Arial"/>
                <w:sz w:val="16"/>
                <w:szCs w:val="16"/>
                <w:color w:val="auto"/>
              </w:rPr>
              <w:t>(2,434)</w:t>
            </w:r>
          </w:p>
        </w:tc>
        <w:tc>
          <w:tcPr>
            <w:tcW w:w="1820" w:type="dxa"/>
            <w:vAlign w:val="bottom"/>
          </w:tcPr>
          <w:p>
            <w:pPr>
              <w:jc w:val="right"/>
              <w:ind w:right="441"/>
              <w:spacing w:after="0"/>
              <w:rPr>
                <w:sz w:val="20"/>
                <w:szCs w:val="20"/>
                <w:color w:val="auto"/>
              </w:rPr>
            </w:pPr>
            <w:r>
              <w:rPr>
                <w:rFonts w:ascii="Arial" w:cs="Arial" w:eastAsia="Arial" w:hAnsi="Arial"/>
                <w:sz w:val="16"/>
                <w:szCs w:val="16"/>
                <w:color w:val="auto"/>
              </w:rPr>
              <w:t>(2,443)</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Add ExxonMobil share of equity company debt</w:t>
            </w:r>
          </w:p>
        </w:tc>
        <w:tc>
          <w:tcPr>
            <w:tcW w:w="3380" w:type="dxa"/>
            <w:vAlign w:val="bottom"/>
            <w:gridSpan w:val="2"/>
          </w:tcPr>
          <w:p>
            <w:pPr>
              <w:jc w:val="right"/>
              <w:ind w:right="278"/>
              <w:spacing w:after="0"/>
              <w:rPr>
                <w:sz w:val="20"/>
                <w:szCs w:val="20"/>
                <w:color w:val="auto"/>
              </w:rPr>
            </w:pPr>
            <w:r>
              <w:rPr>
                <w:rFonts w:ascii="Arial" w:cs="Arial" w:eastAsia="Arial" w:hAnsi="Arial"/>
                <w:sz w:val="16"/>
                <w:szCs w:val="16"/>
                <w:color w:val="auto"/>
              </w:rPr>
              <w:t>4,766</w:t>
            </w:r>
          </w:p>
        </w:tc>
        <w:tc>
          <w:tcPr>
            <w:tcW w:w="1820" w:type="dxa"/>
            <w:vAlign w:val="bottom"/>
          </w:tcPr>
          <w:p>
            <w:pPr>
              <w:jc w:val="right"/>
              <w:ind w:right="501"/>
              <w:spacing w:after="0"/>
              <w:rPr>
                <w:sz w:val="20"/>
                <w:szCs w:val="20"/>
                <w:color w:val="auto"/>
              </w:rPr>
            </w:pPr>
            <w:r>
              <w:rPr>
                <w:rFonts w:ascii="Arial" w:cs="Arial" w:eastAsia="Arial" w:hAnsi="Arial"/>
                <w:sz w:val="16"/>
                <w:szCs w:val="16"/>
                <w:color w:val="auto"/>
              </w:rPr>
              <w:t>6,109</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580" w:type="dxa"/>
            <w:vAlign w:val="bottom"/>
          </w:tcPr>
          <w:p>
            <w:pPr>
              <w:spacing w:after="0"/>
              <w:rPr>
                <w:sz w:val="17"/>
                <w:szCs w:val="17"/>
                <w:color w:val="auto"/>
              </w:rPr>
            </w:pPr>
          </w:p>
        </w:tc>
        <w:tc>
          <w:tcPr>
            <w:tcW w:w="5180" w:type="dxa"/>
            <w:vAlign w:val="bottom"/>
          </w:tcPr>
          <w:p>
            <w:pPr>
              <w:ind w:left="240"/>
              <w:spacing w:after="0" w:line="183" w:lineRule="exact"/>
              <w:rPr>
                <w:sz w:val="20"/>
                <w:szCs w:val="20"/>
                <w:color w:val="auto"/>
              </w:rPr>
            </w:pPr>
            <w:r>
              <w:rPr>
                <w:rFonts w:ascii="Arial" w:cs="Arial" w:eastAsia="Arial" w:hAnsi="Arial"/>
                <w:sz w:val="16"/>
                <w:szCs w:val="16"/>
                <w:color w:val="auto"/>
              </w:rPr>
              <w:t>Total capital employed</w:t>
            </w:r>
          </w:p>
        </w:tc>
        <w:tc>
          <w:tcPr>
            <w:tcW w:w="216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6"/>
                <w:szCs w:val="16"/>
                <w:color w:val="auto"/>
              </w:rPr>
              <w:t>205,852</w:t>
            </w:r>
          </w:p>
        </w:tc>
        <w:tc>
          <w:tcPr>
            <w:tcW w:w="182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6"/>
                <w:szCs w:val="16"/>
                <w:color w:val="auto"/>
              </w:rPr>
              <w:t>200,368</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w:t>
            </w:r>
          </w:p>
        </w:tc>
      </w:tr>
      <w:tr>
        <w:trPr>
          <w:trHeight w:val="212"/>
        </w:trPr>
        <w:tc>
          <w:tcPr>
            <w:tcW w:w="5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160" w:type="dxa"/>
            <w:vAlign w:val="bottom"/>
          </w:tcPr>
          <w:p>
            <w:pPr>
              <w:jc w:val="right"/>
              <w:ind w:right="1480"/>
              <w:spacing w:after="0"/>
              <w:rPr>
                <w:sz w:val="20"/>
                <w:szCs w:val="20"/>
                <w:color w:val="auto"/>
              </w:rPr>
            </w:pPr>
            <w:r>
              <w:rPr>
                <w:rFonts w:ascii="Arial" w:cs="Arial" w:eastAsia="Arial" w:hAnsi="Arial"/>
                <w:sz w:val="16"/>
                <w:szCs w:val="16"/>
                <w:color w:val="auto"/>
              </w:rPr>
              <w:t>37</w:t>
            </w:r>
          </w:p>
        </w:tc>
        <w:tc>
          <w:tcPr>
            <w:tcW w:w="1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745"/>
        </w:trPr>
        <w:tc>
          <w:tcPr>
            <w:tcW w:w="580" w:type="dxa"/>
            <w:vAlign w:val="bottom"/>
            <w:tcBorders>
              <w:bottom w:val="single" w:sz="8" w:color="808080"/>
            </w:tcBorders>
          </w:tcPr>
          <w:p>
            <w:pPr>
              <w:spacing w:after="0"/>
              <w:rPr>
                <w:sz w:val="24"/>
                <w:szCs w:val="24"/>
                <w:color w:val="auto"/>
              </w:rPr>
            </w:pPr>
          </w:p>
        </w:tc>
        <w:tc>
          <w:tcPr>
            <w:tcW w:w="518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589" w:right="139" w:bottom="1440" w:gutter="0" w:footer="0" w:header="0"/>
        </w:sectPr>
      </w:pPr>
    </w:p>
    <w:bookmarkStart w:id="39" w:name="page40"/>
    <w:bookmarkEnd w:id="39"/>
    <w:p>
      <w:pPr>
        <w:ind w:left="580"/>
        <w:spacing w:after="0"/>
        <w:rPr>
          <w:sz w:val="20"/>
          <w:szCs w:val="20"/>
          <w:color w:val="auto"/>
        </w:rPr>
      </w:pPr>
      <w:r>
        <w:rPr>
          <w:rFonts w:ascii="Arial" w:cs="Arial" w:eastAsia="Arial" w:hAnsi="Arial"/>
          <w:sz w:val="16"/>
          <w:szCs w:val="16"/>
          <w:b w:val="1"/>
          <w:bCs w:val="1"/>
          <w:color w:val="auto"/>
        </w:rPr>
        <w:t>FREQUENTLY USED TERMS</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Return on Average Capital Employed</w:t>
      </w:r>
    </w:p>
    <w:p>
      <w:pPr>
        <w:spacing w:after="0" w:line="90" w:lineRule="exact"/>
        <w:rPr>
          <w:sz w:val="20"/>
          <w:szCs w:val="20"/>
          <w:color w:val="auto"/>
        </w:rPr>
      </w:pPr>
    </w:p>
    <w:p>
      <w:pPr>
        <w:jc w:val="both"/>
        <w:ind w:left="580"/>
        <w:spacing w:after="0" w:line="260" w:lineRule="auto"/>
        <w:rPr>
          <w:sz w:val="20"/>
          <w:szCs w:val="20"/>
          <w:color w:val="auto"/>
        </w:rPr>
      </w:pPr>
      <w:r>
        <w:rPr>
          <w:rFonts w:ascii="Arial" w:cs="Arial" w:eastAsia="Arial" w:hAnsi="Arial"/>
          <w:sz w:val="16"/>
          <w:szCs w:val="16"/>
          <w:color w:val="auto"/>
        </w:rPr>
        <w:t>Return on average capital employed (ROCE) is a performance measure ratio. From the perspective of the business segments, ROCE is annual business segment e divided by average business segment capital employed (average of beginning and end-of-year amounts). These segment earnings include ExxonMobil’s share of s earnings of equity companies, consistent with our capital employed definition, and exclude the cost of financing. The Corporation’s total ROCE is net income attribu ExxonMobil excluding the after-tax cost of financing, divided by total corporate average capital employed. The Corporation has consistently applied its ROCE defini many years and views it as the best measure of historical capital productivity in our capital-intensive, long-term industry, both to evaluate management’s performanc demonstrate to shareholders that capital has been used wisely over the long term. Additional measures, which are more cash flow based, are used to make inv decisions.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0" w:type="dxa"/>
            <w:vAlign w:val="bottom"/>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Return on average capital employed</w:t>
            </w:r>
          </w:p>
        </w:tc>
        <w:tc>
          <w:tcPr>
            <w:tcW w:w="4020" w:type="dxa"/>
            <w:vAlign w:val="bottom"/>
            <w:tcBorders>
              <w:bottom w:val="single" w:sz="8" w:color="auto"/>
            </w:tcBorders>
            <w:gridSpan w:val="2"/>
          </w:tcPr>
          <w:p>
            <w:pPr>
              <w:jc w:val="right"/>
              <w:ind w:right="538"/>
              <w:spacing w:after="0"/>
              <w:rPr>
                <w:sz w:val="20"/>
                <w:szCs w:val="20"/>
                <w:color w:val="auto"/>
              </w:rPr>
            </w:pPr>
            <w:r>
              <w:rPr>
                <w:rFonts w:ascii="Arial" w:cs="Arial" w:eastAsia="Arial" w:hAnsi="Arial"/>
                <w:sz w:val="13"/>
                <w:szCs w:val="13"/>
                <w:b w:val="1"/>
                <w:bCs w:val="1"/>
                <w:color w:val="auto"/>
              </w:rPr>
              <w:t>2014</w:t>
            </w:r>
          </w:p>
        </w:tc>
        <w:tc>
          <w:tcPr>
            <w:tcW w:w="1820" w:type="dxa"/>
            <w:vAlign w:val="bottom"/>
            <w:tcBorders>
              <w:bottom w:val="single" w:sz="8" w:color="auto"/>
            </w:tcBorders>
          </w:tcPr>
          <w:p>
            <w:pPr>
              <w:jc w:val="right"/>
              <w:ind w:right="762"/>
              <w:spacing w:after="0"/>
              <w:rPr>
                <w:sz w:val="20"/>
                <w:szCs w:val="20"/>
                <w:color w:val="auto"/>
              </w:rPr>
            </w:pPr>
            <w:r>
              <w:rPr>
                <w:rFonts w:ascii="Arial" w:cs="Arial" w:eastAsia="Arial" w:hAnsi="Arial"/>
                <w:sz w:val="13"/>
                <w:szCs w:val="13"/>
                <w:b w:val="1"/>
                <w:bCs w:val="1"/>
                <w:color w:val="auto"/>
              </w:rPr>
              <w:t>2013</w:t>
            </w:r>
          </w:p>
        </w:tc>
        <w:tc>
          <w:tcPr>
            <w:tcW w:w="560" w:type="dxa"/>
            <w:vAlign w:val="bottom"/>
            <w:tcBorders>
              <w:bottom w:val="single" w:sz="8" w:color="auto"/>
            </w:tcBorders>
            <w:gridSpan w:val="2"/>
          </w:tcPr>
          <w:p>
            <w:pPr>
              <w:ind w:left="480"/>
              <w:spacing w:after="0"/>
              <w:rPr>
                <w:sz w:val="20"/>
                <w:szCs w:val="20"/>
                <w:color w:val="auto"/>
              </w:rPr>
            </w:pPr>
            <w:r>
              <w:rPr>
                <w:rFonts w:ascii="Arial" w:cs="Arial" w:eastAsia="Arial" w:hAnsi="Arial"/>
                <w:sz w:val="13"/>
                <w:szCs w:val="13"/>
                <w:b w:val="1"/>
                <w:bCs w:val="1"/>
                <w:color w:val="auto"/>
                <w:w w:val="82"/>
              </w:rPr>
              <w:t>2</w:t>
            </w:r>
          </w:p>
        </w:tc>
      </w:tr>
      <w:tr>
        <w:trPr>
          <w:trHeight w:val="172"/>
        </w:trPr>
        <w:tc>
          <w:tcPr>
            <w:tcW w:w="5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20" w:type="dxa"/>
            <w:vAlign w:val="bottom"/>
          </w:tcPr>
          <w:p>
            <w:pPr>
              <w:jc w:val="right"/>
              <w:ind w:right="382"/>
              <w:spacing w:after="0"/>
              <w:rPr>
                <w:sz w:val="20"/>
                <w:szCs w:val="20"/>
                <w:color w:val="auto"/>
              </w:rPr>
            </w:pPr>
            <w:r>
              <w:rPr>
                <w:rFonts w:ascii="Arial" w:cs="Arial" w:eastAsia="Arial" w:hAnsi="Arial"/>
                <w:sz w:val="13"/>
                <w:szCs w:val="13"/>
                <w:i w:val="1"/>
                <w:iCs w:val="1"/>
                <w:color w:val="auto"/>
              </w:rPr>
              <w:t>(millions of dollars)</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14"/>
        </w:trPr>
        <w:tc>
          <w:tcPr>
            <w:tcW w:w="580" w:type="dxa"/>
            <w:vAlign w:val="bottom"/>
          </w:tcPr>
          <w:p>
            <w:pPr>
              <w:spacing w:after="0"/>
              <w:rPr>
                <w:sz w:val="24"/>
                <w:szCs w:val="24"/>
                <w:color w:val="auto"/>
              </w:rPr>
            </w:pPr>
          </w:p>
        </w:tc>
        <w:tc>
          <w:tcPr>
            <w:tcW w:w="4540" w:type="dxa"/>
            <w:vAlign w:val="bottom"/>
          </w:tcPr>
          <w:p>
            <w:pPr>
              <w:spacing w:after="0"/>
              <w:rPr>
                <w:sz w:val="20"/>
                <w:szCs w:val="20"/>
                <w:color w:val="auto"/>
              </w:rPr>
            </w:pPr>
            <w:r>
              <w:rPr>
                <w:rFonts w:ascii="Arial" w:cs="Arial" w:eastAsia="Arial" w:hAnsi="Arial"/>
                <w:sz w:val="16"/>
                <w:szCs w:val="16"/>
                <w:color w:val="auto"/>
              </w:rPr>
              <w:t>Net income attributable to ExxonMobil</w:t>
            </w:r>
          </w:p>
        </w:tc>
        <w:tc>
          <w:tcPr>
            <w:tcW w:w="4020" w:type="dxa"/>
            <w:vAlign w:val="bottom"/>
            <w:gridSpan w:val="2"/>
          </w:tcPr>
          <w:p>
            <w:pPr>
              <w:jc w:val="right"/>
              <w:ind w:right="258"/>
              <w:spacing w:after="0"/>
              <w:rPr>
                <w:sz w:val="20"/>
                <w:szCs w:val="20"/>
                <w:color w:val="auto"/>
              </w:rPr>
            </w:pPr>
            <w:r>
              <w:rPr>
                <w:rFonts w:ascii="Arial" w:cs="Arial" w:eastAsia="Arial" w:hAnsi="Arial"/>
                <w:sz w:val="16"/>
                <w:szCs w:val="16"/>
                <w:color w:val="auto"/>
              </w:rPr>
              <w:t>32,520</w:t>
            </w:r>
          </w:p>
        </w:tc>
        <w:tc>
          <w:tcPr>
            <w:tcW w:w="1820" w:type="dxa"/>
            <w:vAlign w:val="bottom"/>
          </w:tcPr>
          <w:p>
            <w:pPr>
              <w:jc w:val="right"/>
              <w:ind w:right="502"/>
              <w:spacing w:after="0"/>
              <w:rPr>
                <w:sz w:val="20"/>
                <w:szCs w:val="20"/>
                <w:color w:val="auto"/>
              </w:rPr>
            </w:pPr>
            <w:r>
              <w:rPr>
                <w:rFonts w:ascii="Arial" w:cs="Arial" w:eastAsia="Arial" w:hAnsi="Arial"/>
                <w:sz w:val="16"/>
                <w:szCs w:val="16"/>
                <w:color w:val="auto"/>
              </w:rPr>
              <w:t>32,580</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8"/>
        </w:trPr>
        <w:tc>
          <w:tcPr>
            <w:tcW w:w="5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6"/>
                <w:szCs w:val="16"/>
                <w:color w:val="auto"/>
              </w:rPr>
              <w:t>Financing costs (after tax)</w:t>
            </w:r>
          </w:p>
        </w:tc>
        <w:tc>
          <w:tcPr>
            <w:tcW w:w="2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580" w:type="dxa"/>
            <w:vAlign w:val="bottom"/>
          </w:tcPr>
          <w:p>
            <w:pPr>
              <w:spacing w:after="0"/>
              <w:rPr>
                <w:sz w:val="18"/>
                <w:szCs w:val="18"/>
                <w:color w:val="auto"/>
              </w:rPr>
            </w:pPr>
          </w:p>
        </w:tc>
        <w:tc>
          <w:tcPr>
            <w:tcW w:w="4540" w:type="dxa"/>
            <w:vAlign w:val="bottom"/>
          </w:tcPr>
          <w:p>
            <w:pPr>
              <w:ind w:left="240"/>
              <w:spacing w:after="0"/>
              <w:rPr>
                <w:sz w:val="20"/>
                <w:szCs w:val="20"/>
                <w:color w:val="auto"/>
              </w:rPr>
            </w:pPr>
            <w:r>
              <w:rPr>
                <w:rFonts w:ascii="Arial" w:cs="Arial" w:eastAsia="Arial" w:hAnsi="Arial"/>
                <w:sz w:val="16"/>
                <w:szCs w:val="16"/>
                <w:color w:val="auto"/>
              </w:rPr>
              <w:t>Gross third-party debt</w:t>
            </w:r>
          </w:p>
        </w:tc>
        <w:tc>
          <w:tcPr>
            <w:tcW w:w="4020" w:type="dxa"/>
            <w:vAlign w:val="bottom"/>
            <w:gridSpan w:val="2"/>
          </w:tcPr>
          <w:p>
            <w:pPr>
              <w:jc w:val="right"/>
              <w:ind w:right="218"/>
              <w:spacing w:after="0"/>
              <w:rPr>
                <w:sz w:val="20"/>
                <w:szCs w:val="20"/>
                <w:color w:val="auto"/>
              </w:rPr>
            </w:pPr>
            <w:r>
              <w:rPr>
                <w:rFonts w:ascii="Arial" w:cs="Arial" w:eastAsia="Arial" w:hAnsi="Arial"/>
                <w:sz w:val="16"/>
                <w:szCs w:val="16"/>
                <w:color w:val="auto"/>
              </w:rPr>
              <w:t>(140)</w:t>
            </w:r>
          </w:p>
        </w:tc>
        <w:tc>
          <w:tcPr>
            <w:tcW w:w="1820" w:type="dxa"/>
            <w:vAlign w:val="bottom"/>
          </w:tcPr>
          <w:p>
            <w:pPr>
              <w:jc w:val="right"/>
              <w:ind w:right="442"/>
              <w:spacing w:after="0"/>
              <w:rPr>
                <w:sz w:val="20"/>
                <w:szCs w:val="20"/>
                <w:color w:val="auto"/>
              </w:rPr>
            </w:pPr>
            <w:r>
              <w:rPr>
                <w:rFonts w:ascii="Arial" w:cs="Arial" w:eastAsia="Arial" w:hAnsi="Arial"/>
                <w:sz w:val="16"/>
                <w:szCs w:val="16"/>
                <w:color w:val="auto"/>
              </w:rPr>
              <w:t>(163)</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580" w:type="dxa"/>
            <w:vAlign w:val="bottom"/>
          </w:tcPr>
          <w:p>
            <w:pPr>
              <w:spacing w:after="0"/>
              <w:rPr>
                <w:sz w:val="18"/>
                <w:szCs w:val="18"/>
                <w:color w:val="auto"/>
              </w:rPr>
            </w:pPr>
          </w:p>
        </w:tc>
        <w:tc>
          <w:tcPr>
            <w:tcW w:w="4540" w:type="dxa"/>
            <w:vAlign w:val="bottom"/>
          </w:tcPr>
          <w:p>
            <w:pPr>
              <w:ind w:left="240"/>
              <w:spacing w:after="0"/>
              <w:rPr>
                <w:sz w:val="20"/>
                <w:szCs w:val="20"/>
                <w:color w:val="auto"/>
              </w:rPr>
            </w:pPr>
            <w:r>
              <w:rPr>
                <w:rFonts w:ascii="Arial" w:cs="Arial" w:eastAsia="Arial" w:hAnsi="Arial"/>
                <w:sz w:val="16"/>
                <w:szCs w:val="16"/>
                <w:color w:val="auto"/>
              </w:rPr>
              <w:t>ExxonMobil share of equity companies</w:t>
            </w:r>
          </w:p>
        </w:tc>
        <w:tc>
          <w:tcPr>
            <w:tcW w:w="4020" w:type="dxa"/>
            <w:vAlign w:val="bottom"/>
            <w:gridSpan w:val="2"/>
          </w:tcPr>
          <w:p>
            <w:pPr>
              <w:jc w:val="right"/>
              <w:ind w:right="218"/>
              <w:spacing w:after="0"/>
              <w:rPr>
                <w:sz w:val="20"/>
                <w:szCs w:val="20"/>
                <w:color w:val="auto"/>
              </w:rPr>
            </w:pPr>
            <w:r>
              <w:rPr>
                <w:rFonts w:ascii="Arial" w:cs="Arial" w:eastAsia="Arial" w:hAnsi="Arial"/>
                <w:sz w:val="16"/>
                <w:szCs w:val="16"/>
                <w:color w:val="auto"/>
              </w:rPr>
              <w:t>(256)</w:t>
            </w:r>
          </w:p>
        </w:tc>
        <w:tc>
          <w:tcPr>
            <w:tcW w:w="1820" w:type="dxa"/>
            <w:vAlign w:val="bottom"/>
          </w:tcPr>
          <w:p>
            <w:pPr>
              <w:jc w:val="right"/>
              <w:ind w:right="442"/>
              <w:spacing w:after="0"/>
              <w:rPr>
                <w:sz w:val="20"/>
                <w:szCs w:val="20"/>
                <w:color w:val="auto"/>
              </w:rPr>
            </w:pPr>
            <w:r>
              <w:rPr>
                <w:rFonts w:ascii="Arial" w:cs="Arial" w:eastAsia="Arial" w:hAnsi="Arial"/>
                <w:sz w:val="16"/>
                <w:szCs w:val="16"/>
                <w:color w:val="auto"/>
              </w:rPr>
              <w:t>(239)</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80" w:type="dxa"/>
            <w:vAlign w:val="bottom"/>
          </w:tcPr>
          <w:p>
            <w:pPr>
              <w:spacing w:after="0"/>
              <w:rPr>
                <w:sz w:val="18"/>
                <w:szCs w:val="18"/>
                <w:color w:val="auto"/>
              </w:rPr>
            </w:pPr>
          </w:p>
        </w:tc>
        <w:tc>
          <w:tcPr>
            <w:tcW w:w="4540" w:type="dxa"/>
            <w:vAlign w:val="bottom"/>
          </w:tcPr>
          <w:p>
            <w:pPr>
              <w:ind w:left="240"/>
              <w:spacing w:after="0"/>
              <w:rPr>
                <w:sz w:val="20"/>
                <w:szCs w:val="20"/>
                <w:color w:val="auto"/>
              </w:rPr>
            </w:pPr>
            <w:r>
              <w:rPr>
                <w:rFonts w:ascii="Arial" w:cs="Arial" w:eastAsia="Arial" w:hAnsi="Arial"/>
                <w:sz w:val="16"/>
                <w:szCs w:val="16"/>
                <w:color w:val="auto"/>
              </w:rPr>
              <w:t>All other financing costs – net</w:t>
            </w:r>
          </w:p>
        </w:tc>
        <w:tc>
          <w:tcPr>
            <w:tcW w:w="4020" w:type="dxa"/>
            <w:vAlign w:val="bottom"/>
            <w:gridSpan w:val="2"/>
          </w:tcPr>
          <w:p>
            <w:pPr>
              <w:jc w:val="right"/>
              <w:ind w:right="218"/>
              <w:spacing w:after="0"/>
              <w:rPr>
                <w:sz w:val="20"/>
                <w:szCs w:val="20"/>
                <w:color w:val="auto"/>
              </w:rPr>
            </w:pPr>
            <w:r>
              <w:rPr>
                <w:rFonts w:ascii="Arial" w:cs="Arial" w:eastAsia="Arial" w:hAnsi="Arial"/>
                <w:sz w:val="16"/>
                <w:szCs w:val="16"/>
                <w:color w:val="auto"/>
              </w:rPr>
              <w:t>(68)</w:t>
            </w:r>
          </w:p>
        </w:tc>
        <w:tc>
          <w:tcPr>
            <w:tcW w:w="1820" w:type="dxa"/>
            <w:vAlign w:val="bottom"/>
          </w:tcPr>
          <w:p>
            <w:pPr>
              <w:jc w:val="right"/>
              <w:ind w:right="502"/>
              <w:spacing w:after="0"/>
              <w:rPr>
                <w:sz w:val="20"/>
                <w:szCs w:val="20"/>
                <w:color w:val="auto"/>
              </w:rPr>
            </w:pPr>
            <w:r>
              <w:rPr>
                <w:rFonts w:ascii="Arial" w:cs="Arial" w:eastAsia="Arial" w:hAnsi="Arial"/>
                <w:sz w:val="16"/>
                <w:szCs w:val="16"/>
                <w:color w:val="auto"/>
              </w:rPr>
              <w:t>83</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580" w:type="dxa"/>
            <w:vAlign w:val="bottom"/>
          </w:tcPr>
          <w:p>
            <w:pPr>
              <w:spacing w:after="0"/>
              <w:rPr>
                <w:sz w:val="17"/>
                <w:szCs w:val="17"/>
                <w:color w:val="auto"/>
              </w:rPr>
            </w:pPr>
          </w:p>
        </w:tc>
        <w:tc>
          <w:tcPr>
            <w:tcW w:w="4540" w:type="dxa"/>
            <w:vAlign w:val="bottom"/>
          </w:tcPr>
          <w:p>
            <w:pPr>
              <w:ind w:left="480"/>
              <w:spacing w:after="0" w:line="183" w:lineRule="exact"/>
              <w:rPr>
                <w:sz w:val="20"/>
                <w:szCs w:val="20"/>
                <w:color w:val="auto"/>
              </w:rPr>
            </w:pPr>
            <w:r>
              <w:rPr>
                <w:rFonts w:ascii="Arial" w:cs="Arial" w:eastAsia="Arial" w:hAnsi="Arial"/>
                <w:sz w:val="16"/>
                <w:szCs w:val="16"/>
                <w:color w:val="auto"/>
              </w:rPr>
              <w:t>Total financing costs</w:t>
            </w:r>
          </w:p>
        </w:tc>
        <w:tc>
          <w:tcPr>
            <w:tcW w:w="280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6"/>
                <w:szCs w:val="16"/>
                <w:color w:val="auto"/>
              </w:rPr>
              <w:t>(464)</w:t>
            </w:r>
          </w:p>
        </w:tc>
        <w:tc>
          <w:tcPr>
            <w:tcW w:w="182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6"/>
                <w:szCs w:val="16"/>
                <w:color w:val="auto"/>
              </w:rPr>
              <w:t>(319)</w:t>
            </w:r>
          </w:p>
        </w:tc>
        <w:tc>
          <w:tcPr>
            <w:tcW w:w="50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r>
      <w:tr>
        <w:trPr>
          <w:trHeight w:val="188"/>
        </w:trPr>
        <w:tc>
          <w:tcPr>
            <w:tcW w:w="580" w:type="dxa"/>
            <w:vAlign w:val="bottom"/>
          </w:tcPr>
          <w:p>
            <w:pPr>
              <w:spacing w:after="0"/>
              <w:rPr>
                <w:sz w:val="16"/>
                <w:szCs w:val="16"/>
                <w:color w:val="auto"/>
              </w:rPr>
            </w:pPr>
          </w:p>
        </w:tc>
        <w:tc>
          <w:tcPr>
            <w:tcW w:w="4540" w:type="dxa"/>
            <w:vAlign w:val="bottom"/>
          </w:tcPr>
          <w:p>
            <w:pPr>
              <w:ind w:left="700"/>
              <w:spacing w:after="0"/>
              <w:rPr>
                <w:sz w:val="20"/>
                <w:szCs w:val="20"/>
                <w:color w:val="auto"/>
              </w:rPr>
            </w:pPr>
            <w:r>
              <w:rPr>
                <w:rFonts w:ascii="Arial" w:cs="Arial" w:eastAsia="Arial" w:hAnsi="Arial"/>
                <w:sz w:val="16"/>
                <w:szCs w:val="16"/>
                <w:color w:val="auto"/>
              </w:rPr>
              <w:t>Earnings excluding financing costs</w:t>
            </w:r>
          </w:p>
        </w:tc>
        <w:tc>
          <w:tcPr>
            <w:tcW w:w="2800" w:type="dxa"/>
            <w:vAlign w:val="bottom"/>
          </w:tcPr>
          <w:p>
            <w:pPr>
              <w:spacing w:after="0"/>
              <w:rPr>
                <w:sz w:val="16"/>
                <w:szCs w:val="16"/>
                <w:color w:val="auto"/>
              </w:rPr>
            </w:pPr>
          </w:p>
        </w:tc>
        <w:tc>
          <w:tcPr>
            <w:tcW w:w="122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32,984</w:t>
            </w:r>
          </w:p>
        </w:tc>
        <w:tc>
          <w:tcPr>
            <w:tcW w:w="182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color w:val="auto"/>
              </w:rPr>
              <w:t>32,899</w:t>
            </w:r>
          </w:p>
        </w:tc>
        <w:tc>
          <w:tcPr>
            <w:tcW w:w="5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r>
      <w:tr>
        <w:trPr>
          <w:trHeight w:val="383"/>
        </w:trPr>
        <w:tc>
          <w:tcPr>
            <w:tcW w:w="580" w:type="dxa"/>
            <w:vAlign w:val="bottom"/>
          </w:tcPr>
          <w:p>
            <w:pPr>
              <w:spacing w:after="0"/>
              <w:rPr>
                <w:sz w:val="24"/>
                <w:szCs w:val="24"/>
                <w:color w:val="auto"/>
              </w:rPr>
            </w:pPr>
          </w:p>
        </w:tc>
        <w:tc>
          <w:tcPr>
            <w:tcW w:w="4540" w:type="dxa"/>
            <w:vAlign w:val="bottom"/>
          </w:tcPr>
          <w:p>
            <w:pPr>
              <w:spacing w:after="0"/>
              <w:rPr>
                <w:sz w:val="20"/>
                <w:szCs w:val="20"/>
                <w:color w:val="auto"/>
              </w:rPr>
            </w:pPr>
            <w:r>
              <w:rPr>
                <w:rFonts w:ascii="Arial" w:cs="Arial" w:eastAsia="Arial" w:hAnsi="Arial"/>
                <w:sz w:val="16"/>
                <w:szCs w:val="16"/>
                <w:color w:val="auto"/>
              </w:rPr>
              <w:t>Average capital employed</w:t>
            </w:r>
          </w:p>
        </w:tc>
        <w:tc>
          <w:tcPr>
            <w:tcW w:w="4020" w:type="dxa"/>
            <w:vAlign w:val="bottom"/>
            <w:gridSpan w:val="2"/>
          </w:tcPr>
          <w:p>
            <w:pPr>
              <w:jc w:val="right"/>
              <w:ind w:right="258"/>
              <w:spacing w:after="0"/>
              <w:rPr>
                <w:sz w:val="20"/>
                <w:szCs w:val="20"/>
                <w:color w:val="auto"/>
              </w:rPr>
            </w:pPr>
            <w:r>
              <w:rPr>
                <w:rFonts w:ascii="Arial" w:cs="Arial" w:eastAsia="Arial" w:hAnsi="Arial"/>
                <w:sz w:val="16"/>
                <w:szCs w:val="16"/>
                <w:color w:val="auto"/>
              </w:rPr>
              <w:t>203,110</w:t>
            </w:r>
          </w:p>
        </w:tc>
        <w:tc>
          <w:tcPr>
            <w:tcW w:w="1820" w:type="dxa"/>
            <w:vAlign w:val="bottom"/>
          </w:tcPr>
          <w:p>
            <w:pPr>
              <w:jc w:val="right"/>
              <w:ind w:right="502"/>
              <w:spacing w:after="0"/>
              <w:rPr>
                <w:sz w:val="20"/>
                <w:szCs w:val="20"/>
                <w:color w:val="auto"/>
              </w:rPr>
            </w:pPr>
            <w:r>
              <w:rPr>
                <w:rFonts w:ascii="Arial" w:cs="Arial" w:eastAsia="Arial" w:hAnsi="Arial"/>
                <w:sz w:val="16"/>
                <w:szCs w:val="16"/>
                <w:color w:val="auto"/>
              </w:rPr>
              <w:t>191,575</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1</w:t>
            </w:r>
          </w:p>
        </w:tc>
      </w:tr>
      <w:tr>
        <w:trPr>
          <w:trHeight w:val="404"/>
        </w:trPr>
        <w:tc>
          <w:tcPr>
            <w:tcW w:w="580" w:type="dxa"/>
            <w:vAlign w:val="bottom"/>
          </w:tcPr>
          <w:p>
            <w:pPr>
              <w:spacing w:after="0"/>
              <w:rPr>
                <w:sz w:val="24"/>
                <w:szCs w:val="24"/>
                <w:color w:val="auto"/>
              </w:rPr>
            </w:pPr>
          </w:p>
        </w:tc>
        <w:tc>
          <w:tcPr>
            <w:tcW w:w="4540" w:type="dxa"/>
            <w:vAlign w:val="bottom"/>
          </w:tcPr>
          <w:p>
            <w:pPr>
              <w:spacing w:after="0"/>
              <w:rPr>
                <w:sz w:val="20"/>
                <w:szCs w:val="20"/>
                <w:color w:val="auto"/>
              </w:rPr>
            </w:pPr>
            <w:r>
              <w:rPr>
                <w:rFonts w:ascii="Arial" w:cs="Arial" w:eastAsia="Arial" w:hAnsi="Arial"/>
                <w:sz w:val="16"/>
                <w:szCs w:val="16"/>
                <w:color w:val="auto"/>
              </w:rPr>
              <w:t>Return on average capital employed – corporate total</w:t>
            </w:r>
          </w:p>
        </w:tc>
        <w:tc>
          <w:tcPr>
            <w:tcW w:w="4020" w:type="dxa"/>
            <w:vAlign w:val="bottom"/>
            <w:gridSpan w:val="2"/>
          </w:tcPr>
          <w:p>
            <w:pPr>
              <w:jc w:val="right"/>
              <w:ind w:right="218"/>
              <w:spacing w:after="0"/>
              <w:rPr>
                <w:sz w:val="20"/>
                <w:szCs w:val="20"/>
                <w:color w:val="auto"/>
              </w:rPr>
            </w:pPr>
            <w:r>
              <w:rPr>
                <w:rFonts w:ascii="Arial" w:cs="Arial" w:eastAsia="Arial" w:hAnsi="Arial"/>
                <w:sz w:val="16"/>
                <w:szCs w:val="16"/>
                <w:color w:val="auto"/>
              </w:rPr>
              <w:t>16.2%</w:t>
            </w:r>
          </w:p>
        </w:tc>
        <w:tc>
          <w:tcPr>
            <w:tcW w:w="1820" w:type="dxa"/>
            <w:vAlign w:val="bottom"/>
          </w:tcPr>
          <w:p>
            <w:pPr>
              <w:jc w:val="right"/>
              <w:ind w:right="442"/>
              <w:spacing w:after="0"/>
              <w:rPr>
                <w:sz w:val="20"/>
                <w:szCs w:val="20"/>
                <w:color w:val="auto"/>
              </w:rPr>
            </w:pPr>
            <w:r>
              <w:rPr>
                <w:rFonts w:ascii="Arial" w:cs="Arial" w:eastAsia="Arial" w:hAnsi="Arial"/>
                <w:sz w:val="16"/>
                <w:szCs w:val="16"/>
                <w:color w:val="auto"/>
              </w:rPr>
              <w:t>17.2%</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3"/>
        </w:trPr>
        <w:tc>
          <w:tcPr>
            <w:tcW w:w="5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800" w:type="dxa"/>
            <w:vAlign w:val="bottom"/>
          </w:tcPr>
          <w:p>
            <w:pPr>
              <w:jc w:val="right"/>
              <w:ind w:right="1480"/>
              <w:spacing w:after="0"/>
              <w:rPr>
                <w:sz w:val="20"/>
                <w:szCs w:val="20"/>
                <w:color w:val="auto"/>
              </w:rPr>
            </w:pPr>
            <w:r>
              <w:rPr>
                <w:rFonts w:ascii="Arial" w:cs="Arial" w:eastAsia="Arial" w:hAnsi="Arial"/>
                <w:sz w:val="16"/>
                <w:szCs w:val="16"/>
                <w:color w:val="auto"/>
              </w:rPr>
              <w:t>38</w:t>
            </w:r>
          </w:p>
        </w:tc>
        <w:tc>
          <w:tcPr>
            <w:tcW w:w="1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745"/>
        </w:trPr>
        <w:tc>
          <w:tcPr>
            <w:tcW w:w="580" w:type="dxa"/>
            <w:vAlign w:val="bottom"/>
            <w:tcBorders>
              <w:bottom w:val="single" w:sz="8" w:color="808080"/>
            </w:tcBorders>
          </w:tcPr>
          <w:p>
            <w:pPr>
              <w:spacing w:after="0"/>
              <w:rPr>
                <w:sz w:val="24"/>
                <w:szCs w:val="24"/>
                <w:color w:val="auto"/>
              </w:rPr>
            </w:pPr>
          </w:p>
        </w:tc>
        <w:tc>
          <w:tcPr>
            <w:tcW w:w="454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589" w:right="1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color w:val="auto"/>
        </w:rPr>
        <w:t>QUARTERLY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08"/>
              <w:spacing w:after="0"/>
              <w:rPr>
                <w:sz w:val="20"/>
                <w:szCs w:val="20"/>
                <w:color w:val="auto"/>
              </w:rPr>
            </w:pPr>
            <w:r>
              <w:rPr>
                <w:rFonts w:ascii="Arial" w:cs="Arial" w:eastAsia="Arial" w:hAnsi="Arial"/>
                <w:sz w:val="13"/>
                <w:szCs w:val="13"/>
                <w:b w:val="1"/>
                <w:bCs w:val="1"/>
                <w:color w:val="auto"/>
                <w:w w:val="89"/>
              </w:rPr>
              <w:t>2014</w:t>
            </w:r>
          </w:p>
        </w:tc>
        <w:tc>
          <w:tcPr>
            <w:tcW w:w="8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8"/>
              <w:spacing w:after="0"/>
              <w:rPr>
                <w:sz w:val="20"/>
                <w:szCs w:val="20"/>
                <w:color w:val="auto"/>
              </w:rPr>
            </w:pPr>
            <w:r>
              <w:rPr>
                <w:rFonts w:ascii="Arial" w:cs="Arial" w:eastAsia="Arial" w:hAnsi="Arial"/>
                <w:sz w:val="13"/>
                <w:szCs w:val="13"/>
                <w:b w:val="1"/>
                <w:bCs w:val="1"/>
                <w:color w:val="auto"/>
                <w:w w:val="89"/>
              </w:rPr>
              <w:t>2013</w:t>
            </w:r>
          </w:p>
        </w:tc>
        <w:tc>
          <w:tcPr>
            <w:tcW w:w="1040" w:type="dxa"/>
            <w:vAlign w:val="bottom"/>
            <w:tcBorders>
              <w:bottom w:val="single" w:sz="8" w:color="auto"/>
            </w:tcBorders>
          </w:tcPr>
          <w:p>
            <w:pPr>
              <w:spacing w:after="0"/>
              <w:rPr>
                <w:sz w:val="15"/>
                <w:szCs w:val="15"/>
                <w:color w:val="auto"/>
              </w:rPr>
            </w:pPr>
          </w:p>
        </w:tc>
      </w:tr>
      <w:tr>
        <w:trPr>
          <w:trHeight w:val="174"/>
        </w:trPr>
        <w:tc>
          <w:tcPr>
            <w:tcW w:w="2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348"/>
              <w:spacing w:after="0"/>
              <w:rPr>
                <w:sz w:val="20"/>
                <w:szCs w:val="20"/>
                <w:color w:val="auto"/>
              </w:rPr>
            </w:pPr>
            <w:r>
              <w:rPr>
                <w:rFonts w:ascii="Arial" w:cs="Arial" w:eastAsia="Arial" w:hAnsi="Arial"/>
                <w:sz w:val="13"/>
                <w:szCs w:val="13"/>
                <w:b w:val="1"/>
                <w:bCs w:val="1"/>
                <w:color w:val="auto"/>
              </w:rPr>
              <w:t>First</w:t>
            </w:r>
          </w:p>
        </w:tc>
        <w:tc>
          <w:tcPr>
            <w:tcW w:w="900" w:type="dxa"/>
            <w:vAlign w:val="bottom"/>
          </w:tcPr>
          <w:p>
            <w:pPr>
              <w:jc w:val="right"/>
              <w:ind w:right="248"/>
              <w:spacing w:after="0"/>
              <w:rPr>
                <w:sz w:val="20"/>
                <w:szCs w:val="20"/>
                <w:color w:val="auto"/>
              </w:rPr>
            </w:pPr>
            <w:r>
              <w:rPr>
                <w:rFonts w:ascii="Arial" w:cs="Arial" w:eastAsia="Arial" w:hAnsi="Arial"/>
                <w:sz w:val="13"/>
                <w:szCs w:val="13"/>
                <w:b w:val="1"/>
                <w:bCs w:val="1"/>
                <w:color w:val="auto"/>
              </w:rPr>
              <w:t>Second</w:t>
            </w:r>
          </w:p>
        </w:tc>
        <w:tc>
          <w:tcPr>
            <w:tcW w:w="840" w:type="dxa"/>
            <w:vAlign w:val="bottom"/>
          </w:tcPr>
          <w:p>
            <w:pPr>
              <w:jc w:val="center"/>
              <w:ind w:right="88"/>
              <w:spacing w:after="0"/>
              <w:rPr>
                <w:sz w:val="20"/>
                <w:szCs w:val="20"/>
                <w:color w:val="auto"/>
              </w:rPr>
            </w:pPr>
            <w:r>
              <w:rPr>
                <w:rFonts w:ascii="Arial" w:cs="Arial" w:eastAsia="Arial" w:hAnsi="Arial"/>
                <w:sz w:val="13"/>
                <w:szCs w:val="13"/>
                <w:b w:val="1"/>
                <w:bCs w:val="1"/>
                <w:color w:val="auto"/>
                <w:w w:val="98"/>
              </w:rPr>
              <w:t>Third</w:t>
            </w:r>
          </w:p>
        </w:tc>
        <w:tc>
          <w:tcPr>
            <w:tcW w:w="840" w:type="dxa"/>
            <w:vAlign w:val="bottom"/>
          </w:tcPr>
          <w:p>
            <w:pPr>
              <w:jc w:val="right"/>
              <w:ind w:right="208"/>
              <w:spacing w:after="0"/>
              <w:rPr>
                <w:sz w:val="20"/>
                <w:szCs w:val="20"/>
                <w:color w:val="auto"/>
              </w:rPr>
            </w:pPr>
            <w:r>
              <w:rPr>
                <w:rFonts w:ascii="Arial" w:cs="Arial" w:eastAsia="Arial" w:hAnsi="Arial"/>
                <w:sz w:val="13"/>
                <w:szCs w:val="13"/>
                <w:b w:val="1"/>
                <w:bCs w:val="1"/>
                <w:color w:val="auto"/>
              </w:rPr>
              <w:t>Fourth</w:t>
            </w: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268"/>
              <w:spacing w:after="0"/>
              <w:rPr>
                <w:sz w:val="20"/>
                <w:szCs w:val="20"/>
                <w:color w:val="auto"/>
              </w:rPr>
            </w:pPr>
            <w:r>
              <w:rPr>
                <w:rFonts w:ascii="Arial" w:cs="Arial" w:eastAsia="Arial" w:hAnsi="Arial"/>
                <w:sz w:val="13"/>
                <w:szCs w:val="13"/>
                <w:b w:val="1"/>
                <w:bCs w:val="1"/>
                <w:color w:val="auto"/>
              </w:rPr>
              <w:t>First</w:t>
            </w:r>
          </w:p>
        </w:tc>
        <w:tc>
          <w:tcPr>
            <w:tcW w:w="780" w:type="dxa"/>
            <w:vAlign w:val="bottom"/>
          </w:tcPr>
          <w:p>
            <w:pPr>
              <w:jc w:val="right"/>
              <w:ind w:right="168"/>
              <w:spacing w:after="0"/>
              <w:rPr>
                <w:sz w:val="20"/>
                <w:szCs w:val="20"/>
                <w:color w:val="auto"/>
              </w:rPr>
            </w:pPr>
            <w:r>
              <w:rPr>
                <w:rFonts w:ascii="Arial" w:cs="Arial" w:eastAsia="Arial" w:hAnsi="Arial"/>
                <w:sz w:val="13"/>
                <w:szCs w:val="13"/>
                <w:b w:val="1"/>
                <w:bCs w:val="1"/>
                <w:color w:val="auto"/>
              </w:rPr>
              <w:t>Second</w:t>
            </w:r>
          </w:p>
        </w:tc>
        <w:tc>
          <w:tcPr>
            <w:tcW w:w="800" w:type="dxa"/>
            <w:vAlign w:val="bottom"/>
          </w:tcPr>
          <w:p>
            <w:pPr>
              <w:jc w:val="center"/>
              <w:ind w:right="28"/>
              <w:spacing w:after="0"/>
              <w:rPr>
                <w:sz w:val="20"/>
                <w:szCs w:val="20"/>
                <w:color w:val="auto"/>
              </w:rPr>
            </w:pPr>
            <w:r>
              <w:rPr>
                <w:rFonts w:ascii="Arial" w:cs="Arial" w:eastAsia="Arial" w:hAnsi="Arial"/>
                <w:sz w:val="13"/>
                <w:szCs w:val="13"/>
                <w:b w:val="1"/>
                <w:bCs w:val="1"/>
                <w:color w:val="auto"/>
              </w:rPr>
              <w:t>Third</w:t>
            </w:r>
          </w:p>
        </w:tc>
        <w:tc>
          <w:tcPr>
            <w:tcW w:w="1040" w:type="dxa"/>
            <w:vAlign w:val="bottom"/>
          </w:tcPr>
          <w:p>
            <w:pPr>
              <w:jc w:val="right"/>
              <w:ind w:right="428"/>
              <w:spacing w:after="0"/>
              <w:rPr>
                <w:sz w:val="20"/>
                <w:szCs w:val="20"/>
                <w:color w:val="auto"/>
              </w:rPr>
            </w:pPr>
            <w:r>
              <w:rPr>
                <w:rFonts w:ascii="Arial" w:cs="Arial" w:eastAsia="Arial" w:hAnsi="Arial"/>
                <w:sz w:val="13"/>
                <w:szCs w:val="13"/>
                <w:b w:val="1"/>
                <w:bCs w:val="1"/>
                <w:color w:val="auto"/>
              </w:rPr>
              <w:t>Fourth</w:t>
            </w:r>
          </w:p>
        </w:tc>
      </w:tr>
      <w:tr>
        <w:trPr>
          <w:trHeight w:val="179"/>
        </w:trPr>
        <w:tc>
          <w:tcPr>
            <w:tcW w:w="2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248"/>
              <w:spacing w:after="0"/>
              <w:rPr>
                <w:sz w:val="20"/>
                <w:szCs w:val="20"/>
                <w:color w:val="auto"/>
              </w:rPr>
            </w:pPr>
            <w:r>
              <w:rPr>
                <w:rFonts w:ascii="Arial" w:cs="Arial" w:eastAsia="Arial" w:hAnsi="Arial"/>
                <w:sz w:val="13"/>
                <w:szCs w:val="13"/>
                <w:b w:val="1"/>
                <w:bCs w:val="1"/>
                <w:color w:val="auto"/>
              </w:rPr>
              <w:t>Quarter</w:t>
            </w:r>
          </w:p>
        </w:tc>
        <w:tc>
          <w:tcPr>
            <w:tcW w:w="900" w:type="dxa"/>
            <w:vAlign w:val="bottom"/>
          </w:tcPr>
          <w:p>
            <w:pPr>
              <w:jc w:val="right"/>
              <w:ind w:right="228"/>
              <w:spacing w:after="0"/>
              <w:rPr>
                <w:sz w:val="20"/>
                <w:szCs w:val="20"/>
                <w:color w:val="auto"/>
              </w:rPr>
            </w:pPr>
            <w:r>
              <w:rPr>
                <w:rFonts w:ascii="Arial" w:cs="Arial" w:eastAsia="Arial" w:hAnsi="Arial"/>
                <w:sz w:val="13"/>
                <w:szCs w:val="13"/>
                <w:b w:val="1"/>
                <w:bCs w:val="1"/>
                <w:color w:val="auto"/>
              </w:rPr>
              <w:t>Quarter</w:t>
            </w:r>
          </w:p>
        </w:tc>
        <w:tc>
          <w:tcPr>
            <w:tcW w:w="840" w:type="dxa"/>
            <w:vAlign w:val="bottom"/>
          </w:tcPr>
          <w:p>
            <w:pPr>
              <w:jc w:val="center"/>
              <w:ind w:right="108"/>
              <w:spacing w:after="0"/>
              <w:rPr>
                <w:sz w:val="20"/>
                <w:szCs w:val="20"/>
                <w:color w:val="auto"/>
              </w:rPr>
            </w:pPr>
            <w:r>
              <w:rPr>
                <w:rFonts w:ascii="Arial" w:cs="Arial" w:eastAsia="Arial" w:hAnsi="Arial"/>
                <w:sz w:val="13"/>
                <w:szCs w:val="13"/>
                <w:b w:val="1"/>
                <w:bCs w:val="1"/>
                <w:color w:val="auto"/>
                <w:w w:val="97"/>
              </w:rPr>
              <w:t>Quarter</w:t>
            </w:r>
          </w:p>
        </w:tc>
        <w:tc>
          <w:tcPr>
            <w:tcW w:w="840" w:type="dxa"/>
            <w:vAlign w:val="bottom"/>
          </w:tcPr>
          <w:p>
            <w:pPr>
              <w:jc w:val="right"/>
              <w:ind w:right="188"/>
              <w:spacing w:after="0"/>
              <w:rPr>
                <w:sz w:val="20"/>
                <w:szCs w:val="20"/>
                <w:color w:val="auto"/>
              </w:rPr>
            </w:pPr>
            <w:r>
              <w:rPr>
                <w:rFonts w:ascii="Arial" w:cs="Arial" w:eastAsia="Arial" w:hAnsi="Arial"/>
                <w:sz w:val="13"/>
                <w:szCs w:val="13"/>
                <w:b w:val="1"/>
                <w:bCs w:val="1"/>
                <w:color w:val="auto"/>
              </w:rPr>
              <w:t>Quarter</w:t>
            </w:r>
          </w:p>
        </w:tc>
        <w:tc>
          <w:tcPr>
            <w:tcW w:w="1360" w:type="dxa"/>
            <w:vAlign w:val="bottom"/>
            <w:gridSpan w:val="3"/>
          </w:tcPr>
          <w:p>
            <w:pPr>
              <w:ind w:left="300"/>
              <w:spacing w:after="0"/>
              <w:rPr>
                <w:sz w:val="20"/>
                <w:szCs w:val="20"/>
                <w:color w:val="auto"/>
              </w:rPr>
            </w:pPr>
            <w:r>
              <w:rPr>
                <w:rFonts w:ascii="Arial" w:cs="Arial" w:eastAsia="Arial" w:hAnsi="Arial"/>
                <w:sz w:val="13"/>
                <w:szCs w:val="13"/>
                <w:b w:val="1"/>
                <w:bCs w:val="1"/>
                <w:color w:val="auto"/>
              </w:rPr>
              <w:t>Year</w:t>
            </w:r>
          </w:p>
        </w:tc>
        <w:tc>
          <w:tcPr>
            <w:tcW w:w="720" w:type="dxa"/>
            <w:vAlign w:val="bottom"/>
          </w:tcPr>
          <w:p>
            <w:pPr>
              <w:jc w:val="right"/>
              <w:ind w:right="168"/>
              <w:spacing w:after="0"/>
              <w:rPr>
                <w:sz w:val="20"/>
                <w:szCs w:val="20"/>
                <w:color w:val="auto"/>
              </w:rPr>
            </w:pPr>
            <w:r>
              <w:rPr>
                <w:rFonts w:ascii="Arial" w:cs="Arial" w:eastAsia="Arial" w:hAnsi="Arial"/>
                <w:sz w:val="13"/>
                <w:szCs w:val="13"/>
                <w:b w:val="1"/>
                <w:bCs w:val="1"/>
                <w:color w:val="auto"/>
                <w:w w:val="97"/>
              </w:rPr>
              <w:t>Quarter</w:t>
            </w:r>
          </w:p>
        </w:tc>
        <w:tc>
          <w:tcPr>
            <w:tcW w:w="780" w:type="dxa"/>
            <w:vAlign w:val="bottom"/>
          </w:tcPr>
          <w:p>
            <w:pPr>
              <w:jc w:val="right"/>
              <w:ind w:right="148"/>
              <w:spacing w:after="0"/>
              <w:rPr>
                <w:sz w:val="20"/>
                <w:szCs w:val="20"/>
                <w:color w:val="auto"/>
              </w:rPr>
            </w:pPr>
            <w:r>
              <w:rPr>
                <w:rFonts w:ascii="Arial" w:cs="Arial" w:eastAsia="Arial" w:hAnsi="Arial"/>
                <w:sz w:val="13"/>
                <w:szCs w:val="13"/>
                <w:b w:val="1"/>
                <w:bCs w:val="1"/>
                <w:color w:val="auto"/>
              </w:rPr>
              <w:t>Quarter</w:t>
            </w:r>
          </w:p>
        </w:tc>
        <w:tc>
          <w:tcPr>
            <w:tcW w:w="800" w:type="dxa"/>
            <w:vAlign w:val="bottom"/>
          </w:tcPr>
          <w:p>
            <w:pPr>
              <w:jc w:val="center"/>
              <w:ind w:right="28"/>
              <w:spacing w:after="0"/>
              <w:rPr>
                <w:sz w:val="20"/>
                <w:szCs w:val="20"/>
                <w:color w:val="auto"/>
              </w:rPr>
            </w:pPr>
            <w:r>
              <w:rPr>
                <w:rFonts w:ascii="Arial" w:cs="Arial" w:eastAsia="Arial" w:hAnsi="Arial"/>
                <w:sz w:val="13"/>
                <w:szCs w:val="13"/>
                <w:b w:val="1"/>
                <w:bCs w:val="1"/>
                <w:color w:val="auto"/>
                <w:w w:val="97"/>
              </w:rPr>
              <w:t>Quarter</w:t>
            </w:r>
          </w:p>
        </w:tc>
        <w:tc>
          <w:tcPr>
            <w:tcW w:w="1040" w:type="dxa"/>
            <w:vAlign w:val="bottom"/>
          </w:tcPr>
          <w:p>
            <w:pPr>
              <w:jc w:val="right"/>
              <w:ind w:right="388"/>
              <w:spacing w:after="0"/>
              <w:rPr>
                <w:sz w:val="20"/>
                <w:szCs w:val="20"/>
                <w:color w:val="auto"/>
              </w:rPr>
            </w:pPr>
            <w:r>
              <w:rPr>
                <w:rFonts w:ascii="Arial" w:cs="Arial" w:eastAsia="Arial" w:hAnsi="Arial"/>
                <w:sz w:val="13"/>
                <w:szCs w:val="13"/>
                <w:b w:val="1"/>
                <w:bCs w:val="1"/>
                <w:color w:val="auto"/>
              </w:rPr>
              <w:t>Quarter</w:t>
            </w:r>
          </w:p>
        </w:tc>
      </w:tr>
      <w:tr>
        <w:trPr>
          <w:trHeight w:val="168"/>
        </w:trPr>
        <w:tc>
          <w:tcPr>
            <w:tcW w:w="2420" w:type="dxa"/>
            <w:vAlign w:val="bottom"/>
            <w:tcBorders>
              <w:top w:val="single" w:sz="8" w:color="auto"/>
            </w:tcBorders>
          </w:tcPr>
          <w:p>
            <w:pPr>
              <w:spacing w:after="0" w:line="168" w:lineRule="exact"/>
              <w:rPr>
                <w:sz w:val="20"/>
                <w:szCs w:val="20"/>
                <w:color w:val="auto"/>
              </w:rPr>
            </w:pPr>
            <w:r>
              <w:rPr>
                <w:rFonts w:ascii="Arial" w:cs="Arial" w:eastAsia="Arial" w:hAnsi="Arial"/>
                <w:sz w:val="15"/>
                <w:szCs w:val="15"/>
                <w:b w:val="1"/>
                <w:bCs w:val="1"/>
                <w:color w:val="auto"/>
              </w:rPr>
              <w:t>Volumes</w:t>
            </w:r>
          </w:p>
        </w:tc>
        <w:tc>
          <w:tcPr>
            <w:tcW w:w="2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184"/>
        </w:trPr>
        <w:tc>
          <w:tcPr>
            <w:tcW w:w="2660" w:type="dxa"/>
            <w:vAlign w:val="bottom"/>
            <w:gridSpan w:val="2"/>
          </w:tcPr>
          <w:p>
            <w:pPr>
              <w:spacing w:after="0"/>
              <w:rPr>
                <w:sz w:val="20"/>
                <w:szCs w:val="20"/>
                <w:color w:val="auto"/>
              </w:rPr>
            </w:pPr>
            <w:r>
              <w:rPr>
                <w:rFonts w:ascii="Arial" w:cs="Arial" w:eastAsia="Arial" w:hAnsi="Arial"/>
                <w:sz w:val="15"/>
                <w:szCs w:val="15"/>
                <w:color w:val="auto"/>
              </w:rPr>
              <w:t>Production of crude oil</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80" w:type="dxa"/>
            <w:vAlign w:val="bottom"/>
            <w:gridSpan w:val="4"/>
          </w:tcPr>
          <w:p>
            <w:pPr>
              <w:jc w:val="center"/>
              <w:ind w:right="388"/>
              <w:spacing w:after="0"/>
              <w:rPr>
                <w:sz w:val="20"/>
                <w:szCs w:val="20"/>
                <w:color w:val="auto"/>
              </w:rPr>
            </w:pPr>
            <w:r>
              <w:rPr>
                <w:rFonts w:ascii="Arial" w:cs="Arial" w:eastAsia="Arial" w:hAnsi="Arial"/>
                <w:sz w:val="13"/>
                <w:szCs w:val="13"/>
                <w:i w:val="1"/>
                <w:iCs w:val="1"/>
                <w:color w:val="auto"/>
                <w:w w:val="93"/>
              </w:rPr>
              <w:t>(thousands of barrels daily)</w:t>
            </w: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4"/>
        </w:trPr>
        <w:tc>
          <w:tcPr>
            <w:tcW w:w="2660" w:type="dxa"/>
            <w:vAlign w:val="bottom"/>
            <w:gridSpan w:val="2"/>
          </w:tcPr>
          <w:p>
            <w:pPr>
              <w:ind w:left="240"/>
              <w:spacing w:after="0"/>
              <w:rPr>
                <w:sz w:val="20"/>
                <w:szCs w:val="20"/>
                <w:color w:val="auto"/>
              </w:rPr>
            </w:pPr>
            <w:r>
              <w:rPr>
                <w:rFonts w:ascii="Arial" w:cs="Arial" w:eastAsia="Arial" w:hAnsi="Arial"/>
                <w:sz w:val="15"/>
                <w:szCs w:val="15"/>
                <w:color w:val="auto"/>
              </w:rPr>
              <w:t>and natural gas liquids,</w:t>
            </w:r>
          </w:p>
        </w:tc>
        <w:tc>
          <w:tcPr>
            <w:tcW w:w="1000" w:type="dxa"/>
            <w:vAlign w:val="bottom"/>
          </w:tcPr>
          <w:p>
            <w:pPr>
              <w:jc w:val="right"/>
              <w:ind w:right="68"/>
              <w:spacing w:after="0"/>
              <w:rPr>
                <w:sz w:val="20"/>
                <w:szCs w:val="20"/>
                <w:color w:val="auto"/>
              </w:rPr>
            </w:pPr>
            <w:r>
              <w:rPr>
                <w:rFonts w:ascii="Arial" w:cs="Arial" w:eastAsia="Arial" w:hAnsi="Arial"/>
                <w:sz w:val="15"/>
                <w:szCs w:val="15"/>
                <w:color w:val="auto"/>
              </w:rPr>
              <w:t>2,148</w:t>
            </w:r>
          </w:p>
        </w:tc>
        <w:tc>
          <w:tcPr>
            <w:tcW w:w="900" w:type="dxa"/>
            <w:vAlign w:val="bottom"/>
          </w:tcPr>
          <w:p>
            <w:pPr>
              <w:jc w:val="right"/>
              <w:ind w:right="48"/>
              <w:spacing w:after="0"/>
              <w:rPr>
                <w:sz w:val="20"/>
                <w:szCs w:val="20"/>
                <w:color w:val="auto"/>
              </w:rPr>
            </w:pPr>
            <w:r>
              <w:rPr>
                <w:rFonts w:ascii="Arial" w:cs="Arial" w:eastAsia="Arial" w:hAnsi="Arial"/>
                <w:sz w:val="15"/>
                <w:szCs w:val="15"/>
                <w:color w:val="auto"/>
              </w:rPr>
              <w:t>2,048</w:t>
            </w:r>
          </w:p>
        </w:tc>
        <w:tc>
          <w:tcPr>
            <w:tcW w:w="840" w:type="dxa"/>
            <w:vAlign w:val="bottom"/>
          </w:tcPr>
          <w:p>
            <w:pPr>
              <w:jc w:val="right"/>
              <w:ind w:right="68"/>
              <w:spacing w:after="0"/>
              <w:rPr>
                <w:sz w:val="20"/>
                <w:szCs w:val="20"/>
                <w:color w:val="auto"/>
              </w:rPr>
            </w:pPr>
            <w:r>
              <w:rPr>
                <w:rFonts w:ascii="Arial" w:cs="Arial" w:eastAsia="Arial" w:hAnsi="Arial"/>
                <w:sz w:val="15"/>
                <w:szCs w:val="15"/>
                <w:color w:val="auto"/>
              </w:rPr>
              <w:t>2,065</w:t>
            </w:r>
          </w:p>
        </w:tc>
        <w:tc>
          <w:tcPr>
            <w:tcW w:w="840" w:type="dxa"/>
            <w:vAlign w:val="bottom"/>
          </w:tcPr>
          <w:p>
            <w:pPr>
              <w:jc w:val="right"/>
              <w:ind w:right="8"/>
              <w:spacing w:after="0"/>
              <w:rPr>
                <w:sz w:val="20"/>
                <w:szCs w:val="20"/>
                <w:color w:val="auto"/>
              </w:rPr>
            </w:pPr>
            <w:r>
              <w:rPr>
                <w:rFonts w:ascii="Arial" w:cs="Arial" w:eastAsia="Arial" w:hAnsi="Arial"/>
                <w:sz w:val="15"/>
                <w:szCs w:val="15"/>
                <w:color w:val="auto"/>
              </w:rPr>
              <w:t>2,182</w:t>
            </w:r>
          </w:p>
        </w:tc>
        <w:tc>
          <w:tcPr>
            <w:tcW w:w="880" w:type="dxa"/>
            <w:vAlign w:val="bottom"/>
          </w:tcPr>
          <w:p>
            <w:pPr>
              <w:jc w:val="right"/>
              <w:spacing w:after="0"/>
              <w:rPr>
                <w:sz w:val="20"/>
                <w:szCs w:val="20"/>
                <w:color w:val="auto"/>
              </w:rPr>
            </w:pPr>
            <w:r>
              <w:rPr>
                <w:rFonts w:ascii="Arial" w:cs="Arial" w:eastAsia="Arial" w:hAnsi="Arial"/>
                <w:sz w:val="15"/>
                <w:szCs w:val="15"/>
                <w:color w:val="auto"/>
              </w:rPr>
              <w:t>2,111</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5"/>
                <w:szCs w:val="15"/>
                <w:color w:val="auto"/>
              </w:rPr>
              <w:t>2,193</w:t>
            </w:r>
          </w:p>
        </w:tc>
        <w:tc>
          <w:tcPr>
            <w:tcW w:w="780" w:type="dxa"/>
            <w:vAlign w:val="bottom"/>
          </w:tcPr>
          <w:p>
            <w:pPr>
              <w:jc w:val="right"/>
              <w:ind w:right="28"/>
              <w:spacing w:after="0"/>
              <w:rPr>
                <w:sz w:val="20"/>
                <w:szCs w:val="20"/>
                <w:color w:val="auto"/>
              </w:rPr>
            </w:pPr>
            <w:r>
              <w:rPr>
                <w:rFonts w:ascii="Arial" w:cs="Arial" w:eastAsia="Arial" w:hAnsi="Arial"/>
                <w:sz w:val="15"/>
                <w:szCs w:val="15"/>
                <w:color w:val="auto"/>
              </w:rPr>
              <w:t>2,182</w:t>
            </w:r>
          </w:p>
        </w:tc>
        <w:tc>
          <w:tcPr>
            <w:tcW w:w="800" w:type="dxa"/>
            <w:vAlign w:val="bottom"/>
          </w:tcPr>
          <w:p>
            <w:pPr>
              <w:jc w:val="right"/>
              <w:ind w:right="28"/>
              <w:spacing w:after="0"/>
              <w:rPr>
                <w:sz w:val="20"/>
                <w:szCs w:val="20"/>
                <w:color w:val="auto"/>
              </w:rPr>
            </w:pPr>
            <w:r>
              <w:rPr>
                <w:rFonts w:ascii="Arial" w:cs="Arial" w:eastAsia="Arial" w:hAnsi="Arial"/>
                <w:sz w:val="15"/>
                <w:szCs w:val="15"/>
                <w:color w:val="auto"/>
              </w:rPr>
              <w:t>2,199</w:t>
            </w:r>
          </w:p>
        </w:tc>
        <w:tc>
          <w:tcPr>
            <w:tcW w:w="1040" w:type="dxa"/>
            <w:vAlign w:val="bottom"/>
          </w:tcPr>
          <w:p>
            <w:pPr>
              <w:jc w:val="right"/>
              <w:ind w:right="268"/>
              <w:spacing w:after="0"/>
              <w:rPr>
                <w:sz w:val="20"/>
                <w:szCs w:val="20"/>
                <w:color w:val="auto"/>
              </w:rPr>
            </w:pPr>
            <w:r>
              <w:rPr>
                <w:rFonts w:ascii="Arial" w:cs="Arial" w:eastAsia="Arial" w:hAnsi="Arial"/>
                <w:sz w:val="15"/>
                <w:szCs w:val="15"/>
                <w:color w:val="auto"/>
              </w:rPr>
              <w:t>2,235</w:t>
            </w:r>
          </w:p>
        </w:tc>
      </w:tr>
      <w:tr>
        <w:trPr>
          <w:trHeight w:val="187"/>
        </w:trPr>
        <w:tc>
          <w:tcPr>
            <w:tcW w:w="2660" w:type="dxa"/>
            <w:vAlign w:val="bottom"/>
            <w:gridSpan w:val="2"/>
          </w:tcPr>
          <w:p>
            <w:pPr>
              <w:ind w:left="240"/>
              <w:spacing w:after="0"/>
              <w:rPr>
                <w:sz w:val="20"/>
                <w:szCs w:val="20"/>
                <w:color w:val="auto"/>
              </w:rPr>
            </w:pPr>
            <w:r>
              <w:rPr>
                <w:rFonts w:ascii="Arial" w:cs="Arial" w:eastAsia="Arial" w:hAnsi="Arial"/>
                <w:sz w:val="15"/>
                <w:szCs w:val="15"/>
                <w:color w:val="auto"/>
              </w:rPr>
              <w:t>synthetic oil and bitumen</w:t>
            </w: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64"/>
        </w:trPr>
        <w:tc>
          <w:tcPr>
            <w:tcW w:w="2660" w:type="dxa"/>
            <w:vAlign w:val="bottom"/>
            <w:gridSpan w:val="2"/>
          </w:tcPr>
          <w:p>
            <w:pPr>
              <w:spacing w:after="0"/>
              <w:rPr>
                <w:sz w:val="20"/>
                <w:szCs w:val="20"/>
                <w:color w:val="auto"/>
              </w:rPr>
            </w:pPr>
            <w:r>
              <w:rPr>
                <w:rFonts w:ascii="Arial" w:cs="Arial" w:eastAsia="Arial" w:hAnsi="Arial"/>
                <w:sz w:val="15"/>
                <w:szCs w:val="15"/>
                <w:color w:val="auto"/>
              </w:rPr>
              <w:t>Refinery throughput</w:t>
            </w:r>
          </w:p>
        </w:tc>
        <w:tc>
          <w:tcPr>
            <w:tcW w:w="1000" w:type="dxa"/>
            <w:vAlign w:val="bottom"/>
          </w:tcPr>
          <w:p>
            <w:pPr>
              <w:jc w:val="right"/>
              <w:ind w:right="68"/>
              <w:spacing w:after="0"/>
              <w:rPr>
                <w:sz w:val="20"/>
                <w:szCs w:val="20"/>
                <w:color w:val="auto"/>
              </w:rPr>
            </w:pPr>
            <w:r>
              <w:rPr>
                <w:rFonts w:ascii="Arial" w:cs="Arial" w:eastAsia="Arial" w:hAnsi="Arial"/>
                <w:sz w:val="15"/>
                <w:szCs w:val="15"/>
                <w:color w:val="auto"/>
              </w:rPr>
              <w:t>4,509</w:t>
            </w:r>
          </w:p>
        </w:tc>
        <w:tc>
          <w:tcPr>
            <w:tcW w:w="900" w:type="dxa"/>
            <w:vAlign w:val="bottom"/>
          </w:tcPr>
          <w:p>
            <w:pPr>
              <w:jc w:val="right"/>
              <w:ind w:right="48"/>
              <w:spacing w:after="0"/>
              <w:rPr>
                <w:sz w:val="20"/>
                <w:szCs w:val="20"/>
                <w:color w:val="auto"/>
              </w:rPr>
            </w:pPr>
            <w:r>
              <w:rPr>
                <w:rFonts w:ascii="Arial" w:cs="Arial" w:eastAsia="Arial" w:hAnsi="Arial"/>
                <w:sz w:val="15"/>
                <w:szCs w:val="15"/>
                <w:color w:val="auto"/>
              </w:rPr>
              <w:t>4,454</w:t>
            </w:r>
          </w:p>
        </w:tc>
        <w:tc>
          <w:tcPr>
            <w:tcW w:w="840" w:type="dxa"/>
            <w:vAlign w:val="bottom"/>
          </w:tcPr>
          <w:p>
            <w:pPr>
              <w:jc w:val="right"/>
              <w:ind w:right="68"/>
              <w:spacing w:after="0"/>
              <w:rPr>
                <w:sz w:val="20"/>
                <w:szCs w:val="20"/>
                <w:color w:val="auto"/>
              </w:rPr>
            </w:pPr>
            <w:r>
              <w:rPr>
                <w:rFonts w:ascii="Arial" w:cs="Arial" w:eastAsia="Arial" w:hAnsi="Arial"/>
                <w:sz w:val="15"/>
                <w:szCs w:val="15"/>
                <w:color w:val="auto"/>
              </w:rPr>
              <w:t>4,591</w:t>
            </w:r>
          </w:p>
        </w:tc>
        <w:tc>
          <w:tcPr>
            <w:tcW w:w="840" w:type="dxa"/>
            <w:vAlign w:val="bottom"/>
          </w:tcPr>
          <w:p>
            <w:pPr>
              <w:jc w:val="right"/>
              <w:ind w:right="8"/>
              <w:spacing w:after="0"/>
              <w:rPr>
                <w:sz w:val="20"/>
                <w:szCs w:val="20"/>
                <w:color w:val="auto"/>
              </w:rPr>
            </w:pPr>
            <w:r>
              <w:rPr>
                <w:rFonts w:ascii="Arial" w:cs="Arial" w:eastAsia="Arial" w:hAnsi="Arial"/>
                <w:sz w:val="15"/>
                <w:szCs w:val="15"/>
                <w:color w:val="auto"/>
              </w:rPr>
              <w:t>4,349</w:t>
            </w:r>
          </w:p>
        </w:tc>
        <w:tc>
          <w:tcPr>
            <w:tcW w:w="880" w:type="dxa"/>
            <w:vAlign w:val="bottom"/>
          </w:tcPr>
          <w:p>
            <w:pPr>
              <w:jc w:val="right"/>
              <w:spacing w:after="0"/>
              <w:rPr>
                <w:sz w:val="20"/>
                <w:szCs w:val="20"/>
                <w:color w:val="auto"/>
              </w:rPr>
            </w:pPr>
            <w:r>
              <w:rPr>
                <w:rFonts w:ascii="Arial" w:cs="Arial" w:eastAsia="Arial" w:hAnsi="Arial"/>
                <w:sz w:val="15"/>
                <w:szCs w:val="15"/>
                <w:color w:val="auto"/>
              </w:rPr>
              <w:t>4,476</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5"/>
                <w:szCs w:val="15"/>
                <w:color w:val="auto"/>
              </w:rPr>
              <w:t>4,576</w:t>
            </w:r>
          </w:p>
        </w:tc>
        <w:tc>
          <w:tcPr>
            <w:tcW w:w="780" w:type="dxa"/>
            <w:vAlign w:val="bottom"/>
          </w:tcPr>
          <w:p>
            <w:pPr>
              <w:jc w:val="right"/>
              <w:ind w:right="28"/>
              <w:spacing w:after="0"/>
              <w:rPr>
                <w:sz w:val="20"/>
                <w:szCs w:val="20"/>
                <w:color w:val="auto"/>
              </w:rPr>
            </w:pPr>
            <w:r>
              <w:rPr>
                <w:rFonts w:ascii="Arial" w:cs="Arial" w:eastAsia="Arial" w:hAnsi="Arial"/>
                <w:sz w:val="15"/>
                <w:szCs w:val="15"/>
                <w:color w:val="auto"/>
              </w:rPr>
              <w:t>4,466</w:t>
            </w:r>
          </w:p>
        </w:tc>
        <w:tc>
          <w:tcPr>
            <w:tcW w:w="800" w:type="dxa"/>
            <w:vAlign w:val="bottom"/>
          </w:tcPr>
          <w:p>
            <w:pPr>
              <w:jc w:val="right"/>
              <w:ind w:right="28"/>
              <w:spacing w:after="0"/>
              <w:rPr>
                <w:sz w:val="20"/>
                <w:szCs w:val="20"/>
                <w:color w:val="auto"/>
              </w:rPr>
            </w:pPr>
            <w:r>
              <w:rPr>
                <w:rFonts w:ascii="Arial" w:cs="Arial" w:eastAsia="Arial" w:hAnsi="Arial"/>
                <w:sz w:val="15"/>
                <w:szCs w:val="15"/>
                <w:color w:val="auto"/>
              </w:rPr>
              <w:t>4,847</w:t>
            </w:r>
          </w:p>
        </w:tc>
        <w:tc>
          <w:tcPr>
            <w:tcW w:w="1040" w:type="dxa"/>
            <w:vAlign w:val="bottom"/>
          </w:tcPr>
          <w:p>
            <w:pPr>
              <w:jc w:val="right"/>
              <w:ind w:right="268"/>
              <w:spacing w:after="0"/>
              <w:rPr>
                <w:sz w:val="20"/>
                <w:szCs w:val="20"/>
                <w:color w:val="auto"/>
              </w:rPr>
            </w:pPr>
            <w:r>
              <w:rPr>
                <w:rFonts w:ascii="Arial" w:cs="Arial" w:eastAsia="Arial" w:hAnsi="Arial"/>
                <w:sz w:val="15"/>
                <w:szCs w:val="15"/>
                <w:color w:val="auto"/>
              </w:rPr>
              <w:t>4,452</w:t>
            </w:r>
          </w:p>
        </w:tc>
      </w:tr>
      <w:tr>
        <w:trPr>
          <w:trHeight w:val="187"/>
        </w:trPr>
        <w:tc>
          <w:tcPr>
            <w:tcW w:w="2660" w:type="dxa"/>
            <w:vAlign w:val="bottom"/>
            <w:gridSpan w:val="2"/>
          </w:tcPr>
          <w:p>
            <w:pPr>
              <w:spacing w:after="0"/>
              <w:rPr>
                <w:sz w:val="20"/>
                <w:szCs w:val="20"/>
                <w:color w:val="auto"/>
              </w:rPr>
            </w:pPr>
            <w:r>
              <w:rPr>
                <w:rFonts w:ascii="Arial" w:cs="Arial" w:eastAsia="Arial" w:hAnsi="Arial"/>
                <w:sz w:val="15"/>
                <w:szCs w:val="15"/>
                <w:color w:val="auto"/>
              </w:rPr>
              <w:t>Petroleum product sales</w:t>
            </w:r>
          </w:p>
        </w:tc>
        <w:tc>
          <w:tcPr>
            <w:tcW w:w="1000" w:type="dxa"/>
            <w:vAlign w:val="bottom"/>
          </w:tcPr>
          <w:p>
            <w:pPr>
              <w:jc w:val="right"/>
              <w:ind w:right="68"/>
              <w:spacing w:after="0"/>
              <w:rPr>
                <w:sz w:val="20"/>
                <w:szCs w:val="20"/>
                <w:color w:val="auto"/>
              </w:rPr>
            </w:pPr>
            <w:r>
              <w:rPr>
                <w:rFonts w:ascii="Arial" w:cs="Arial" w:eastAsia="Arial" w:hAnsi="Arial"/>
                <w:sz w:val="15"/>
                <w:szCs w:val="15"/>
                <w:color w:val="auto"/>
              </w:rPr>
              <w:t>5,817</w:t>
            </w:r>
          </w:p>
        </w:tc>
        <w:tc>
          <w:tcPr>
            <w:tcW w:w="900" w:type="dxa"/>
            <w:vAlign w:val="bottom"/>
          </w:tcPr>
          <w:p>
            <w:pPr>
              <w:jc w:val="right"/>
              <w:ind w:right="48"/>
              <w:spacing w:after="0"/>
              <w:rPr>
                <w:sz w:val="20"/>
                <w:szCs w:val="20"/>
                <w:color w:val="auto"/>
              </w:rPr>
            </w:pPr>
            <w:r>
              <w:rPr>
                <w:rFonts w:ascii="Arial" w:cs="Arial" w:eastAsia="Arial" w:hAnsi="Arial"/>
                <w:sz w:val="15"/>
                <w:szCs w:val="15"/>
                <w:color w:val="auto"/>
              </w:rPr>
              <w:t>5,841</w:t>
            </w:r>
          </w:p>
        </w:tc>
        <w:tc>
          <w:tcPr>
            <w:tcW w:w="840" w:type="dxa"/>
            <w:vAlign w:val="bottom"/>
          </w:tcPr>
          <w:p>
            <w:pPr>
              <w:jc w:val="right"/>
              <w:ind w:right="68"/>
              <w:spacing w:after="0"/>
              <w:rPr>
                <w:sz w:val="20"/>
                <w:szCs w:val="20"/>
                <w:color w:val="auto"/>
              </w:rPr>
            </w:pPr>
            <w:r>
              <w:rPr>
                <w:rFonts w:ascii="Arial" w:cs="Arial" w:eastAsia="Arial" w:hAnsi="Arial"/>
                <w:sz w:val="15"/>
                <w:szCs w:val="15"/>
                <w:color w:val="auto"/>
              </w:rPr>
              <w:t>5,999</w:t>
            </w:r>
          </w:p>
        </w:tc>
        <w:tc>
          <w:tcPr>
            <w:tcW w:w="840" w:type="dxa"/>
            <w:vAlign w:val="bottom"/>
          </w:tcPr>
          <w:p>
            <w:pPr>
              <w:jc w:val="right"/>
              <w:ind w:right="8"/>
              <w:spacing w:after="0"/>
              <w:rPr>
                <w:sz w:val="20"/>
                <w:szCs w:val="20"/>
                <w:color w:val="auto"/>
              </w:rPr>
            </w:pPr>
            <w:r>
              <w:rPr>
                <w:rFonts w:ascii="Arial" w:cs="Arial" w:eastAsia="Arial" w:hAnsi="Arial"/>
                <w:sz w:val="15"/>
                <w:szCs w:val="15"/>
                <w:color w:val="auto"/>
              </w:rPr>
              <w:t>5,845</w:t>
            </w:r>
          </w:p>
        </w:tc>
        <w:tc>
          <w:tcPr>
            <w:tcW w:w="880" w:type="dxa"/>
            <w:vAlign w:val="bottom"/>
          </w:tcPr>
          <w:p>
            <w:pPr>
              <w:jc w:val="right"/>
              <w:spacing w:after="0"/>
              <w:rPr>
                <w:sz w:val="20"/>
                <w:szCs w:val="20"/>
                <w:color w:val="auto"/>
              </w:rPr>
            </w:pPr>
            <w:r>
              <w:rPr>
                <w:rFonts w:ascii="Arial" w:cs="Arial" w:eastAsia="Arial" w:hAnsi="Arial"/>
                <w:sz w:val="15"/>
                <w:szCs w:val="15"/>
                <w:color w:val="auto"/>
              </w:rPr>
              <w:t>5,875</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5"/>
                <w:szCs w:val="15"/>
                <w:color w:val="auto"/>
              </w:rPr>
              <w:t>5,755</w:t>
            </w:r>
          </w:p>
        </w:tc>
        <w:tc>
          <w:tcPr>
            <w:tcW w:w="780" w:type="dxa"/>
            <w:vAlign w:val="bottom"/>
          </w:tcPr>
          <w:p>
            <w:pPr>
              <w:jc w:val="right"/>
              <w:ind w:right="28"/>
              <w:spacing w:after="0"/>
              <w:rPr>
                <w:sz w:val="20"/>
                <w:szCs w:val="20"/>
                <w:color w:val="auto"/>
              </w:rPr>
            </w:pPr>
            <w:r>
              <w:rPr>
                <w:rFonts w:ascii="Arial" w:cs="Arial" w:eastAsia="Arial" w:hAnsi="Arial"/>
                <w:sz w:val="15"/>
                <w:szCs w:val="15"/>
                <w:color w:val="auto"/>
              </w:rPr>
              <w:t>5,765</w:t>
            </w:r>
          </w:p>
        </w:tc>
        <w:tc>
          <w:tcPr>
            <w:tcW w:w="800" w:type="dxa"/>
            <w:vAlign w:val="bottom"/>
          </w:tcPr>
          <w:p>
            <w:pPr>
              <w:jc w:val="right"/>
              <w:ind w:right="28"/>
              <w:spacing w:after="0"/>
              <w:rPr>
                <w:sz w:val="20"/>
                <w:szCs w:val="20"/>
                <w:color w:val="auto"/>
              </w:rPr>
            </w:pPr>
            <w:r>
              <w:rPr>
                <w:rFonts w:ascii="Arial" w:cs="Arial" w:eastAsia="Arial" w:hAnsi="Arial"/>
                <w:sz w:val="15"/>
                <w:szCs w:val="15"/>
                <w:color w:val="auto"/>
              </w:rPr>
              <w:t>6,031</w:t>
            </w:r>
          </w:p>
        </w:tc>
        <w:tc>
          <w:tcPr>
            <w:tcW w:w="1040" w:type="dxa"/>
            <w:vAlign w:val="bottom"/>
          </w:tcPr>
          <w:p>
            <w:pPr>
              <w:jc w:val="right"/>
              <w:ind w:right="268"/>
              <w:spacing w:after="0"/>
              <w:rPr>
                <w:sz w:val="20"/>
                <w:szCs w:val="20"/>
                <w:color w:val="auto"/>
              </w:rPr>
            </w:pPr>
            <w:r>
              <w:rPr>
                <w:rFonts w:ascii="Arial" w:cs="Arial" w:eastAsia="Arial" w:hAnsi="Arial"/>
                <w:sz w:val="15"/>
                <w:szCs w:val="15"/>
                <w:color w:val="auto"/>
              </w:rPr>
              <w:t>5,994</w:t>
            </w:r>
          </w:p>
        </w:tc>
      </w:tr>
      <w:tr>
        <w:trPr>
          <w:trHeight w:val="364"/>
        </w:trPr>
        <w:tc>
          <w:tcPr>
            <w:tcW w:w="2660" w:type="dxa"/>
            <w:vAlign w:val="bottom"/>
            <w:gridSpan w:val="2"/>
          </w:tcPr>
          <w:p>
            <w:pPr>
              <w:spacing w:after="0"/>
              <w:rPr>
                <w:sz w:val="20"/>
                <w:szCs w:val="20"/>
                <w:color w:val="auto"/>
              </w:rPr>
            </w:pPr>
            <w:r>
              <w:rPr>
                <w:rFonts w:ascii="Arial" w:cs="Arial" w:eastAsia="Arial" w:hAnsi="Arial"/>
                <w:sz w:val="15"/>
                <w:szCs w:val="15"/>
                <w:color w:val="auto"/>
              </w:rPr>
              <w:t>Natural gas production</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80" w:type="dxa"/>
            <w:vAlign w:val="bottom"/>
            <w:gridSpan w:val="4"/>
          </w:tcPr>
          <w:p>
            <w:pPr>
              <w:jc w:val="center"/>
              <w:ind w:right="408"/>
              <w:spacing w:after="0"/>
              <w:rPr>
                <w:sz w:val="20"/>
                <w:szCs w:val="20"/>
                <w:color w:val="auto"/>
              </w:rPr>
            </w:pPr>
            <w:r>
              <w:rPr>
                <w:rFonts w:ascii="Arial" w:cs="Arial" w:eastAsia="Arial" w:hAnsi="Arial"/>
                <w:sz w:val="13"/>
                <w:szCs w:val="13"/>
                <w:i w:val="1"/>
                <w:iCs w:val="1"/>
                <w:color w:val="auto"/>
                <w:w w:val="94"/>
              </w:rPr>
              <w:t>(millions of cubic feet daily)</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7"/>
        </w:trPr>
        <w:tc>
          <w:tcPr>
            <w:tcW w:w="2660" w:type="dxa"/>
            <w:vAlign w:val="bottom"/>
            <w:gridSpan w:val="2"/>
          </w:tcPr>
          <w:p>
            <w:pPr>
              <w:ind w:left="240"/>
              <w:spacing w:after="0"/>
              <w:rPr>
                <w:sz w:val="20"/>
                <w:szCs w:val="20"/>
                <w:color w:val="auto"/>
              </w:rPr>
            </w:pPr>
            <w:r>
              <w:rPr>
                <w:rFonts w:ascii="Arial" w:cs="Arial" w:eastAsia="Arial" w:hAnsi="Arial"/>
                <w:sz w:val="15"/>
                <w:szCs w:val="15"/>
                <w:color w:val="auto"/>
              </w:rPr>
              <w:t>available for sale</w:t>
            </w:r>
          </w:p>
        </w:tc>
        <w:tc>
          <w:tcPr>
            <w:tcW w:w="1000" w:type="dxa"/>
            <w:vAlign w:val="bottom"/>
          </w:tcPr>
          <w:p>
            <w:pPr>
              <w:jc w:val="right"/>
              <w:ind w:right="68"/>
              <w:spacing w:after="0"/>
              <w:rPr>
                <w:sz w:val="20"/>
                <w:szCs w:val="20"/>
                <w:color w:val="auto"/>
              </w:rPr>
            </w:pPr>
            <w:r>
              <w:rPr>
                <w:rFonts w:ascii="Arial" w:cs="Arial" w:eastAsia="Arial" w:hAnsi="Arial"/>
                <w:sz w:val="15"/>
                <w:szCs w:val="15"/>
                <w:color w:val="auto"/>
              </w:rPr>
              <w:t>12,016</w:t>
            </w:r>
          </w:p>
        </w:tc>
        <w:tc>
          <w:tcPr>
            <w:tcW w:w="900" w:type="dxa"/>
            <w:vAlign w:val="bottom"/>
          </w:tcPr>
          <w:p>
            <w:pPr>
              <w:jc w:val="right"/>
              <w:ind w:right="48"/>
              <w:spacing w:after="0"/>
              <w:rPr>
                <w:sz w:val="20"/>
                <w:szCs w:val="20"/>
                <w:color w:val="auto"/>
              </w:rPr>
            </w:pPr>
            <w:r>
              <w:rPr>
                <w:rFonts w:ascii="Arial" w:cs="Arial" w:eastAsia="Arial" w:hAnsi="Arial"/>
                <w:sz w:val="15"/>
                <w:szCs w:val="15"/>
                <w:color w:val="auto"/>
              </w:rPr>
              <w:t>10,750</w:t>
            </w:r>
          </w:p>
        </w:tc>
        <w:tc>
          <w:tcPr>
            <w:tcW w:w="840" w:type="dxa"/>
            <w:vAlign w:val="bottom"/>
          </w:tcPr>
          <w:p>
            <w:pPr>
              <w:jc w:val="right"/>
              <w:ind w:right="68"/>
              <w:spacing w:after="0"/>
              <w:rPr>
                <w:sz w:val="20"/>
                <w:szCs w:val="20"/>
                <w:color w:val="auto"/>
              </w:rPr>
            </w:pPr>
            <w:r>
              <w:rPr>
                <w:rFonts w:ascii="Arial" w:cs="Arial" w:eastAsia="Arial" w:hAnsi="Arial"/>
                <w:sz w:val="15"/>
                <w:szCs w:val="15"/>
                <w:color w:val="auto"/>
              </w:rPr>
              <w:t>10,595</w:t>
            </w:r>
          </w:p>
        </w:tc>
        <w:tc>
          <w:tcPr>
            <w:tcW w:w="840" w:type="dxa"/>
            <w:vAlign w:val="bottom"/>
          </w:tcPr>
          <w:p>
            <w:pPr>
              <w:jc w:val="right"/>
              <w:ind w:right="8"/>
              <w:spacing w:after="0"/>
              <w:rPr>
                <w:sz w:val="20"/>
                <w:szCs w:val="20"/>
                <w:color w:val="auto"/>
              </w:rPr>
            </w:pPr>
            <w:r>
              <w:rPr>
                <w:rFonts w:ascii="Arial" w:cs="Arial" w:eastAsia="Arial" w:hAnsi="Arial"/>
                <w:sz w:val="15"/>
                <w:szCs w:val="15"/>
                <w:color w:val="auto"/>
              </w:rPr>
              <w:t>11,234</w:t>
            </w:r>
          </w:p>
        </w:tc>
        <w:tc>
          <w:tcPr>
            <w:tcW w:w="880" w:type="dxa"/>
            <w:vAlign w:val="bottom"/>
          </w:tcPr>
          <w:p>
            <w:pPr>
              <w:jc w:val="right"/>
              <w:spacing w:after="0"/>
              <w:rPr>
                <w:sz w:val="20"/>
                <w:szCs w:val="20"/>
                <w:color w:val="auto"/>
              </w:rPr>
            </w:pPr>
            <w:r>
              <w:rPr>
                <w:rFonts w:ascii="Arial" w:cs="Arial" w:eastAsia="Arial" w:hAnsi="Arial"/>
                <w:sz w:val="15"/>
                <w:szCs w:val="15"/>
                <w:color w:val="auto"/>
              </w:rPr>
              <w:t>11,145</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5"/>
                <w:szCs w:val="15"/>
                <w:color w:val="auto"/>
              </w:rPr>
              <w:t>13,213</w:t>
            </w:r>
          </w:p>
        </w:tc>
        <w:tc>
          <w:tcPr>
            <w:tcW w:w="780" w:type="dxa"/>
            <w:vAlign w:val="bottom"/>
          </w:tcPr>
          <w:p>
            <w:pPr>
              <w:jc w:val="right"/>
              <w:ind w:right="28"/>
              <w:spacing w:after="0"/>
              <w:rPr>
                <w:sz w:val="20"/>
                <w:szCs w:val="20"/>
                <w:color w:val="auto"/>
              </w:rPr>
            </w:pPr>
            <w:r>
              <w:rPr>
                <w:rFonts w:ascii="Arial" w:cs="Arial" w:eastAsia="Arial" w:hAnsi="Arial"/>
                <w:sz w:val="15"/>
                <w:szCs w:val="15"/>
                <w:color w:val="auto"/>
              </w:rPr>
              <w:t>11,354</w:t>
            </w:r>
          </w:p>
        </w:tc>
        <w:tc>
          <w:tcPr>
            <w:tcW w:w="800" w:type="dxa"/>
            <w:vAlign w:val="bottom"/>
          </w:tcPr>
          <w:p>
            <w:pPr>
              <w:jc w:val="right"/>
              <w:ind w:right="28"/>
              <w:spacing w:after="0"/>
              <w:rPr>
                <w:sz w:val="20"/>
                <w:szCs w:val="20"/>
                <w:color w:val="auto"/>
              </w:rPr>
            </w:pPr>
            <w:r>
              <w:rPr>
                <w:rFonts w:ascii="Arial" w:cs="Arial" w:eastAsia="Arial" w:hAnsi="Arial"/>
                <w:sz w:val="15"/>
                <w:szCs w:val="15"/>
                <w:color w:val="auto"/>
              </w:rPr>
              <w:t>10,914</w:t>
            </w:r>
          </w:p>
        </w:tc>
        <w:tc>
          <w:tcPr>
            <w:tcW w:w="1040" w:type="dxa"/>
            <w:vAlign w:val="bottom"/>
          </w:tcPr>
          <w:p>
            <w:pPr>
              <w:jc w:val="right"/>
              <w:ind w:right="268"/>
              <w:spacing w:after="0"/>
              <w:rPr>
                <w:sz w:val="20"/>
                <w:szCs w:val="20"/>
                <w:color w:val="auto"/>
              </w:rPr>
            </w:pPr>
            <w:r>
              <w:rPr>
                <w:rFonts w:ascii="Arial" w:cs="Arial" w:eastAsia="Arial" w:hAnsi="Arial"/>
                <w:sz w:val="15"/>
                <w:szCs w:val="15"/>
                <w:color w:val="auto"/>
              </w:rPr>
              <w:t>11,887</w:t>
            </w:r>
          </w:p>
        </w:tc>
      </w:tr>
      <w:tr>
        <w:trPr>
          <w:trHeight w:val="362"/>
        </w:trPr>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20" w:type="dxa"/>
            <w:vAlign w:val="bottom"/>
            <w:gridSpan w:val="5"/>
          </w:tcPr>
          <w:p>
            <w:pPr>
              <w:jc w:val="center"/>
              <w:ind w:left="288"/>
              <w:spacing w:after="0"/>
              <w:rPr>
                <w:sz w:val="20"/>
                <w:szCs w:val="20"/>
                <w:color w:val="auto"/>
              </w:rPr>
            </w:pPr>
            <w:r>
              <w:rPr>
                <w:rFonts w:ascii="Arial" w:cs="Arial" w:eastAsia="Arial" w:hAnsi="Arial"/>
                <w:sz w:val="13"/>
                <w:szCs w:val="13"/>
                <w:i w:val="1"/>
                <w:iCs w:val="1"/>
                <w:color w:val="auto"/>
                <w:w w:val="92"/>
              </w:rPr>
              <w:t>(thousands of oil-equivalent barrels daily)</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0"/>
        </w:trPr>
        <w:tc>
          <w:tcPr>
            <w:tcW w:w="2660" w:type="dxa"/>
            <w:vAlign w:val="bottom"/>
            <w:gridSpan w:val="2"/>
          </w:tcPr>
          <w:p>
            <w:pPr>
              <w:spacing w:after="0"/>
              <w:rPr>
                <w:sz w:val="20"/>
                <w:szCs w:val="20"/>
                <w:color w:val="auto"/>
              </w:rPr>
            </w:pPr>
            <w:r>
              <w:rPr>
                <w:rFonts w:ascii="Arial" w:cs="Arial" w:eastAsia="Arial" w:hAnsi="Arial"/>
                <w:sz w:val="15"/>
                <w:szCs w:val="15"/>
                <w:color w:val="auto"/>
              </w:rPr>
              <w:t xml:space="preserve">Oil-equivalent production </w:t>
            </w:r>
            <w:r>
              <w:rPr>
                <w:rFonts w:ascii="Arial" w:cs="Arial" w:eastAsia="Arial" w:hAnsi="Arial"/>
                <w:sz w:val="15"/>
                <w:szCs w:val="15"/>
                <w:i w:val="1"/>
                <w:iCs w:val="1"/>
                <w:color w:val="auto"/>
              </w:rPr>
              <w:t>(1)</w:t>
            </w:r>
          </w:p>
        </w:tc>
        <w:tc>
          <w:tcPr>
            <w:tcW w:w="1000" w:type="dxa"/>
            <w:vAlign w:val="bottom"/>
          </w:tcPr>
          <w:p>
            <w:pPr>
              <w:jc w:val="right"/>
              <w:ind w:right="68"/>
              <w:spacing w:after="0"/>
              <w:rPr>
                <w:sz w:val="20"/>
                <w:szCs w:val="20"/>
                <w:color w:val="auto"/>
              </w:rPr>
            </w:pPr>
            <w:r>
              <w:rPr>
                <w:rFonts w:ascii="Arial" w:cs="Arial" w:eastAsia="Arial" w:hAnsi="Arial"/>
                <w:sz w:val="15"/>
                <w:szCs w:val="15"/>
                <w:color w:val="auto"/>
              </w:rPr>
              <w:t>4,151</w:t>
            </w:r>
          </w:p>
        </w:tc>
        <w:tc>
          <w:tcPr>
            <w:tcW w:w="900" w:type="dxa"/>
            <w:vAlign w:val="bottom"/>
          </w:tcPr>
          <w:p>
            <w:pPr>
              <w:jc w:val="right"/>
              <w:ind w:right="48"/>
              <w:spacing w:after="0"/>
              <w:rPr>
                <w:sz w:val="20"/>
                <w:szCs w:val="20"/>
                <w:color w:val="auto"/>
              </w:rPr>
            </w:pPr>
            <w:r>
              <w:rPr>
                <w:rFonts w:ascii="Arial" w:cs="Arial" w:eastAsia="Arial" w:hAnsi="Arial"/>
                <w:sz w:val="15"/>
                <w:szCs w:val="15"/>
                <w:color w:val="auto"/>
              </w:rPr>
              <w:t>3,840</w:t>
            </w:r>
          </w:p>
        </w:tc>
        <w:tc>
          <w:tcPr>
            <w:tcW w:w="840" w:type="dxa"/>
            <w:vAlign w:val="bottom"/>
          </w:tcPr>
          <w:p>
            <w:pPr>
              <w:jc w:val="right"/>
              <w:ind w:right="68"/>
              <w:spacing w:after="0"/>
              <w:rPr>
                <w:sz w:val="20"/>
                <w:szCs w:val="20"/>
                <w:color w:val="auto"/>
              </w:rPr>
            </w:pPr>
            <w:r>
              <w:rPr>
                <w:rFonts w:ascii="Arial" w:cs="Arial" w:eastAsia="Arial" w:hAnsi="Arial"/>
                <w:sz w:val="15"/>
                <w:szCs w:val="15"/>
                <w:color w:val="auto"/>
              </w:rPr>
              <w:t>3,831</w:t>
            </w:r>
          </w:p>
        </w:tc>
        <w:tc>
          <w:tcPr>
            <w:tcW w:w="840" w:type="dxa"/>
            <w:vAlign w:val="bottom"/>
          </w:tcPr>
          <w:p>
            <w:pPr>
              <w:jc w:val="right"/>
              <w:ind w:right="8"/>
              <w:spacing w:after="0"/>
              <w:rPr>
                <w:sz w:val="20"/>
                <w:szCs w:val="20"/>
                <w:color w:val="auto"/>
              </w:rPr>
            </w:pPr>
            <w:r>
              <w:rPr>
                <w:rFonts w:ascii="Arial" w:cs="Arial" w:eastAsia="Arial" w:hAnsi="Arial"/>
                <w:sz w:val="15"/>
                <w:szCs w:val="15"/>
                <w:color w:val="auto"/>
              </w:rPr>
              <w:t>4,054</w:t>
            </w:r>
          </w:p>
        </w:tc>
        <w:tc>
          <w:tcPr>
            <w:tcW w:w="880" w:type="dxa"/>
            <w:vAlign w:val="bottom"/>
          </w:tcPr>
          <w:p>
            <w:pPr>
              <w:jc w:val="right"/>
              <w:spacing w:after="0"/>
              <w:rPr>
                <w:sz w:val="20"/>
                <w:szCs w:val="20"/>
                <w:color w:val="auto"/>
              </w:rPr>
            </w:pPr>
            <w:r>
              <w:rPr>
                <w:rFonts w:ascii="Arial" w:cs="Arial" w:eastAsia="Arial" w:hAnsi="Arial"/>
                <w:sz w:val="15"/>
                <w:szCs w:val="15"/>
                <w:color w:val="auto"/>
              </w:rPr>
              <w:t>3,969</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5"/>
                <w:szCs w:val="15"/>
                <w:color w:val="auto"/>
              </w:rPr>
              <w:t>4,395</w:t>
            </w:r>
          </w:p>
        </w:tc>
        <w:tc>
          <w:tcPr>
            <w:tcW w:w="780" w:type="dxa"/>
            <w:vAlign w:val="bottom"/>
          </w:tcPr>
          <w:p>
            <w:pPr>
              <w:jc w:val="right"/>
              <w:ind w:right="28"/>
              <w:spacing w:after="0"/>
              <w:rPr>
                <w:sz w:val="20"/>
                <w:szCs w:val="20"/>
                <w:color w:val="auto"/>
              </w:rPr>
            </w:pPr>
            <w:r>
              <w:rPr>
                <w:rFonts w:ascii="Arial" w:cs="Arial" w:eastAsia="Arial" w:hAnsi="Arial"/>
                <w:sz w:val="15"/>
                <w:szCs w:val="15"/>
                <w:color w:val="auto"/>
              </w:rPr>
              <w:t>4,074</w:t>
            </w:r>
          </w:p>
        </w:tc>
        <w:tc>
          <w:tcPr>
            <w:tcW w:w="800" w:type="dxa"/>
            <w:vAlign w:val="bottom"/>
          </w:tcPr>
          <w:p>
            <w:pPr>
              <w:jc w:val="right"/>
              <w:ind w:right="28"/>
              <w:spacing w:after="0"/>
              <w:rPr>
                <w:sz w:val="20"/>
                <w:szCs w:val="20"/>
                <w:color w:val="auto"/>
              </w:rPr>
            </w:pPr>
            <w:r>
              <w:rPr>
                <w:rFonts w:ascii="Arial" w:cs="Arial" w:eastAsia="Arial" w:hAnsi="Arial"/>
                <w:sz w:val="15"/>
                <w:szCs w:val="15"/>
                <w:color w:val="auto"/>
              </w:rPr>
              <w:t>4,018</w:t>
            </w:r>
          </w:p>
        </w:tc>
        <w:tc>
          <w:tcPr>
            <w:tcW w:w="1040" w:type="dxa"/>
            <w:vAlign w:val="bottom"/>
          </w:tcPr>
          <w:p>
            <w:pPr>
              <w:jc w:val="right"/>
              <w:ind w:right="268"/>
              <w:spacing w:after="0"/>
              <w:rPr>
                <w:sz w:val="20"/>
                <w:szCs w:val="20"/>
                <w:color w:val="auto"/>
              </w:rPr>
            </w:pPr>
            <w:r>
              <w:rPr>
                <w:rFonts w:ascii="Arial" w:cs="Arial" w:eastAsia="Arial" w:hAnsi="Arial"/>
                <w:sz w:val="15"/>
                <w:szCs w:val="15"/>
                <w:color w:val="auto"/>
              </w:rPr>
              <w:t>4,216</w:t>
            </w:r>
          </w:p>
        </w:tc>
      </w:tr>
      <w:tr>
        <w:trPr>
          <w:trHeight w:val="362"/>
        </w:trPr>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80" w:type="dxa"/>
            <w:vAlign w:val="bottom"/>
            <w:gridSpan w:val="4"/>
          </w:tcPr>
          <w:p>
            <w:pPr>
              <w:jc w:val="center"/>
              <w:ind w:right="408"/>
              <w:spacing w:after="0"/>
              <w:rPr>
                <w:sz w:val="20"/>
                <w:szCs w:val="20"/>
                <w:color w:val="auto"/>
              </w:rPr>
            </w:pPr>
            <w:r>
              <w:rPr>
                <w:rFonts w:ascii="Arial" w:cs="Arial" w:eastAsia="Arial" w:hAnsi="Arial"/>
                <w:sz w:val="13"/>
                <w:szCs w:val="13"/>
                <w:i w:val="1"/>
                <w:iCs w:val="1"/>
                <w:color w:val="auto"/>
                <w:w w:val="90"/>
              </w:rPr>
              <w:t>(thousands of metric tons)</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0"/>
        </w:trPr>
        <w:tc>
          <w:tcPr>
            <w:tcW w:w="2660" w:type="dxa"/>
            <w:vAlign w:val="bottom"/>
            <w:gridSpan w:val="2"/>
          </w:tcPr>
          <w:p>
            <w:pPr>
              <w:spacing w:after="0"/>
              <w:rPr>
                <w:sz w:val="20"/>
                <w:szCs w:val="20"/>
                <w:color w:val="auto"/>
              </w:rPr>
            </w:pPr>
            <w:r>
              <w:rPr>
                <w:rFonts w:ascii="Arial" w:cs="Arial" w:eastAsia="Arial" w:hAnsi="Arial"/>
                <w:sz w:val="15"/>
                <w:szCs w:val="15"/>
                <w:color w:val="auto"/>
              </w:rPr>
              <w:t>Chemical prime product sales</w:t>
            </w:r>
          </w:p>
        </w:tc>
        <w:tc>
          <w:tcPr>
            <w:tcW w:w="1000" w:type="dxa"/>
            <w:vAlign w:val="bottom"/>
          </w:tcPr>
          <w:p>
            <w:pPr>
              <w:jc w:val="right"/>
              <w:ind w:right="68"/>
              <w:spacing w:after="0"/>
              <w:rPr>
                <w:sz w:val="20"/>
                <w:szCs w:val="20"/>
                <w:color w:val="auto"/>
              </w:rPr>
            </w:pPr>
            <w:r>
              <w:rPr>
                <w:rFonts w:ascii="Arial" w:cs="Arial" w:eastAsia="Arial" w:hAnsi="Arial"/>
                <w:sz w:val="15"/>
                <w:szCs w:val="15"/>
                <w:color w:val="auto"/>
              </w:rPr>
              <w:t>6,128</w:t>
            </w:r>
          </w:p>
        </w:tc>
        <w:tc>
          <w:tcPr>
            <w:tcW w:w="900" w:type="dxa"/>
            <w:vAlign w:val="bottom"/>
          </w:tcPr>
          <w:p>
            <w:pPr>
              <w:jc w:val="right"/>
              <w:ind w:right="48"/>
              <w:spacing w:after="0"/>
              <w:rPr>
                <w:sz w:val="20"/>
                <w:szCs w:val="20"/>
                <w:color w:val="auto"/>
              </w:rPr>
            </w:pPr>
            <w:r>
              <w:rPr>
                <w:rFonts w:ascii="Arial" w:cs="Arial" w:eastAsia="Arial" w:hAnsi="Arial"/>
                <w:sz w:val="15"/>
                <w:szCs w:val="15"/>
                <w:color w:val="auto"/>
              </w:rPr>
              <w:t>6,139</w:t>
            </w:r>
          </w:p>
        </w:tc>
        <w:tc>
          <w:tcPr>
            <w:tcW w:w="840" w:type="dxa"/>
            <w:vAlign w:val="bottom"/>
          </w:tcPr>
          <w:p>
            <w:pPr>
              <w:jc w:val="right"/>
              <w:ind w:right="68"/>
              <w:spacing w:after="0"/>
              <w:rPr>
                <w:sz w:val="20"/>
                <w:szCs w:val="20"/>
                <w:color w:val="auto"/>
              </w:rPr>
            </w:pPr>
            <w:r>
              <w:rPr>
                <w:rFonts w:ascii="Arial" w:cs="Arial" w:eastAsia="Arial" w:hAnsi="Arial"/>
                <w:sz w:val="15"/>
                <w:szCs w:val="15"/>
                <w:color w:val="auto"/>
              </w:rPr>
              <w:t>6,249</w:t>
            </w:r>
          </w:p>
        </w:tc>
        <w:tc>
          <w:tcPr>
            <w:tcW w:w="840" w:type="dxa"/>
            <w:vAlign w:val="bottom"/>
          </w:tcPr>
          <w:p>
            <w:pPr>
              <w:jc w:val="right"/>
              <w:ind w:right="8"/>
              <w:spacing w:after="0"/>
              <w:rPr>
                <w:sz w:val="20"/>
                <w:szCs w:val="20"/>
                <w:color w:val="auto"/>
              </w:rPr>
            </w:pPr>
            <w:r>
              <w:rPr>
                <w:rFonts w:ascii="Arial" w:cs="Arial" w:eastAsia="Arial" w:hAnsi="Arial"/>
                <w:sz w:val="15"/>
                <w:szCs w:val="15"/>
                <w:color w:val="auto"/>
              </w:rPr>
              <w:t>5,719</w:t>
            </w:r>
          </w:p>
        </w:tc>
        <w:tc>
          <w:tcPr>
            <w:tcW w:w="880" w:type="dxa"/>
            <w:vAlign w:val="bottom"/>
          </w:tcPr>
          <w:p>
            <w:pPr>
              <w:jc w:val="right"/>
              <w:spacing w:after="0"/>
              <w:rPr>
                <w:sz w:val="20"/>
                <w:szCs w:val="20"/>
                <w:color w:val="auto"/>
              </w:rPr>
            </w:pPr>
            <w:r>
              <w:rPr>
                <w:rFonts w:ascii="Arial" w:cs="Arial" w:eastAsia="Arial" w:hAnsi="Arial"/>
                <w:sz w:val="15"/>
                <w:szCs w:val="15"/>
                <w:color w:val="auto"/>
              </w:rPr>
              <w:t>24,235</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5"/>
                <w:szCs w:val="15"/>
                <w:color w:val="auto"/>
              </w:rPr>
              <w:t>5,910</w:t>
            </w:r>
          </w:p>
        </w:tc>
        <w:tc>
          <w:tcPr>
            <w:tcW w:w="780" w:type="dxa"/>
            <w:vAlign w:val="bottom"/>
          </w:tcPr>
          <w:p>
            <w:pPr>
              <w:jc w:val="right"/>
              <w:ind w:right="28"/>
              <w:spacing w:after="0"/>
              <w:rPr>
                <w:sz w:val="20"/>
                <w:szCs w:val="20"/>
                <w:color w:val="auto"/>
              </w:rPr>
            </w:pPr>
            <w:r>
              <w:rPr>
                <w:rFonts w:ascii="Arial" w:cs="Arial" w:eastAsia="Arial" w:hAnsi="Arial"/>
                <w:sz w:val="15"/>
                <w:szCs w:val="15"/>
                <w:color w:val="auto"/>
              </w:rPr>
              <w:t>5,831</w:t>
            </w:r>
          </w:p>
        </w:tc>
        <w:tc>
          <w:tcPr>
            <w:tcW w:w="800" w:type="dxa"/>
            <w:vAlign w:val="bottom"/>
          </w:tcPr>
          <w:p>
            <w:pPr>
              <w:jc w:val="right"/>
              <w:ind w:right="28"/>
              <w:spacing w:after="0"/>
              <w:rPr>
                <w:sz w:val="20"/>
                <w:szCs w:val="20"/>
                <w:color w:val="auto"/>
              </w:rPr>
            </w:pPr>
            <w:r>
              <w:rPr>
                <w:rFonts w:ascii="Arial" w:cs="Arial" w:eastAsia="Arial" w:hAnsi="Arial"/>
                <w:sz w:val="15"/>
                <w:szCs w:val="15"/>
                <w:color w:val="auto"/>
              </w:rPr>
              <w:t>6,245</w:t>
            </w:r>
          </w:p>
        </w:tc>
        <w:tc>
          <w:tcPr>
            <w:tcW w:w="1040" w:type="dxa"/>
            <w:vAlign w:val="bottom"/>
          </w:tcPr>
          <w:p>
            <w:pPr>
              <w:jc w:val="right"/>
              <w:ind w:right="268"/>
              <w:spacing w:after="0"/>
              <w:rPr>
                <w:sz w:val="20"/>
                <w:szCs w:val="20"/>
                <w:color w:val="auto"/>
              </w:rPr>
            </w:pPr>
            <w:r>
              <w:rPr>
                <w:rFonts w:ascii="Arial" w:cs="Arial" w:eastAsia="Arial" w:hAnsi="Arial"/>
                <w:sz w:val="15"/>
                <w:szCs w:val="15"/>
                <w:color w:val="auto"/>
              </w:rPr>
              <w:t>6,077</w:t>
            </w:r>
          </w:p>
        </w:tc>
      </w:tr>
      <w:tr>
        <w:trPr>
          <w:trHeight w:val="364"/>
        </w:trPr>
        <w:tc>
          <w:tcPr>
            <w:tcW w:w="2660" w:type="dxa"/>
            <w:vAlign w:val="bottom"/>
            <w:gridSpan w:val="2"/>
          </w:tcPr>
          <w:p>
            <w:pPr>
              <w:spacing w:after="0"/>
              <w:rPr>
                <w:sz w:val="20"/>
                <w:szCs w:val="20"/>
                <w:color w:val="auto"/>
              </w:rPr>
            </w:pPr>
            <w:r>
              <w:rPr>
                <w:rFonts w:ascii="Arial" w:cs="Arial" w:eastAsia="Arial" w:hAnsi="Arial"/>
                <w:sz w:val="15"/>
                <w:szCs w:val="15"/>
                <w:b w:val="1"/>
                <w:bCs w:val="1"/>
                <w:color w:val="auto"/>
              </w:rPr>
              <w:t>Summarized financial data</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4"/>
        </w:trPr>
        <w:tc>
          <w:tcPr>
            <w:tcW w:w="2660" w:type="dxa"/>
            <w:vAlign w:val="bottom"/>
            <w:gridSpan w:val="2"/>
          </w:tcPr>
          <w:p>
            <w:pPr>
              <w:spacing w:after="0"/>
              <w:rPr>
                <w:sz w:val="20"/>
                <w:szCs w:val="20"/>
                <w:color w:val="auto"/>
              </w:rPr>
            </w:pPr>
            <w:r>
              <w:rPr>
                <w:rFonts w:ascii="Arial" w:cs="Arial" w:eastAsia="Arial" w:hAnsi="Arial"/>
                <w:sz w:val="15"/>
                <w:szCs w:val="15"/>
                <w:color w:val="auto"/>
              </w:rPr>
              <w:t>Sales and other operating</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60" w:type="dxa"/>
            <w:vAlign w:val="bottom"/>
            <w:gridSpan w:val="3"/>
          </w:tcPr>
          <w:p>
            <w:pPr>
              <w:jc w:val="center"/>
              <w:ind w:left="169"/>
              <w:spacing w:after="0"/>
              <w:rPr>
                <w:sz w:val="20"/>
                <w:szCs w:val="20"/>
                <w:color w:val="auto"/>
              </w:rPr>
            </w:pPr>
            <w:r>
              <w:rPr>
                <w:rFonts w:ascii="Arial" w:cs="Arial" w:eastAsia="Arial" w:hAnsi="Arial"/>
                <w:sz w:val="13"/>
                <w:szCs w:val="13"/>
                <w:i w:val="1"/>
                <w:iCs w:val="1"/>
                <w:color w:val="auto"/>
                <w:w w:val="95"/>
              </w:rPr>
              <w:t>(millions of dollars)</w:t>
            </w: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4"/>
        </w:trPr>
        <w:tc>
          <w:tcPr>
            <w:tcW w:w="2660" w:type="dxa"/>
            <w:vAlign w:val="bottom"/>
            <w:gridSpan w:val="2"/>
          </w:tcPr>
          <w:p>
            <w:pPr>
              <w:ind w:left="240"/>
              <w:spacing w:after="0"/>
              <w:rPr>
                <w:sz w:val="20"/>
                <w:szCs w:val="20"/>
                <w:color w:val="auto"/>
              </w:rPr>
            </w:pPr>
            <w:r>
              <w:rPr>
                <w:rFonts w:ascii="Arial" w:cs="Arial" w:eastAsia="Arial" w:hAnsi="Arial"/>
                <w:sz w:val="15"/>
                <w:szCs w:val="15"/>
                <w:color w:val="auto"/>
              </w:rPr>
              <w:t xml:space="preserve">revenue </w:t>
            </w:r>
            <w:r>
              <w:rPr>
                <w:rFonts w:ascii="Arial" w:cs="Arial" w:eastAsia="Arial" w:hAnsi="Arial"/>
                <w:sz w:val="15"/>
                <w:szCs w:val="15"/>
                <w:i w:val="1"/>
                <w:iCs w:val="1"/>
                <w:color w:val="auto"/>
              </w:rPr>
              <w:t>(2)(3)</w:t>
            </w:r>
          </w:p>
        </w:tc>
        <w:tc>
          <w:tcPr>
            <w:tcW w:w="1000" w:type="dxa"/>
            <w:vAlign w:val="bottom"/>
          </w:tcPr>
          <w:p>
            <w:pPr>
              <w:jc w:val="right"/>
              <w:ind w:right="68"/>
              <w:spacing w:after="0"/>
              <w:rPr>
                <w:sz w:val="20"/>
                <w:szCs w:val="20"/>
                <w:color w:val="auto"/>
              </w:rPr>
            </w:pPr>
            <w:r>
              <w:rPr>
                <w:rFonts w:ascii="Arial" w:cs="Arial" w:eastAsia="Arial" w:hAnsi="Arial"/>
                <w:sz w:val="15"/>
                <w:szCs w:val="15"/>
                <w:color w:val="auto"/>
              </w:rPr>
              <w:t>101,312</w:t>
            </w:r>
          </w:p>
        </w:tc>
        <w:tc>
          <w:tcPr>
            <w:tcW w:w="900" w:type="dxa"/>
            <w:vAlign w:val="bottom"/>
          </w:tcPr>
          <w:p>
            <w:pPr>
              <w:jc w:val="right"/>
              <w:ind w:right="48"/>
              <w:spacing w:after="0"/>
              <w:rPr>
                <w:sz w:val="20"/>
                <w:szCs w:val="20"/>
                <w:color w:val="auto"/>
              </w:rPr>
            </w:pPr>
            <w:r>
              <w:rPr>
                <w:rFonts w:ascii="Arial" w:cs="Arial" w:eastAsia="Arial" w:hAnsi="Arial"/>
                <w:sz w:val="15"/>
                <w:szCs w:val="15"/>
                <w:color w:val="auto"/>
              </w:rPr>
              <w:t>105,719</w:t>
            </w:r>
          </w:p>
        </w:tc>
        <w:tc>
          <w:tcPr>
            <w:tcW w:w="840" w:type="dxa"/>
            <w:vAlign w:val="bottom"/>
          </w:tcPr>
          <w:p>
            <w:pPr>
              <w:jc w:val="right"/>
              <w:ind w:right="68"/>
              <w:spacing w:after="0"/>
              <w:rPr>
                <w:sz w:val="20"/>
                <w:szCs w:val="20"/>
                <w:color w:val="auto"/>
              </w:rPr>
            </w:pPr>
            <w:r>
              <w:rPr>
                <w:rFonts w:ascii="Arial" w:cs="Arial" w:eastAsia="Arial" w:hAnsi="Arial"/>
                <w:sz w:val="15"/>
                <w:szCs w:val="15"/>
                <w:color w:val="auto"/>
              </w:rPr>
              <w:t>103,206</w:t>
            </w:r>
          </w:p>
        </w:tc>
        <w:tc>
          <w:tcPr>
            <w:tcW w:w="840" w:type="dxa"/>
            <w:vAlign w:val="bottom"/>
          </w:tcPr>
          <w:p>
            <w:pPr>
              <w:jc w:val="right"/>
              <w:ind w:right="8"/>
              <w:spacing w:after="0"/>
              <w:rPr>
                <w:sz w:val="20"/>
                <w:szCs w:val="20"/>
                <w:color w:val="auto"/>
              </w:rPr>
            </w:pPr>
            <w:r>
              <w:rPr>
                <w:rFonts w:ascii="Arial" w:cs="Arial" w:eastAsia="Arial" w:hAnsi="Arial"/>
                <w:sz w:val="15"/>
                <w:szCs w:val="15"/>
                <w:color w:val="auto"/>
              </w:rPr>
              <w:t>83,868</w:t>
            </w:r>
          </w:p>
        </w:tc>
        <w:tc>
          <w:tcPr>
            <w:tcW w:w="880" w:type="dxa"/>
            <w:vAlign w:val="bottom"/>
          </w:tcPr>
          <w:p>
            <w:pPr>
              <w:jc w:val="right"/>
              <w:spacing w:after="0"/>
              <w:rPr>
                <w:sz w:val="20"/>
                <w:szCs w:val="20"/>
                <w:color w:val="auto"/>
              </w:rPr>
            </w:pPr>
            <w:r>
              <w:rPr>
                <w:rFonts w:ascii="Arial" w:cs="Arial" w:eastAsia="Arial" w:hAnsi="Arial"/>
                <w:sz w:val="15"/>
                <w:szCs w:val="15"/>
                <w:color w:val="auto"/>
              </w:rPr>
              <w:t>394,105</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5"/>
                <w:szCs w:val="15"/>
                <w:color w:val="auto"/>
              </w:rPr>
              <w:t>103,378</w:t>
            </w:r>
          </w:p>
        </w:tc>
        <w:tc>
          <w:tcPr>
            <w:tcW w:w="780" w:type="dxa"/>
            <w:vAlign w:val="bottom"/>
          </w:tcPr>
          <w:p>
            <w:pPr>
              <w:jc w:val="right"/>
              <w:ind w:right="28"/>
              <w:spacing w:after="0"/>
              <w:rPr>
                <w:sz w:val="20"/>
                <w:szCs w:val="20"/>
                <w:color w:val="auto"/>
              </w:rPr>
            </w:pPr>
            <w:r>
              <w:rPr>
                <w:rFonts w:ascii="Arial" w:cs="Arial" w:eastAsia="Arial" w:hAnsi="Arial"/>
                <w:sz w:val="15"/>
                <w:szCs w:val="15"/>
                <w:color w:val="auto"/>
              </w:rPr>
              <w:t>103,050</w:t>
            </w:r>
          </w:p>
        </w:tc>
        <w:tc>
          <w:tcPr>
            <w:tcW w:w="800" w:type="dxa"/>
            <w:vAlign w:val="bottom"/>
          </w:tcPr>
          <w:p>
            <w:pPr>
              <w:jc w:val="right"/>
              <w:ind w:right="28"/>
              <w:spacing w:after="0"/>
              <w:rPr>
                <w:sz w:val="20"/>
                <w:szCs w:val="20"/>
                <w:color w:val="auto"/>
              </w:rPr>
            </w:pPr>
            <w:r>
              <w:rPr>
                <w:rFonts w:ascii="Arial" w:cs="Arial" w:eastAsia="Arial" w:hAnsi="Arial"/>
                <w:sz w:val="15"/>
                <w:szCs w:val="15"/>
                <w:color w:val="auto"/>
              </w:rPr>
              <w:t>108,390</w:t>
            </w:r>
          </w:p>
        </w:tc>
        <w:tc>
          <w:tcPr>
            <w:tcW w:w="1040" w:type="dxa"/>
            <w:vAlign w:val="bottom"/>
          </w:tcPr>
          <w:p>
            <w:pPr>
              <w:jc w:val="right"/>
              <w:ind w:right="268"/>
              <w:spacing w:after="0"/>
              <w:rPr>
                <w:sz w:val="20"/>
                <w:szCs w:val="20"/>
                <w:color w:val="auto"/>
              </w:rPr>
            </w:pPr>
            <w:r>
              <w:rPr>
                <w:rFonts w:ascii="Arial" w:cs="Arial" w:eastAsia="Arial" w:hAnsi="Arial"/>
                <w:sz w:val="15"/>
                <w:szCs w:val="15"/>
                <w:color w:val="auto"/>
              </w:rPr>
              <w:t>106,018</w:t>
            </w:r>
          </w:p>
        </w:tc>
      </w:tr>
      <w:tr>
        <w:trPr>
          <w:trHeight w:val="184"/>
        </w:trPr>
        <w:tc>
          <w:tcPr>
            <w:tcW w:w="2660" w:type="dxa"/>
            <w:vAlign w:val="bottom"/>
            <w:gridSpan w:val="2"/>
          </w:tcPr>
          <w:p>
            <w:pPr>
              <w:spacing w:after="0"/>
              <w:rPr>
                <w:sz w:val="20"/>
                <w:szCs w:val="20"/>
                <w:color w:val="auto"/>
              </w:rPr>
            </w:pPr>
            <w:r>
              <w:rPr>
                <w:rFonts w:ascii="Arial" w:cs="Arial" w:eastAsia="Arial" w:hAnsi="Arial"/>
                <w:sz w:val="15"/>
                <w:szCs w:val="15"/>
                <w:color w:val="auto"/>
              </w:rPr>
              <w:t xml:space="preserve">Gross profit </w:t>
            </w:r>
            <w:r>
              <w:rPr>
                <w:rFonts w:ascii="Arial" w:cs="Arial" w:eastAsia="Arial" w:hAnsi="Arial"/>
                <w:sz w:val="15"/>
                <w:szCs w:val="15"/>
                <w:i w:val="1"/>
                <w:iCs w:val="1"/>
                <w:color w:val="auto"/>
              </w:rPr>
              <w:t>(4)</w:t>
            </w:r>
          </w:p>
        </w:tc>
        <w:tc>
          <w:tcPr>
            <w:tcW w:w="1000" w:type="dxa"/>
            <w:vAlign w:val="bottom"/>
          </w:tcPr>
          <w:p>
            <w:pPr>
              <w:jc w:val="right"/>
              <w:ind w:right="68"/>
              <w:spacing w:after="0"/>
              <w:rPr>
                <w:sz w:val="20"/>
                <w:szCs w:val="20"/>
                <w:color w:val="auto"/>
              </w:rPr>
            </w:pPr>
            <w:r>
              <w:rPr>
                <w:rFonts w:ascii="Arial" w:cs="Arial" w:eastAsia="Arial" w:hAnsi="Arial"/>
                <w:sz w:val="15"/>
                <w:szCs w:val="15"/>
                <w:color w:val="auto"/>
              </w:rPr>
              <w:t>29,166</w:t>
            </w:r>
          </w:p>
        </w:tc>
        <w:tc>
          <w:tcPr>
            <w:tcW w:w="900" w:type="dxa"/>
            <w:vAlign w:val="bottom"/>
          </w:tcPr>
          <w:p>
            <w:pPr>
              <w:jc w:val="right"/>
              <w:ind w:right="48"/>
              <w:spacing w:after="0"/>
              <w:rPr>
                <w:sz w:val="20"/>
                <w:szCs w:val="20"/>
                <w:color w:val="auto"/>
              </w:rPr>
            </w:pPr>
            <w:r>
              <w:rPr>
                <w:rFonts w:ascii="Arial" w:cs="Arial" w:eastAsia="Arial" w:hAnsi="Arial"/>
                <w:sz w:val="15"/>
                <w:szCs w:val="15"/>
                <w:color w:val="auto"/>
              </w:rPr>
              <w:t>28,746</w:t>
            </w:r>
          </w:p>
        </w:tc>
        <w:tc>
          <w:tcPr>
            <w:tcW w:w="840" w:type="dxa"/>
            <w:vAlign w:val="bottom"/>
          </w:tcPr>
          <w:p>
            <w:pPr>
              <w:jc w:val="right"/>
              <w:ind w:right="68"/>
              <w:spacing w:after="0"/>
              <w:rPr>
                <w:sz w:val="20"/>
                <w:szCs w:val="20"/>
                <w:color w:val="auto"/>
              </w:rPr>
            </w:pPr>
            <w:r>
              <w:rPr>
                <w:rFonts w:ascii="Arial" w:cs="Arial" w:eastAsia="Arial" w:hAnsi="Arial"/>
                <w:sz w:val="15"/>
                <w:szCs w:val="15"/>
                <w:color w:val="auto"/>
              </w:rPr>
              <w:t>28,825</w:t>
            </w:r>
          </w:p>
        </w:tc>
        <w:tc>
          <w:tcPr>
            <w:tcW w:w="840" w:type="dxa"/>
            <w:vAlign w:val="bottom"/>
          </w:tcPr>
          <w:p>
            <w:pPr>
              <w:jc w:val="right"/>
              <w:ind w:right="8"/>
              <w:spacing w:after="0"/>
              <w:rPr>
                <w:sz w:val="20"/>
                <w:szCs w:val="20"/>
                <w:color w:val="auto"/>
              </w:rPr>
            </w:pPr>
            <w:r>
              <w:rPr>
                <w:rFonts w:ascii="Arial" w:cs="Arial" w:eastAsia="Arial" w:hAnsi="Arial"/>
                <w:sz w:val="15"/>
                <w:szCs w:val="15"/>
                <w:color w:val="auto"/>
              </w:rPr>
              <w:t>23,240</w:t>
            </w:r>
          </w:p>
        </w:tc>
        <w:tc>
          <w:tcPr>
            <w:tcW w:w="880" w:type="dxa"/>
            <w:vAlign w:val="bottom"/>
          </w:tcPr>
          <w:p>
            <w:pPr>
              <w:jc w:val="right"/>
              <w:spacing w:after="0"/>
              <w:rPr>
                <w:sz w:val="20"/>
                <w:szCs w:val="20"/>
                <w:color w:val="auto"/>
              </w:rPr>
            </w:pPr>
            <w:r>
              <w:rPr>
                <w:rFonts w:ascii="Arial" w:cs="Arial" w:eastAsia="Arial" w:hAnsi="Arial"/>
                <w:sz w:val="15"/>
                <w:szCs w:val="15"/>
                <w:color w:val="auto"/>
              </w:rPr>
              <w:t>109,977</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5"/>
                <w:szCs w:val="15"/>
                <w:color w:val="auto"/>
              </w:rPr>
              <w:t>30,083</w:t>
            </w:r>
          </w:p>
        </w:tc>
        <w:tc>
          <w:tcPr>
            <w:tcW w:w="780" w:type="dxa"/>
            <w:vAlign w:val="bottom"/>
          </w:tcPr>
          <w:p>
            <w:pPr>
              <w:jc w:val="right"/>
              <w:ind w:right="28"/>
              <w:spacing w:after="0"/>
              <w:rPr>
                <w:sz w:val="20"/>
                <w:szCs w:val="20"/>
                <w:color w:val="auto"/>
              </w:rPr>
            </w:pPr>
            <w:r>
              <w:rPr>
                <w:rFonts w:ascii="Arial" w:cs="Arial" w:eastAsia="Arial" w:hAnsi="Arial"/>
                <w:sz w:val="15"/>
                <w:szCs w:val="15"/>
                <w:color w:val="auto"/>
              </w:rPr>
              <w:t>28,689</w:t>
            </w:r>
          </w:p>
        </w:tc>
        <w:tc>
          <w:tcPr>
            <w:tcW w:w="800" w:type="dxa"/>
            <w:vAlign w:val="bottom"/>
          </w:tcPr>
          <w:p>
            <w:pPr>
              <w:jc w:val="right"/>
              <w:ind w:right="28"/>
              <w:spacing w:after="0"/>
              <w:rPr>
                <w:sz w:val="20"/>
                <w:szCs w:val="20"/>
                <w:color w:val="auto"/>
              </w:rPr>
            </w:pPr>
            <w:r>
              <w:rPr>
                <w:rFonts w:ascii="Arial" w:cs="Arial" w:eastAsia="Arial" w:hAnsi="Arial"/>
                <w:sz w:val="15"/>
                <w:szCs w:val="15"/>
                <w:color w:val="auto"/>
              </w:rPr>
              <w:t>30,300</w:t>
            </w:r>
          </w:p>
        </w:tc>
        <w:tc>
          <w:tcPr>
            <w:tcW w:w="1040" w:type="dxa"/>
            <w:vAlign w:val="bottom"/>
          </w:tcPr>
          <w:p>
            <w:pPr>
              <w:jc w:val="right"/>
              <w:ind w:right="268"/>
              <w:spacing w:after="0"/>
              <w:rPr>
                <w:sz w:val="20"/>
                <w:szCs w:val="20"/>
                <w:color w:val="auto"/>
              </w:rPr>
            </w:pPr>
            <w:r>
              <w:rPr>
                <w:rFonts w:ascii="Arial" w:cs="Arial" w:eastAsia="Arial" w:hAnsi="Arial"/>
                <w:sz w:val="15"/>
                <w:szCs w:val="15"/>
                <w:color w:val="auto"/>
              </w:rPr>
              <w:t>29,901</w:t>
            </w:r>
          </w:p>
        </w:tc>
      </w:tr>
      <w:tr>
        <w:trPr>
          <w:trHeight w:val="184"/>
        </w:trPr>
        <w:tc>
          <w:tcPr>
            <w:tcW w:w="2660" w:type="dxa"/>
            <w:vAlign w:val="bottom"/>
            <w:gridSpan w:val="2"/>
          </w:tcPr>
          <w:p>
            <w:pPr>
              <w:spacing w:after="0"/>
              <w:rPr>
                <w:sz w:val="20"/>
                <w:szCs w:val="20"/>
                <w:color w:val="auto"/>
              </w:rPr>
            </w:pPr>
            <w:r>
              <w:rPr>
                <w:rFonts w:ascii="Arial" w:cs="Arial" w:eastAsia="Arial" w:hAnsi="Arial"/>
                <w:sz w:val="15"/>
                <w:szCs w:val="15"/>
                <w:color w:val="auto"/>
              </w:rPr>
              <w:t>Net income attributable to</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7"/>
        </w:trPr>
        <w:tc>
          <w:tcPr>
            <w:tcW w:w="2660" w:type="dxa"/>
            <w:vAlign w:val="bottom"/>
            <w:gridSpan w:val="2"/>
          </w:tcPr>
          <w:p>
            <w:pPr>
              <w:ind w:left="240"/>
              <w:spacing w:after="0"/>
              <w:rPr>
                <w:sz w:val="20"/>
                <w:szCs w:val="20"/>
                <w:color w:val="auto"/>
              </w:rPr>
            </w:pPr>
            <w:r>
              <w:rPr>
                <w:rFonts w:ascii="Arial" w:cs="Arial" w:eastAsia="Arial" w:hAnsi="Arial"/>
                <w:sz w:val="15"/>
                <w:szCs w:val="15"/>
                <w:color w:val="auto"/>
              </w:rPr>
              <w:t>ExxonMobil</w:t>
            </w:r>
          </w:p>
        </w:tc>
        <w:tc>
          <w:tcPr>
            <w:tcW w:w="1000" w:type="dxa"/>
            <w:vAlign w:val="bottom"/>
          </w:tcPr>
          <w:p>
            <w:pPr>
              <w:jc w:val="right"/>
              <w:ind w:right="68"/>
              <w:spacing w:after="0"/>
              <w:rPr>
                <w:sz w:val="20"/>
                <w:szCs w:val="20"/>
                <w:color w:val="auto"/>
              </w:rPr>
            </w:pPr>
            <w:r>
              <w:rPr>
                <w:rFonts w:ascii="Arial" w:cs="Arial" w:eastAsia="Arial" w:hAnsi="Arial"/>
                <w:sz w:val="15"/>
                <w:szCs w:val="15"/>
                <w:color w:val="auto"/>
              </w:rPr>
              <w:t>9,100</w:t>
            </w:r>
          </w:p>
        </w:tc>
        <w:tc>
          <w:tcPr>
            <w:tcW w:w="900" w:type="dxa"/>
            <w:vAlign w:val="bottom"/>
          </w:tcPr>
          <w:p>
            <w:pPr>
              <w:jc w:val="right"/>
              <w:ind w:right="48"/>
              <w:spacing w:after="0"/>
              <w:rPr>
                <w:sz w:val="20"/>
                <w:szCs w:val="20"/>
                <w:color w:val="auto"/>
              </w:rPr>
            </w:pPr>
            <w:r>
              <w:rPr>
                <w:rFonts w:ascii="Arial" w:cs="Arial" w:eastAsia="Arial" w:hAnsi="Arial"/>
                <w:sz w:val="15"/>
                <w:szCs w:val="15"/>
                <w:color w:val="auto"/>
              </w:rPr>
              <w:t>8,780</w:t>
            </w:r>
          </w:p>
        </w:tc>
        <w:tc>
          <w:tcPr>
            <w:tcW w:w="840" w:type="dxa"/>
            <w:vAlign w:val="bottom"/>
          </w:tcPr>
          <w:p>
            <w:pPr>
              <w:jc w:val="right"/>
              <w:ind w:right="68"/>
              <w:spacing w:after="0"/>
              <w:rPr>
                <w:sz w:val="20"/>
                <w:szCs w:val="20"/>
                <w:color w:val="auto"/>
              </w:rPr>
            </w:pPr>
            <w:r>
              <w:rPr>
                <w:rFonts w:ascii="Arial" w:cs="Arial" w:eastAsia="Arial" w:hAnsi="Arial"/>
                <w:sz w:val="15"/>
                <w:szCs w:val="15"/>
                <w:color w:val="auto"/>
              </w:rPr>
              <w:t>8,070</w:t>
            </w:r>
          </w:p>
        </w:tc>
        <w:tc>
          <w:tcPr>
            <w:tcW w:w="840" w:type="dxa"/>
            <w:vAlign w:val="bottom"/>
          </w:tcPr>
          <w:p>
            <w:pPr>
              <w:jc w:val="right"/>
              <w:ind w:right="8"/>
              <w:spacing w:after="0"/>
              <w:rPr>
                <w:sz w:val="20"/>
                <w:szCs w:val="20"/>
                <w:color w:val="auto"/>
              </w:rPr>
            </w:pPr>
            <w:r>
              <w:rPr>
                <w:rFonts w:ascii="Arial" w:cs="Arial" w:eastAsia="Arial" w:hAnsi="Arial"/>
                <w:sz w:val="15"/>
                <w:szCs w:val="15"/>
                <w:color w:val="auto"/>
              </w:rPr>
              <w:t>6,570</w:t>
            </w:r>
          </w:p>
        </w:tc>
        <w:tc>
          <w:tcPr>
            <w:tcW w:w="880" w:type="dxa"/>
            <w:vAlign w:val="bottom"/>
          </w:tcPr>
          <w:p>
            <w:pPr>
              <w:jc w:val="right"/>
              <w:spacing w:after="0"/>
              <w:rPr>
                <w:sz w:val="20"/>
                <w:szCs w:val="20"/>
                <w:color w:val="auto"/>
              </w:rPr>
            </w:pPr>
            <w:r>
              <w:rPr>
                <w:rFonts w:ascii="Arial" w:cs="Arial" w:eastAsia="Arial" w:hAnsi="Arial"/>
                <w:sz w:val="15"/>
                <w:szCs w:val="15"/>
                <w:color w:val="auto"/>
              </w:rPr>
              <w:t>32,520</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5"/>
                <w:szCs w:val="15"/>
                <w:color w:val="auto"/>
              </w:rPr>
              <w:t>9,500</w:t>
            </w:r>
          </w:p>
        </w:tc>
        <w:tc>
          <w:tcPr>
            <w:tcW w:w="780" w:type="dxa"/>
            <w:vAlign w:val="bottom"/>
          </w:tcPr>
          <w:p>
            <w:pPr>
              <w:jc w:val="right"/>
              <w:ind w:right="28"/>
              <w:spacing w:after="0"/>
              <w:rPr>
                <w:sz w:val="20"/>
                <w:szCs w:val="20"/>
                <w:color w:val="auto"/>
              </w:rPr>
            </w:pPr>
            <w:r>
              <w:rPr>
                <w:rFonts w:ascii="Arial" w:cs="Arial" w:eastAsia="Arial" w:hAnsi="Arial"/>
                <w:sz w:val="15"/>
                <w:szCs w:val="15"/>
                <w:color w:val="auto"/>
              </w:rPr>
              <w:t>6,860</w:t>
            </w:r>
          </w:p>
        </w:tc>
        <w:tc>
          <w:tcPr>
            <w:tcW w:w="800" w:type="dxa"/>
            <w:vAlign w:val="bottom"/>
          </w:tcPr>
          <w:p>
            <w:pPr>
              <w:jc w:val="right"/>
              <w:ind w:right="28"/>
              <w:spacing w:after="0"/>
              <w:rPr>
                <w:sz w:val="20"/>
                <w:szCs w:val="20"/>
                <w:color w:val="auto"/>
              </w:rPr>
            </w:pPr>
            <w:r>
              <w:rPr>
                <w:rFonts w:ascii="Arial" w:cs="Arial" w:eastAsia="Arial" w:hAnsi="Arial"/>
                <w:sz w:val="15"/>
                <w:szCs w:val="15"/>
                <w:color w:val="auto"/>
              </w:rPr>
              <w:t>7,870</w:t>
            </w:r>
          </w:p>
        </w:tc>
        <w:tc>
          <w:tcPr>
            <w:tcW w:w="1040" w:type="dxa"/>
            <w:vAlign w:val="bottom"/>
          </w:tcPr>
          <w:p>
            <w:pPr>
              <w:jc w:val="right"/>
              <w:ind w:right="268"/>
              <w:spacing w:after="0"/>
              <w:rPr>
                <w:sz w:val="20"/>
                <w:szCs w:val="20"/>
                <w:color w:val="auto"/>
              </w:rPr>
            </w:pPr>
            <w:r>
              <w:rPr>
                <w:rFonts w:ascii="Arial" w:cs="Arial" w:eastAsia="Arial" w:hAnsi="Arial"/>
                <w:sz w:val="15"/>
                <w:szCs w:val="15"/>
                <w:color w:val="auto"/>
              </w:rPr>
              <w:t>8,350</w:t>
            </w:r>
          </w:p>
        </w:tc>
      </w:tr>
      <w:tr>
        <w:trPr>
          <w:trHeight w:val="364"/>
        </w:trPr>
        <w:tc>
          <w:tcPr>
            <w:tcW w:w="2660" w:type="dxa"/>
            <w:vAlign w:val="bottom"/>
            <w:gridSpan w:val="2"/>
          </w:tcPr>
          <w:p>
            <w:pPr>
              <w:spacing w:after="0"/>
              <w:rPr>
                <w:sz w:val="20"/>
                <w:szCs w:val="20"/>
                <w:color w:val="auto"/>
              </w:rPr>
            </w:pPr>
            <w:r>
              <w:rPr>
                <w:rFonts w:ascii="Arial" w:cs="Arial" w:eastAsia="Arial" w:hAnsi="Arial"/>
                <w:sz w:val="15"/>
                <w:szCs w:val="15"/>
                <w:b w:val="1"/>
                <w:bCs w:val="1"/>
                <w:color w:val="auto"/>
              </w:rPr>
              <w:t>Per share data</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gridSpan w:val="3"/>
          </w:tcPr>
          <w:p>
            <w:pPr>
              <w:jc w:val="center"/>
              <w:ind w:left="189"/>
              <w:spacing w:after="0"/>
              <w:rPr>
                <w:sz w:val="20"/>
                <w:szCs w:val="20"/>
                <w:color w:val="auto"/>
              </w:rPr>
            </w:pPr>
            <w:r>
              <w:rPr>
                <w:rFonts w:ascii="Arial" w:cs="Arial" w:eastAsia="Arial" w:hAnsi="Arial"/>
                <w:sz w:val="13"/>
                <w:szCs w:val="13"/>
                <w:i w:val="1"/>
                <w:iCs w:val="1"/>
                <w:color w:val="auto"/>
                <w:w w:val="92"/>
              </w:rPr>
              <w:t>(dollars per share)</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4"/>
        </w:trPr>
        <w:tc>
          <w:tcPr>
            <w:tcW w:w="2660" w:type="dxa"/>
            <w:vAlign w:val="bottom"/>
            <w:gridSpan w:val="2"/>
          </w:tcPr>
          <w:p>
            <w:pPr>
              <w:spacing w:after="0"/>
              <w:rPr>
                <w:sz w:val="20"/>
                <w:szCs w:val="20"/>
                <w:color w:val="auto"/>
              </w:rPr>
            </w:pPr>
            <w:r>
              <w:rPr>
                <w:rFonts w:ascii="Arial" w:cs="Arial" w:eastAsia="Arial" w:hAnsi="Arial"/>
                <w:sz w:val="15"/>
                <w:szCs w:val="15"/>
                <w:color w:val="auto"/>
              </w:rPr>
              <w:t xml:space="preserve">Earnings per common share </w:t>
            </w:r>
            <w:r>
              <w:rPr>
                <w:rFonts w:ascii="Arial" w:cs="Arial" w:eastAsia="Arial" w:hAnsi="Arial"/>
                <w:sz w:val="15"/>
                <w:szCs w:val="15"/>
                <w:i w:val="1"/>
                <w:iCs w:val="1"/>
                <w:color w:val="auto"/>
              </w:rPr>
              <w:t>(5)</w:t>
            </w:r>
          </w:p>
        </w:tc>
        <w:tc>
          <w:tcPr>
            <w:tcW w:w="1000" w:type="dxa"/>
            <w:vAlign w:val="bottom"/>
          </w:tcPr>
          <w:p>
            <w:pPr>
              <w:jc w:val="right"/>
              <w:ind w:right="68"/>
              <w:spacing w:after="0"/>
              <w:rPr>
                <w:sz w:val="20"/>
                <w:szCs w:val="20"/>
                <w:color w:val="auto"/>
              </w:rPr>
            </w:pPr>
            <w:r>
              <w:rPr>
                <w:rFonts w:ascii="Arial" w:cs="Arial" w:eastAsia="Arial" w:hAnsi="Arial"/>
                <w:sz w:val="15"/>
                <w:szCs w:val="15"/>
                <w:color w:val="auto"/>
              </w:rPr>
              <w:t>2.10</w:t>
            </w:r>
          </w:p>
        </w:tc>
        <w:tc>
          <w:tcPr>
            <w:tcW w:w="900" w:type="dxa"/>
            <w:vAlign w:val="bottom"/>
          </w:tcPr>
          <w:p>
            <w:pPr>
              <w:jc w:val="right"/>
              <w:ind w:right="48"/>
              <w:spacing w:after="0"/>
              <w:rPr>
                <w:sz w:val="20"/>
                <w:szCs w:val="20"/>
                <w:color w:val="auto"/>
              </w:rPr>
            </w:pPr>
            <w:r>
              <w:rPr>
                <w:rFonts w:ascii="Arial" w:cs="Arial" w:eastAsia="Arial" w:hAnsi="Arial"/>
                <w:sz w:val="15"/>
                <w:szCs w:val="15"/>
                <w:color w:val="auto"/>
              </w:rPr>
              <w:t>2.05</w:t>
            </w:r>
          </w:p>
        </w:tc>
        <w:tc>
          <w:tcPr>
            <w:tcW w:w="840" w:type="dxa"/>
            <w:vAlign w:val="bottom"/>
          </w:tcPr>
          <w:p>
            <w:pPr>
              <w:jc w:val="right"/>
              <w:ind w:right="68"/>
              <w:spacing w:after="0"/>
              <w:rPr>
                <w:sz w:val="20"/>
                <w:szCs w:val="20"/>
                <w:color w:val="auto"/>
              </w:rPr>
            </w:pPr>
            <w:r>
              <w:rPr>
                <w:rFonts w:ascii="Arial" w:cs="Arial" w:eastAsia="Arial" w:hAnsi="Arial"/>
                <w:sz w:val="15"/>
                <w:szCs w:val="15"/>
                <w:color w:val="auto"/>
              </w:rPr>
              <w:t>1.89</w:t>
            </w:r>
          </w:p>
        </w:tc>
        <w:tc>
          <w:tcPr>
            <w:tcW w:w="840" w:type="dxa"/>
            <w:vAlign w:val="bottom"/>
          </w:tcPr>
          <w:p>
            <w:pPr>
              <w:jc w:val="right"/>
              <w:ind w:right="8"/>
              <w:spacing w:after="0"/>
              <w:rPr>
                <w:sz w:val="20"/>
                <w:szCs w:val="20"/>
                <w:color w:val="auto"/>
              </w:rPr>
            </w:pPr>
            <w:r>
              <w:rPr>
                <w:rFonts w:ascii="Arial" w:cs="Arial" w:eastAsia="Arial" w:hAnsi="Arial"/>
                <w:sz w:val="15"/>
                <w:szCs w:val="15"/>
                <w:color w:val="auto"/>
              </w:rPr>
              <w:t>1.56</w:t>
            </w:r>
          </w:p>
        </w:tc>
        <w:tc>
          <w:tcPr>
            <w:tcW w:w="880" w:type="dxa"/>
            <w:vAlign w:val="bottom"/>
          </w:tcPr>
          <w:p>
            <w:pPr>
              <w:jc w:val="right"/>
              <w:spacing w:after="0"/>
              <w:rPr>
                <w:sz w:val="20"/>
                <w:szCs w:val="20"/>
                <w:color w:val="auto"/>
              </w:rPr>
            </w:pPr>
            <w:r>
              <w:rPr>
                <w:rFonts w:ascii="Arial" w:cs="Arial" w:eastAsia="Arial" w:hAnsi="Arial"/>
                <w:sz w:val="15"/>
                <w:szCs w:val="15"/>
                <w:color w:val="auto"/>
              </w:rPr>
              <w:t>7.60</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5"/>
                <w:szCs w:val="15"/>
                <w:color w:val="auto"/>
              </w:rPr>
              <w:t>2.12</w:t>
            </w:r>
          </w:p>
        </w:tc>
        <w:tc>
          <w:tcPr>
            <w:tcW w:w="780" w:type="dxa"/>
            <w:vAlign w:val="bottom"/>
          </w:tcPr>
          <w:p>
            <w:pPr>
              <w:jc w:val="right"/>
              <w:ind w:right="28"/>
              <w:spacing w:after="0"/>
              <w:rPr>
                <w:sz w:val="20"/>
                <w:szCs w:val="20"/>
                <w:color w:val="auto"/>
              </w:rPr>
            </w:pPr>
            <w:r>
              <w:rPr>
                <w:rFonts w:ascii="Arial" w:cs="Arial" w:eastAsia="Arial" w:hAnsi="Arial"/>
                <w:sz w:val="15"/>
                <w:szCs w:val="15"/>
                <w:color w:val="auto"/>
              </w:rPr>
              <w:t>1.55</w:t>
            </w:r>
          </w:p>
        </w:tc>
        <w:tc>
          <w:tcPr>
            <w:tcW w:w="800" w:type="dxa"/>
            <w:vAlign w:val="bottom"/>
          </w:tcPr>
          <w:p>
            <w:pPr>
              <w:jc w:val="right"/>
              <w:ind w:right="28"/>
              <w:spacing w:after="0"/>
              <w:rPr>
                <w:sz w:val="20"/>
                <w:szCs w:val="20"/>
                <w:color w:val="auto"/>
              </w:rPr>
            </w:pPr>
            <w:r>
              <w:rPr>
                <w:rFonts w:ascii="Arial" w:cs="Arial" w:eastAsia="Arial" w:hAnsi="Arial"/>
                <w:sz w:val="15"/>
                <w:szCs w:val="15"/>
                <w:color w:val="auto"/>
              </w:rPr>
              <w:t>1.79</w:t>
            </w:r>
          </w:p>
        </w:tc>
        <w:tc>
          <w:tcPr>
            <w:tcW w:w="1040" w:type="dxa"/>
            <w:vAlign w:val="bottom"/>
          </w:tcPr>
          <w:p>
            <w:pPr>
              <w:jc w:val="right"/>
              <w:ind w:right="268"/>
              <w:spacing w:after="0"/>
              <w:rPr>
                <w:sz w:val="20"/>
                <w:szCs w:val="20"/>
                <w:color w:val="auto"/>
              </w:rPr>
            </w:pPr>
            <w:r>
              <w:rPr>
                <w:rFonts w:ascii="Arial" w:cs="Arial" w:eastAsia="Arial" w:hAnsi="Arial"/>
                <w:sz w:val="15"/>
                <w:szCs w:val="15"/>
                <w:color w:val="auto"/>
              </w:rPr>
              <w:t>1.91</w:t>
            </w:r>
          </w:p>
        </w:tc>
      </w:tr>
      <w:tr>
        <w:trPr>
          <w:trHeight w:val="184"/>
        </w:trPr>
        <w:tc>
          <w:tcPr>
            <w:tcW w:w="2660" w:type="dxa"/>
            <w:vAlign w:val="bottom"/>
            <w:gridSpan w:val="2"/>
          </w:tcPr>
          <w:p>
            <w:pPr>
              <w:spacing w:after="0"/>
              <w:rPr>
                <w:sz w:val="20"/>
                <w:szCs w:val="20"/>
                <w:color w:val="auto"/>
              </w:rPr>
            </w:pPr>
            <w:r>
              <w:rPr>
                <w:rFonts w:ascii="Arial" w:cs="Arial" w:eastAsia="Arial" w:hAnsi="Arial"/>
                <w:sz w:val="15"/>
                <w:szCs w:val="15"/>
                <w:color w:val="auto"/>
              </w:rPr>
              <w:t>Earnings per common share</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4"/>
        </w:trPr>
        <w:tc>
          <w:tcPr>
            <w:tcW w:w="2660" w:type="dxa"/>
            <w:vAlign w:val="bottom"/>
            <w:gridSpan w:val="2"/>
          </w:tcPr>
          <w:p>
            <w:pPr>
              <w:ind w:left="240"/>
              <w:spacing w:after="0"/>
              <w:rPr>
                <w:sz w:val="20"/>
                <w:szCs w:val="20"/>
                <w:color w:val="auto"/>
              </w:rPr>
            </w:pPr>
            <w:r>
              <w:rPr>
                <w:rFonts w:ascii="Arial" w:cs="Arial" w:eastAsia="Arial" w:hAnsi="Arial"/>
                <w:sz w:val="15"/>
                <w:szCs w:val="15"/>
                <w:color w:val="auto"/>
              </w:rPr>
              <w:t xml:space="preserve">– assuming dilution </w:t>
            </w:r>
            <w:r>
              <w:rPr>
                <w:rFonts w:ascii="Arial" w:cs="Arial" w:eastAsia="Arial" w:hAnsi="Arial"/>
                <w:sz w:val="15"/>
                <w:szCs w:val="15"/>
                <w:i w:val="1"/>
                <w:iCs w:val="1"/>
                <w:color w:val="auto"/>
              </w:rPr>
              <w:t>(5)</w:t>
            </w:r>
          </w:p>
        </w:tc>
        <w:tc>
          <w:tcPr>
            <w:tcW w:w="1000" w:type="dxa"/>
            <w:vAlign w:val="bottom"/>
          </w:tcPr>
          <w:p>
            <w:pPr>
              <w:jc w:val="right"/>
              <w:ind w:right="68"/>
              <w:spacing w:after="0"/>
              <w:rPr>
                <w:sz w:val="20"/>
                <w:szCs w:val="20"/>
                <w:color w:val="auto"/>
              </w:rPr>
            </w:pPr>
            <w:r>
              <w:rPr>
                <w:rFonts w:ascii="Arial" w:cs="Arial" w:eastAsia="Arial" w:hAnsi="Arial"/>
                <w:sz w:val="15"/>
                <w:szCs w:val="15"/>
                <w:color w:val="auto"/>
              </w:rPr>
              <w:t>2.10</w:t>
            </w:r>
          </w:p>
        </w:tc>
        <w:tc>
          <w:tcPr>
            <w:tcW w:w="900" w:type="dxa"/>
            <w:vAlign w:val="bottom"/>
          </w:tcPr>
          <w:p>
            <w:pPr>
              <w:jc w:val="right"/>
              <w:ind w:right="48"/>
              <w:spacing w:after="0"/>
              <w:rPr>
                <w:sz w:val="20"/>
                <w:szCs w:val="20"/>
                <w:color w:val="auto"/>
              </w:rPr>
            </w:pPr>
            <w:r>
              <w:rPr>
                <w:rFonts w:ascii="Arial" w:cs="Arial" w:eastAsia="Arial" w:hAnsi="Arial"/>
                <w:sz w:val="15"/>
                <w:szCs w:val="15"/>
                <w:color w:val="auto"/>
              </w:rPr>
              <w:t>2.05</w:t>
            </w:r>
          </w:p>
        </w:tc>
        <w:tc>
          <w:tcPr>
            <w:tcW w:w="840" w:type="dxa"/>
            <w:vAlign w:val="bottom"/>
          </w:tcPr>
          <w:p>
            <w:pPr>
              <w:jc w:val="right"/>
              <w:ind w:right="68"/>
              <w:spacing w:after="0"/>
              <w:rPr>
                <w:sz w:val="20"/>
                <w:szCs w:val="20"/>
                <w:color w:val="auto"/>
              </w:rPr>
            </w:pPr>
            <w:r>
              <w:rPr>
                <w:rFonts w:ascii="Arial" w:cs="Arial" w:eastAsia="Arial" w:hAnsi="Arial"/>
                <w:sz w:val="15"/>
                <w:szCs w:val="15"/>
                <w:color w:val="auto"/>
              </w:rPr>
              <w:t>1.89</w:t>
            </w:r>
          </w:p>
        </w:tc>
        <w:tc>
          <w:tcPr>
            <w:tcW w:w="840" w:type="dxa"/>
            <w:vAlign w:val="bottom"/>
          </w:tcPr>
          <w:p>
            <w:pPr>
              <w:jc w:val="right"/>
              <w:ind w:right="8"/>
              <w:spacing w:after="0"/>
              <w:rPr>
                <w:sz w:val="20"/>
                <w:szCs w:val="20"/>
                <w:color w:val="auto"/>
              </w:rPr>
            </w:pPr>
            <w:r>
              <w:rPr>
                <w:rFonts w:ascii="Arial" w:cs="Arial" w:eastAsia="Arial" w:hAnsi="Arial"/>
                <w:sz w:val="15"/>
                <w:szCs w:val="15"/>
                <w:color w:val="auto"/>
              </w:rPr>
              <w:t>1.56</w:t>
            </w:r>
          </w:p>
        </w:tc>
        <w:tc>
          <w:tcPr>
            <w:tcW w:w="880" w:type="dxa"/>
            <w:vAlign w:val="bottom"/>
          </w:tcPr>
          <w:p>
            <w:pPr>
              <w:jc w:val="right"/>
              <w:spacing w:after="0"/>
              <w:rPr>
                <w:sz w:val="20"/>
                <w:szCs w:val="20"/>
                <w:color w:val="auto"/>
              </w:rPr>
            </w:pPr>
            <w:r>
              <w:rPr>
                <w:rFonts w:ascii="Arial" w:cs="Arial" w:eastAsia="Arial" w:hAnsi="Arial"/>
                <w:sz w:val="15"/>
                <w:szCs w:val="15"/>
                <w:color w:val="auto"/>
              </w:rPr>
              <w:t>7.60</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5"/>
                <w:szCs w:val="15"/>
                <w:color w:val="auto"/>
              </w:rPr>
              <w:t>2.12</w:t>
            </w:r>
          </w:p>
        </w:tc>
        <w:tc>
          <w:tcPr>
            <w:tcW w:w="780" w:type="dxa"/>
            <w:vAlign w:val="bottom"/>
          </w:tcPr>
          <w:p>
            <w:pPr>
              <w:jc w:val="right"/>
              <w:ind w:right="28"/>
              <w:spacing w:after="0"/>
              <w:rPr>
                <w:sz w:val="20"/>
                <w:szCs w:val="20"/>
                <w:color w:val="auto"/>
              </w:rPr>
            </w:pPr>
            <w:r>
              <w:rPr>
                <w:rFonts w:ascii="Arial" w:cs="Arial" w:eastAsia="Arial" w:hAnsi="Arial"/>
                <w:sz w:val="15"/>
                <w:szCs w:val="15"/>
                <w:color w:val="auto"/>
              </w:rPr>
              <w:t>1.55</w:t>
            </w:r>
          </w:p>
        </w:tc>
        <w:tc>
          <w:tcPr>
            <w:tcW w:w="800" w:type="dxa"/>
            <w:vAlign w:val="bottom"/>
          </w:tcPr>
          <w:p>
            <w:pPr>
              <w:jc w:val="right"/>
              <w:ind w:right="28"/>
              <w:spacing w:after="0"/>
              <w:rPr>
                <w:sz w:val="20"/>
                <w:szCs w:val="20"/>
                <w:color w:val="auto"/>
              </w:rPr>
            </w:pPr>
            <w:r>
              <w:rPr>
                <w:rFonts w:ascii="Arial" w:cs="Arial" w:eastAsia="Arial" w:hAnsi="Arial"/>
                <w:sz w:val="15"/>
                <w:szCs w:val="15"/>
                <w:color w:val="auto"/>
              </w:rPr>
              <w:t>1.79</w:t>
            </w:r>
          </w:p>
        </w:tc>
        <w:tc>
          <w:tcPr>
            <w:tcW w:w="1040" w:type="dxa"/>
            <w:vAlign w:val="bottom"/>
          </w:tcPr>
          <w:p>
            <w:pPr>
              <w:jc w:val="right"/>
              <w:ind w:right="268"/>
              <w:spacing w:after="0"/>
              <w:rPr>
                <w:sz w:val="20"/>
                <w:szCs w:val="20"/>
                <w:color w:val="auto"/>
              </w:rPr>
            </w:pPr>
            <w:r>
              <w:rPr>
                <w:rFonts w:ascii="Arial" w:cs="Arial" w:eastAsia="Arial" w:hAnsi="Arial"/>
                <w:sz w:val="15"/>
                <w:szCs w:val="15"/>
                <w:color w:val="auto"/>
              </w:rPr>
              <w:t>1.91</w:t>
            </w:r>
          </w:p>
        </w:tc>
      </w:tr>
      <w:tr>
        <w:trPr>
          <w:trHeight w:val="187"/>
        </w:trPr>
        <w:tc>
          <w:tcPr>
            <w:tcW w:w="2660" w:type="dxa"/>
            <w:vAlign w:val="bottom"/>
            <w:gridSpan w:val="2"/>
          </w:tcPr>
          <w:p>
            <w:pPr>
              <w:spacing w:after="0"/>
              <w:rPr>
                <w:sz w:val="20"/>
                <w:szCs w:val="20"/>
                <w:color w:val="auto"/>
              </w:rPr>
            </w:pPr>
            <w:r>
              <w:rPr>
                <w:rFonts w:ascii="Arial" w:cs="Arial" w:eastAsia="Arial" w:hAnsi="Arial"/>
                <w:sz w:val="15"/>
                <w:szCs w:val="15"/>
                <w:color w:val="auto"/>
              </w:rPr>
              <w:t>Dividends per common share</w:t>
            </w:r>
          </w:p>
        </w:tc>
        <w:tc>
          <w:tcPr>
            <w:tcW w:w="1000" w:type="dxa"/>
            <w:vAlign w:val="bottom"/>
          </w:tcPr>
          <w:p>
            <w:pPr>
              <w:jc w:val="right"/>
              <w:ind w:right="68"/>
              <w:spacing w:after="0"/>
              <w:rPr>
                <w:sz w:val="20"/>
                <w:szCs w:val="20"/>
                <w:color w:val="auto"/>
              </w:rPr>
            </w:pPr>
            <w:r>
              <w:rPr>
                <w:rFonts w:ascii="Arial" w:cs="Arial" w:eastAsia="Arial" w:hAnsi="Arial"/>
                <w:sz w:val="15"/>
                <w:szCs w:val="15"/>
                <w:color w:val="auto"/>
              </w:rPr>
              <w:t>0.63</w:t>
            </w:r>
          </w:p>
        </w:tc>
        <w:tc>
          <w:tcPr>
            <w:tcW w:w="900" w:type="dxa"/>
            <w:vAlign w:val="bottom"/>
          </w:tcPr>
          <w:p>
            <w:pPr>
              <w:jc w:val="right"/>
              <w:ind w:right="48"/>
              <w:spacing w:after="0"/>
              <w:rPr>
                <w:sz w:val="20"/>
                <w:szCs w:val="20"/>
                <w:color w:val="auto"/>
              </w:rPr>
            </w:pPr>
            <w:r>
              <w:rPr>
                <w:rFonts w:ascii="Arial" w:cs="Arial" w:eastAsia="Arial" w:hAnsi="Arial"/>
                <w:sz w:val="15"/>
                <w:szCs w:val="15"/>
                <w:color w:val="auto"/>
              </w:rPr>
              <w:t>0.69</w:t>
            </w:r>
          </w:p>
        </w:tc>
        <w:tc>
          <w:tcPr>
            <w:tcW w:w="840" w:type="dxa"/>
            <w:vAlign w:val="bottom"/>
          </w:tcPr>
          <w:p>
            <w:pPr>
              <w:jc w:val="right"/>
              <w:ind w:right="68"/>
              <w:spacing w:after="0"/>
              <w:rPr>
                <w:sz w:val="20"/>
                <w:szCs w:val="20"/>
                <w:color w:val="auto"/>
              </w:rPr>
            </w:pPr>
            <w:r>
              <w:rPr>
                <w:rFonts w:ascii="Arial" w:cs="Arial" w:eastAsia="Arial" w:hAnsi="Arial"/>
                <w:sz w:val="15"/>
                <w:szCs w:val="15"/>
                <w:color w:val="auto"/>
              </w:rPr>
              <w:t>0.69</w:t>
            </w:r>
          </w:p>
        </w:tc>
        <w:tc>
          <w:tcPr>
            <w:tcW w:w="840" w:type="dxa"/>
            <w:vAlign w:val="bottom"/>
          </w:tcPr>
          <w:p>
            <w:pPr>
              <w:jc w:val="right"/>
              <w:ind w:right="8"/>
              <w:spacing w:after="0"/>
              <w:rPr>
                <w:sz w:val="20"/>
                <w:szCs w:val="20"/>
                <w:color w:val="auto"/>
              </w:rPr>
            </w:pPr>
            <w:r>
              <w:rPr>
                <w:rFonts w:ascii="Arial" w:cs="Arial" w:eastAsia="Arial" w:hAnsi="Arial"/>
                <w:sz w:val="15"/>
                <w:szCs w:val="15"/>
                <w:color w:val="auto"/>
              </w:rPr>
              <w:t>0.69</w:t>
            </w:r>
          </w:p>
        </w:tc>
        <w:tc>
          <w:tcPr>
            <w:tcW w:w="880" w:type="dxa"/>
            <w:vAlign w:val="bottom"/>
          </w:tcPr>
          <w:p>
            <w:pPr>
              <w:jc w:val="right"/>
              <w:spacing w:after="0"/>
              <w:rPr>
                <w:sz w:val="20"/>
                <w:szCs w:val="20"/>
                <w:color w:val="auto"/>
              </w:rPr>
            </w:pPr>
            <w:r>
              <w:rPr>
                <w:rFonts w:ascii="Arial" w:cs="Arial" w:eastAsia="Arial" w:hAnsi="Arial"/>
                <w:sz w:val="15"/>
                <w:szCs w:val="15"/>
                <w:color w:val="auto"/>
              </w:rPr>
              <w:t>2.70</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5"/>
                <w:szCs w:val="15"/>
                <w:color w:val="auto"/>
              </w:rPr>
              <w:t>0.57</w:t>
            </w:r>
          </w:p>
        </w:tc>
        <w:tc>
          <w:tcPr>
            <w:tcW w:w="780" w:type="dxa"/>
            <w:vAlign w:val="bottom"/>
          </w:tcPr>
          <w:p>
            <w:pPr>
              <w:jc w:val="right"/>
              <w:ind w:right="28"/>
              <w:spacing w:after="0"/>
              <w:rPr>
                <w:sz w:val="20"/>
                <w:szCs w:val="20"/>
                <w:color w:val="auto"/>
              </w:rPr>
            </w:pPr>
            <w:r>
              <w:rPr>
                <w:rFonts w:ascii="Arial" w:cs="Arial" w:eastAsia="Arial" w:hAnsi="Arial"/>
                <w:sz w:val="15"/>
                <w:szCs w:val="15"/>
                <w:color w:val="auto"/>
              </w:rPr>
              <w:t>0.63</w:t>
            </w:r>
          </w:p>
        </w:tc>
        <w:tc>
          <w:tcPr>
            <w:tcW w:w="800" w:type="dxa"/>
            <w:vAlign w:val="bottom"/>
          </w:tcPr>
          <w:p>
            <w:pPr>
              <w:jc w:val="right"/>
              <w:ind w:right="28"/>
              <w:spacing w:after="0"/>
              <w:rPr>
                <w:sz w:val="20"/>
                <w:szCs w:val="20"/>
                <w:color w:val="auto"/>
              </w:rPr>
            </w:pPr>
            <w:r>
              <w:rPr>
                <w:rFonts w:ascii="Arial" w:cs="Arial" w:eastAsia="Arial" w:hAnsi="Arial"/>
                <w:sz w:val="15"/>
                <w:szCs w:val="15"/>
                <w:color w:val="auto"/>
              </w:rPr>
              <w:t>0.63</w:t>
            </w:r>
          </w:p>
        </w:tc>
        <w:tc>
          <w:tcPr>
            <w:tcW w:w="1040" w:type="dxa"/>
            <w:vAlign w:val="bottom"/>
          </w:tcPr>
          <w:p>
            <w:pPr>
              <w:jc w:val="right"/>
              <w:ind w:right="268"/>
              <w:spacing w:after="0"/>
              <w:rPr>
                <w:sz w:val="20"/>
                <w:szCs w:val="20"/>
                <w:color w:val="auto"/>
              </w:rPr>
            </w:pPr>
            <w:r>
              <w:rPr>
                <w:rFonts w:ascii="Arial" w:cs="Arial" w:eastAsia="Arial" w:hAnsi="Arial"/>
                <w:sz w:val="15"/>
                <w:szCs w:val="15"/>
                <w:color w:val="auto"/>
              </w:rPr>
              <w:t>0.63</w:t>
            </w:r>
          </w:p>
        </w:tc>
      </w:tr>
      <w:tr>
        <w:trPr>
          <w:trHeight w:val="364"/>
        </w:trPr>
        <w:tc>
          <w:tcPr>
            <w:tcW w:w="2660" w:type="dxa"/>
            <w:vAlign w:val="bottom"/>
            <w:gridSpan w:val="2"/>
          </w:tcPr>
          <w:p>
            <w:pPr>
              <w:spacing w:after="0"/>
              <w:rPr>
                <w:sz w:val="20"/>
                <w:szCs w:val="20"/>
                <w:color w:val="auto"/>
              </w:rPr>
            </w:pPr>
            <w:r>
              <w:rPr>
                <w:rFonts w:ascii="Arial" w:cs="Arial" w:eastAsia="Arial" w:hAnsi="Arial"/>
                <w:sz w:val="15"/>
                <w:szCs w:val="15"/>
                <w:color w:val="auto"/>
              </w:rPr>
              <w:t>Common stock prices</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4"/>
        </w:trPr>
        <w:tc>
          <w:tcPr>
            <w:tcW w:w="2660" w:type="dxa"/>
            <w:vAlign w:val="bottom"/>
            <w:gridSpan w:val="2"/>
          </w:tcPr>
          <w:p>
            <w:pPr>
              <w:ind w:left="240"/>
              <w:spacing w:after="0"/>
              <w:rPr>
                <w:sz w:val="20"/>
                <w:szCs w:val="20"/>
                <w:color w:val="auto"/>
              </w:rPr>
            </w:pPr>
            <w:r>
              <w:rPr>
                <w:rFonts w:ascii="Arial" w:cs="Arial" w:eastAsia="Arial" w:hAnsi="Arial"/>
                <w:sz w:val="15"/>
                <w:szCs w:val="15"/>
                <w:color w:val="auto"/>
              </w:rPr>
              <w:t>High</w:t>
            </w:r>
          </w:p>
        </w:tc>
        <w:tc>
          <w:tcPr>
            <w:tcW w:w="1000" w:type="dxa"/>
            <w:vAlign w:val="bottom"/>
          </w:tcPr>
          <w:p>
            <w:pPr>
              <w:jc w:val="right"/>
              <w:ind w:right="68"/>
              <w:spacing w:after="0"/>
              <w:rPr>
                <w:sz w:val="20"/>
                <w:szCs w:val="20"/>
                <w:color w:val="auto"/>
              </w:rPr>
            </w:pPr>
            <w:r>
              <w:rPr>
                <w:rFonts w:ascii="Arial" w:cs="Arial" w:eastAsia="Arial" w:hAnsi="Arial"/>
                <w:sz w:val="15"/>
                <w:szCs w:val="15"/>
                <w:color w:val="auto"/>
              </w:rPr>
              <w:t>101.22</w:t>
            </w:r>
          </w:p>
        </w:tc>
        <w:tc>
          <w:tcPr>
            <w:tcW w:w="900" w:type="dxa"/>
            <w:vAlign w:val="bottom"/>
          </w:tcPr>
          <w:p>
            <w:pPr>
              <w:jc w:val="right"/>
              <w:ind w:right="48"/>
              <w:spacing w:after="0"/>
              <w:rPr>
                <w:sz w:val="20"/>
                <w:szCs w:val="20"/>
                <w:color w:val="auto"/>
              </w:rPr>
            </w:pPr>
            <w:r>
              <w:rPr>
                <w:rFonts w:ascii="Arial" w:cs="Arial" w:eastAsia="Arial" w:hAnsi="Arial"/>
                <w:sz w:val="15"/>
                <w:szCs w:val="15"/>
                <w:color w:val="auto"/>
              </w:rPr>
              <w:t>104.61</w:t>
            </w:r>
          </w:p>
        </w:tc>
        <w:tc>
          <w:tcPr>
            <w:tcW w:w="840" w:type="dxa"/>
            <w:vAlign w:val="bottom"/>
          </w:tcPr>
          <w:p>
            <w:pPr>
              <w:jc w:val="right"/>
              <w:ind w:right="68"/>
              <w:spacing w:after="0"/>
              <w:rPr>
                <w:sz w:val="20"/>
                <w:szCs w:val="20"/>
                <w:color w:val="auto"/>
              </w:rPr>
            </w:pPr>
            <w:r>
              <w:rPr>
                <w:rFonts w:ascii="Arial" w:cs="Arial" w:eastAsia="Arial" w:hAnsi="Arial"/>
                <w:sz w:val="15"/>
                <w:szCs w:val="15"/>
                <w:color w:val="auto"/>
              </w:rPr>
              <w:t>104.76</w:t>
            </w:r>
          </w:p>
        </w:tc>
        <w:tc>
          <w:tcPr>
            <w:tcW w:w="840" w:type="dxa"/>
            <w:vAlign w:val="bottom"/>
          </w:tcPr>
          <w:p>
            <w:pPr>
              <w:jc w:val="right"/>
              <w:ind w:right="8"/>
              <w:spacing w:after="0"/>
              <w:rPr>
                <w:sz w:val="20"/>
                <w:szCs w:val="20"/>
                <w:color w:val="auto"/>
              </w:rPr>
            </w:pPr>
            <w:r>
              <w:rPr>
                <w:rFonts w:ascii="Arial" w:cs="Arial" w:eastAsia="Arial" w:hAnsi="Arial"/>
                <w:sz w:val="15"/>
                <w:szCs w:val="15"/>
                <w:color w:val="auto"/>
              </w:rPr>
              <w:t>97.20</w:t>
            </w:r>
          </w:p>
        </w:tc>
        <w:tc>
          <w:tcPr>
            <w:tcW w:w="880" w:type="dxa"/>
            <w:vAlign w:val="bottom"/>
          </w:tcPr>
          <w:p>
            <w:pPr>
              <w:jc w:val="right"/>
              <w:spacing w:after="0"/>
              <w:rPr>
                <w:sz w:val="20"/>
                <w:szCs w:val="20"/>
                <w:color w:val="auto"/>
              </w:rPr>
            </w:pPr>
            <w:r>
              <w:rPr>
                <w:rFonts w:ascii="Arial" w:cs="Arial" w:eastAsia="Arial" w:hAnsi="Arial"/>
                <w:sz w:val="15"/>
                <w:szCs w:val="15"/>
                <w:color w:val="auto"/>
              </w:rPr>
              <w:t>104.76</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5"/>
                <w:szCs w:val="15"/>
                <w:color w:val="auto"/>
              </w:rPr>
              <w:t>91.93</w:t>
            </w:r>
          </w:p>
        </w:tc>
        <w:tc>
          <w:tcPr>
            <w:tcW w:w="780" w:type="dxa"/>
            <w:vAlign w:val="bottom"/>
          </w:tcPr>
          <w:p>
            <w:pPr>
              <w:jc w:val="right"/>
              <w:ind w:right="28"/>
              <w:spacing w:after="0"/>
              <w:rPr>
                <w:sz w:val="20"/>
                <w:szCs w:val="20"/>
                <w:color w:val="auto"/>
              </w:rPr>
            </w:pPr>
            <w:r>
              <w:rPr>
                <w:rFonts w:ascii="Arial" w:cs="Arial" w:eastAsia="Arial" w:hAnsi="Arial"/>
                <w:sz w:val="15"/>
                <w:szCs w:val="15"/>
                <w:color w:val="auto"/>
              </w:rPr>
              <w:t>93.50</w:t>
            </w:r>
          </w:p>
        </w:tc>
        <w:tc>
          <w:tcPr>
            <w:tcW w:w="800" w:type="dxa"/>
            <w:vAlign w:val="bottom"/>
          </w:tcPr>
          <w:p>
            <w:pPr>
              <w:jc w:val="right"/>
              <w:ind w:right="28"/>
              <w:spacing w:after="0"/>
              <w:rPr>
                <w:sz w:val="20"/>
                <w:szCs w:val="20"/>
                <w:color w:val="auto"/>
              </w:rPr>
            </w:pPr>
            <w:r>
              <w:rPr>
                <w:rFonts w:ascii="Arial" w:cs="Arial" w:eastAsia="Arial" w:hAnsi="Arial"/>
                <w:sz w:val="15"/>
                <w:szCs w:val="15"/>
                <w:color w:val="auto"/>
              </w:rPr>
              <w:t>95.49</w:t>
            </w:r>
          </w:p>
        </w:tc>
        <w:tc>
          <w:tcPr>
            <w:tcW w:w="1040" w:type="dxa"/>
            <w:vAlign w:val="bottom"/>
          </w:tcPr>
          <w:p>
            <w:pPr>
              <w:jc w:val="right"/>
              <w:ind w:right="268"/>
              <w:spacing w:after="0"/>
              <w:rPr>
                <w:sz w:val="20"/>
                <w:szCs w:val="20"/>
                <w:color w:val="auto"/>
              </w:rPr>
            </w:pPr>
            <w:r>
              <w:rPr>
                <w:rFonts w:ascii="Arial" w:cs="Arial" w:eastAsia="Arial" w:hAnsi="Arial"/>
                <w:sz w:val="15"/>
                <w:szCs w:val="15"/>
                <w:color w:val="auto"/>
              </w:rPr>
              <w:t>101.74</w:t>
            </w:r>
          </w:p>
        </w:tc>
      </w:tr>
      <w:tr>
        <w:trPr>
          <w:trHeight w:val="187"/>
        </w:trPr>
        <w:tc>
          <w:tcPr>
            <w:tcW w:w="2660" w:type="dxa"/>
            <w:vAlign w:val="bottom"/>
            <w:gridSpan w:val="2"/>
          </w:tcPr>
          <w:p>
            <w:pPr>
              <w:ind w:left="240"/>
              <w:spacing w:after="0"/>
              <w:rPr>
                <w:sz w:val="20"/>
                <w:szCs w:val="20"/>
                <w:color w:val="auto"/>
              </w:rPr>
            </w:pPr>
            <w:r>
              <w:rPr>
                <w:rFonts w:ascii="Arial" w:cs="Arial" w:eastAsia="Arial" w:hAnsi="Arial"/>
                <w:sz w:val="15"/>
                <w:szCs w:val="15"/>
                <w:color w:val="auto"/>
              </w:rPr>
              <w:t>Low</w:t>
            </w:r>
          </w:p>
        </w:tc>
        <w:tc>
          <w:tcPr>
            <w:tcW w:w="1000" w:type="dxa"/>
            <w:vAlign w:val="bottom"/>
          </w:tcPr>
          <w:p>
            <w:pPr>
              <w:jc w:val="right"/>
              <w:ind w:right="68"/>
              <w:spacing w:after="0"/>
              <w:rPr>
                <w:sz w:val="20"/>
                <w:szCs w:val="20"/>
                <w:color w:val="auto"/>
              </w:rPr>
            </w:pPr>
            <w:r>
              <w:rPr>
                <w:rFonts w:ascii="Arial" w:cs="Arial" w:eastAsia="Arial" w:hAnsi="Arial"/>
                <w:sz w:val="15"/>
                <w:szCs w:val="15"/>
                <w:color w:val="auto"/>
              </w:rPr>
              <w:t>89.25</w:t>
            </w:r>
          </w:p>
        </w:tc>
        <w:tc>
          <w:tcPr>
            <w:tcW w:w="900" w:type="dxa"/>
            <w:vAlign w:val="bottom"/>
          </w:tcPr>
          <w:p>
            <w:pPr>
              <w:jc w:val="right"/>
              <w:ind w:right="48"/>
              <w:spacing w:after="0"/>
              <w:rPr>
                <w:sz w:val="20"/>
                <w:szCs w:val="20"/>
                <w:color w:val="auto"/>
              </w:rPr>
            </w:pPr>
            <w:r>
              <w:rPr>
                <w:rFonts w:ascii="Arial" w:cs="Arial" w:eastAsia="Arial" w:hAnsi="Arial"/>
                <w:sz w:val="15"/>
                <w:szCs w:val="15"/>
                <w:color w:val="auto"/>
              </w:rPr>
              <w:t>96.24</w:t>
            </w:r>
          </w:p>
        </w:tc>
        <w:tc>
          <w:tcPr>
            <w:tcW w:w="840" w:type="dxa"/>
            <w:vAlign w:val="bottom"/>
          </w:tcPr>
          <w:p>
            <w:pPr>
              <w:jc w:val="right"/>
              <w:ind w:right="68"/>
              <w:spacing w:after="0"/>
              <w:rPr>
                <w:sz w:val="20"/>
                <w:szCs w:val="20"/>
                <w:color w:val="auto"/>
              </w:rPr>
            </w:pPr>
            <w:r>
              <w:rPr>
                <w:rFonts w:ascii="Arial" w:cs="Arial" w:eastAsia="Arial" w:hAnsi="Arial"/>
                <w:sz w:val="15"/>
                <w:szCs w:val="15"/>
                <w:color w:val="auto"/>
              </w:rPr>
              <w:t>93.62</w:t>
            </w:r>
          </w:p>
        </w:tc>
        <w:tc>
          <w:tcPr>
            <w:tcW w:w="840" w:type="dxa"/>
            <w:vAlign w:val="bottom"/>
          </w:tcPr>
          <w:p>
            <w:pPr>
              <w:jc w:val="right"/>
              <w:ind w:right="8"/>
              <w:spacing w:after="0"/>
              <w:rPr>
                <w:sz w:val="20"/>
                <w:szCs w:val="20"/>
                <w:color w:val="auto"/>
              </w:rPr>
            </w:pPr>
            <w:r>
              <w:rPr>
                <w:rFonts w:ascii="Arial" w:cs="Arial" w:eastAsia="Arial" w:hAnsi="Arial"/>
                <w:sz w:val="15"/>
                <w:szCs w:val="15"/>
                <w:color w:val="auto"/>
              </w:rPr>
              <w:t>86.19</w:t>
            </w:r>
          </w:p>
        </w:tc>
        <w:tc>
          <w:tcPr>
            <w:tcW w:w="880" w:type="dxa"/>
            <w:vAlign w:val="bottom"/>
          </w:tcPr>
          <w:p>
            <w:pPr>
              <w:jc w:val="right"/>
              <w:spacing w:after="0"/>
              <w:rPr>
                <w:sz w:val="20"/>
                <w:szCs w:val="20"/>
                <w:color w:val="auto"/>
              </w:rPr>
            </w:pPr>
            <w:r>
              <w:rPr>
                <w:rFonts w:ascii="Arial" w:cs="Arial" w:eastAsia="Arial" w:hAnsi="Arial"/>
                <w:sz w:val="15"/>
                <w:szCs w:val="15"/>
                <w:color w:val="auto"/>
              </w:rPr>
              <w:t>86.19</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5"/>
                <w:szCs w:val="15"/>
                <w:color w:val="auto"/>
              </w:rPr>
              <w:t>86.59</w:t>
            </w:r>
          </w:p>
        </w:tc>
        <w:tc>
          <w:tcPr>
            <w:tcW w:w="780" w:type="dxa"/>
            <w:vAlign w:val="bottom"/>
          </w:tcPr>
          <w:p>
            <w:pPr>
              <w:jc w:val="right"/>
              <w:ind w:right="28"/>
              <w:spacing w:after="0"/>
              <w:rPr>
                <w:sz w:val="20"/>
                <w:szCs w:val="20"/>
                <w:color w:val="auto"/>
              </w:rPr>
            </w:pPr>
            <w:r>
              <w:rPr>
                <w:rFonts w:ascii="Arial" w:cs="Arial" w:eastAsia="Arial" w:hAnsi="Arial"/>
                <w:sz w:val="15"/>
                <w:szCs w:val="15"/>
                <w:color w:val="auto"/>
              </w:rPr>
              <w:t>85.02</w:t>
            </w:r>
          </w:p>
        </w:tc>
        <w:tc>
          <w:tcPr>
            <w:tcW w:w="800" w:type="dxa"/>
            <w:vAlign w:val="bottom"/>
          </w:tcPr>
          <w:p>
            <w:pPr>
              <w:jc w:val="right"/>
              <w:ind w:right="28"/>
              <w:spacing w:after="0"/>
              <w:rPr>
                <w:sz w:val="20"/>
                <w:szCs w:val="20"/>
                <w:color w:val="auto"/>
              </w:rPr>
            </w:pPr>
            <w:r>
              <w:rPr>
                <w:rFonts w:ascii="Arial" w:cs="Arial" w:eastAsia="Arial" w:hAnsi="Arial"/>
                <w:sz w:val="15"/>
                <w:szCs w:val="15"/>
                <w:color w:val="auto"/>
              </w:rPr>
              <w:t>85.61</w:t>
            </w:r>
          </w:p>
        </w:tc>
        <w:tc>
          <w:tcPr>
            <w:tcW w:w="1040" w:type="dxa"/>
            <w:vAlign w:val="bottom"/>
          </w:tcPr>
          <w:p>
            <w:pPr>
              <w:jc w:val="right"/>
              <w:ind w:right="268"/>
              <w:spacing w:after="0"/>
              <w:rPr>
                <w:sz w:val="20"/>
                <w:szCs w:val="20"/>
                <w:color w:val="auto"/>
              </w:rPr>
            </w:pPr>
            <w:r>
              <w:rPr>
                <w:rFonts w:ascii="Arial" w:cs="Arial" w:eastAsia="Arial" w:hAnsi="Arial"/>
                <w:sz w:val="15"/>
                <w:szCs w:val="15"/>
                <w:color w:val="auto"/>
              </w:rPr>
              <w:t>84.79</w:t>
            </w:r>
          </w:p>
        </w:tc>
      </w:tr>
    </w:tbl>
    <w:p>
      <w:pPr>
        <w:spacing w:after="0" w:line="242" w:lineRule="exact"/>
        <w:rPr>
          <w:sz w:val="20"/>
          <w:szCs w:val="20"/>
          <w:color w:val="auto"/>
        </w:rPr>
      </w:pPr>
    </w:p>
    <w:p>
      <w:pPr>
        <w:ind w:left="280" w:hanging="274"/>
        <w:spacing w:after="0"/>
        <w:tabs>
          <w:tab w:leader="none" w:pos="280" w:val="left"/>
        </w:tabs>
        <w:numPr>
          <w:ilvl w:val="0"/>
          <w:numId w:val="20"/>
        </w:numPr>
        <w:rPr>
          <w:rFonts w:ascii="Arial" w:cs="Arial" w:eastAsia="Arial" w:hAnsi="Arial"/>
          <w:sz w:val="15"/>
          <w:szCs w:val="15"/>
          <w:i w:val="1"/>
          <w:iCs w:val="1"/>
          <w:color w:val="auto"/>
        </w:rPr>
      </w:pPr>
      <w:r>
        <w:rPr>
          <w:rFonts w:ascii="Arial" w:cs="Arial" w:eastAsia="Arial" w:hAnsi="Arial"/>
          <w:sz w:val="15"/>
          <w:szCs w:val="15"/>
          <w:i w:val="1"/>
          <w:iCs w:val="1"/>
          <w:color w:val="auto"/>
        </w:rPr>
        <w:t>Gas converted to oil-equivalent at 6 million cubic feet = 1 thousand barrels.</w:t>
      </w:r>
    </w:p>
    <w:p>
      <w:pPr>
        <w:spacing w:after="0" w:line="60" w:lineRule="exact"/>
        <w:rPr>
          <w:rFonts w:ascii="Arial" w:cs="Arial" w:eastAsia="Arial" w:hAnsi="Arial"/>
          <w:sz w:val="15"/>
          <w:szCs w:val="15"/>
          <w:i w:val="1"/>
          <w:iCs w:val="1"/>
          <w:color w:val="auto"/>
        </w:rPr>
      </w:pPr>
    </w:p>
    <w:p>
      <w:pPr>
        <w:ind w:left="280" w:hanging="274"/>
        <w:spacing w:after="0"/>
        <w:tabs>
          <w:tab w:leader="none" w:pos="280" w:val="left"/>
        </w:tabs>
        <w:numPr>
          <w:ilvl w:val="0"/>
          <w:numId w:val="20"/>
        </w:numPr>
        <w:rPr>
          <w:rFonts w:ascii="Arial" w:cs="Arial" w:eastAsia="Arial" w:hAnsi="Arial"/>
          <w:sz w:val="15"/>
          <w:szCs w:val="15"/>
          <w:i w:val="1"/>
          <w:iCs w:val="1"/>
          <w:color w:val="auto"/>
        </w:rPr>
      </w:pPr>
      <w:r>
        <w:rPr>
          <w:rFonts w:ascii="Arial" w:cs="Arial" w:eastAsia="Arial" w:hAnsi="Arial"/>
          <w:sz w:val="15"/>
          <w:szCs w:val="15"/>
          <w:i w:val="1"/>
          <w:iCs w:val="1"/>
          <w:color w:val="auto"/>
        </w:rPr>
        <w:t>Amounts in first three quarters of 2014 have been reclassified.</w:t>
      </w:r>
    </w:p>
    <w:p>
      <w:pPr>
        <w:spacing w:after="0" w:line="60" w:lineRule="exact"/>
        <w:rPr>
          <w:rFonts w:ascii="Arial" w:cs="Arial" w:eastAsia="Arial" w:hAnsi="Arial"/>
          <w:sz w:val="15"/>
          <w:szCs w:val="15"/>
          <w:i w:val="1"/>
          <w:iCs w:val="1"/>
          <w:color w:val="auto"/>
        </w:rPr>
      </w:pPr>
    </w:p>
    <w:p>
      <w:pPr>
        <w:ind w:left="280" w:hanging="274"/>
        <w:spacing w:after="0"/>
        <w:tabs>
          <w:tab w:leader="none" w:pos="280" w:val="left"/>
        </w:tabs>
        <w:numPr>
          <w:ilvl w:val="0"/>
          <w:numId w:val="20"/>
        </w:numPr>
        <w:rPr>
          <w:rFonts w:ascii="Arial" w:cs="Arial" w:eastAsia="Arial" w:hAnsi="Arial"/>
          <w:sz w:val="15"/>
          <w:szCs w:val="15"/>
          <w:i w:val="1"/>
          <w:iCs w:val="1"/>
          <w:color w:val="auto"/>
        </w:rPr>
      </w:pPr>
      <w:r>
        <w:rPr>
          <w:rFonts w:ascii="Arial" w:cs="Arial" w:eastAsia="Arial" w:hAnsi="Arial"/>
          <w:sz w:val="15"/>
          <w:szCs w:val="15"/>
          <w:i w:val="1"/>
          <w:iCs w:val="1"/>
          <w:color w:val="auto"/>
        </w:rPr>
        <w:t>Includes amounts for sales-based taxes.</w:t>
      </w:r>
    </w:p>
    <w:p>
      <w:pPr>
        <w:spacing w:after="0" w:line="60" w:lineRule="exact"/>
        <w:rPr>
          <w:rFonts w:ascii="Arial" w:cs="Arial" w:eastAsia="Arial" w:hAnsi="Arial"/>
          <w:sz w:val="15"/>
          <w:szCs w:val="15"/>
          <w:i w:val="1"/>
          <w:iCs w:val="1"/>
          <w:color w:val="auto"/>
        </w:rPr>
      </w:pPr>
    </w:p>
    <w:p>
      <w:pPr>
        <w:ind w:left="280" w:hanging="274"/>
        <w:spacing w:after="0"/>
        <w:tabs>
          <w:tab w:leader="none" w:pos="280" w:val="left"/>
        </w:tabs>
        <w:numPr>
          <w:ilvl w:val="0"/>
          <w:numId w:val="20"/>
        </w:numPr>
        <w:rPr>
          <w:rFonts w:ascii="Arial" w:cs="Arial" w:eastAsia="Arial" w:hAnsi="Arial"/>
          <w:sz w:val="15"/>
          <w:szCs w:val="15"/>
          <w:i w:val="1"/>
          <w:iCs w:val="1"/>
          <w:color w:val="auto"/>
        </w:rPr>
      </w:pPr>
      <w:r>
        <w:rPr>
          <w:rFonts w:ascii="Arial" w:cs="Arial" w:eastAsia="Arial" w:hAnsi="Arial"/>
          <w:sz w:val="15"/>
          <w:szCs w:val="15"/>
          <w:i w:val="1"/>
          <w:iCs w:val="1"/>
          <w:color w:val="auto"/>
        </w:rPr>
        <w:t>Gross profit equals sales and other operating revenue less estimated costs associated with products sold.</w:t>
      </w:r>
    </w:p>
    <w:p>
      <w:pPr>
        <w:spacing w:after="0" w:line="60" w:lineRule="exact"/>
        <w:rPr>
          <w:rFonts w:ascii="Arial" w:cs="Arial" w:eastAsia="Arial" w:hAnsi="Arial"/>
          <w:sz w:val="15"/>
          <w:szCs w:val="15"/>
          <w:i w:val="1"/>
          <w:iCs w:val="1"/>
          <w:color w:val="auto"/>
        </w:rPr>
      </w:pPr>
    </w:p>
    <w:p>
      <w:pPr>
        <w:ind w:left="280" w:hanging="274"/>
        <w:spacing w:after="0"/>
        <w:tabs>
          <w:tab w:leader="none" w:pos="280" w:val="left"/>
        </w:tabs>
        <w:numPr>
          <w:ilvl w:val="0"/>
          <w:numId w:val="20"/>
        </w:numPr>
        <w:rPr>
          <w:rFonts w:ascii="Arial" w:cs="Arial" w:eastAsia="Arial" w:hAnsi="Arial"/>
          <w:sz w:val="15"/>
          <w:szCs w:val="15"/>
          <w:i w:val="1"/>
          <w:iCs w:val="1"/>
          <w:color w:val="auto"/>
        </w:rPr>
      </w:pPr>
      <w:r>
        <w:rPr>
          <w:rFonts w:ascii="Arial" w:cs="Arial" w:eastAsia="Arial" w:hAnsi="Arial"/>
          <w:sz w:val="15"/>
          <w:szCs w:val="15"/>
          <w:i w:val="1"/>
          <w:iCs w:val="1"/>
          <w:color w:val="auto"/>
        </w:rPr>
        <w:t>Computed using the average number of shares outstanding during each period. The sum of the four quarters may not add to the full year.</w:t>
      </w:r>
    </w:p>
    <w:p>
      <w:pPr>
        <w:spacing w:after="0" w:line="203" w:lineRule="exact"/>
        <w:rPr>
          <w:sz w:val="20"/>
          <w:szCs w:val="20"/>
          <w:color w:val="auto"/>
        </w:rPr>
      </w:pPr>
    </w:p>
    <w:p>
      <w:pPr>
        <w:spacing w:after="0" w:line="347" w:lineRule="auto"/>
        <w:rPr>
          <w:sz w:val="20"/>
          <w:szCs w:val="20"/>
          <w:color w:val="auto"/>
        </w:rPr>
      </w:pPr>
      <w:r>
        <w:rPr>
          <w:rFonts w:ascii="Arial" w:cs="Arial" w:eastAsia="Arial" w:hAnsi="Arial"/>
          <w:sz w:val="14"/>
          <w:szCs w:val="14"/>
          <w:color w:val="auto"/>
        </w:rPr>
        <w:t>The price range of ExxonMobil common stock is as reported on the composite tape of the several U.S. exchanges where ExxonMobil common stock is traded. The p market where ExxonMobil common stock (XOM) is traded is the New York Stock Exchange, although the stock is traded on other exchanges in and outside the United</w:t>
      </w:r>
    </w:p>
    <w:p>
      <w:pPr>
        <w:ind w:firstLine="200"/>
        <w:spacing w:after="0" w:line="286" w:lineRule="auto"/>
        <w:rPr>
          <w:sz w:val="20"/>
          <w:szCs w:val="20"/>
          <w:color w:val="auto"/>
        </w:rPr>
      </w:pPr>
      <w:r>
        <w:rPr>
          <w:rFonts w:ascii="Arial" w:cs="Arial" w:eastAsia="Arial" w:hAnsi="Arial"/>
          <w:sz w:val="16"/>
          <w:szCs w:val="16"/>
          <w:color w:val="auto"/>
        </w:rPr>
        <w:t>There were 433,941 registered shareholders of ExxonMobil common stock at December 31, 2014. At January 31, 2015, the registered shareholders of Exxo common stock numbered 432,983.</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On January 28, 2015, the Corporation declared a $0.69 dividend per common share, payable March 10, 2015.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FUNCTIONAL EARNINGS</w:t>
            </w:r>
          </w:p>
        </w:tc>
        <w:tc>
          <w:tcPr>
            <w:tcW w:w="1320" w:type="dxa"/>
            <w:vAlign w:val="bottom"/>
            <w:tcBorders>
              <w:bottom w:val="single" w:sz="8" w:color="auto"/>
            </w:tcBorders>
          </w:tcPr>
          <w:p>
            <w:pPr>
              <w:jc w:val="right"/>
              <w:ind w:right="721"/>
              <w:spacing w:after="0"/>
              <w:rPr>
                <w:sz w:val="20"/>
                <w:szCs w:val="20"/>
                <w:color w:val="auto"/>
              </w:rPr>
            </w:pPr>
            <w:r>
              <w:rPr>
                <w:rFonts w:ascii="Arial" w:cs="Arial" w:eastAsia="Arial" w:hAnsi="Arial"/>
                <w:sz w:val="13"/>
                <w:szCs w:val="13"/>
                <w:b w:val="1"/>
                <w:bCs w:val="1"/>
                <w:color w:val="auto"/>
              </w:rPr>
              <w:t>2014</w:t>
            </w:r>
          </w:p>
        </w:tc>
        <w:tc>
          <w:tcPr>
            <w:tcW w:w="2160" w:type="dxa"/>
            <w:vAlign w:val="bottom"/>
            <w:tcBorders>
              <w:bottom w:val="single" w:sz="8" w:color="auto"/>
            </w:tcBorders>
          </w:tcPr>
          <w:p>
            <w:pPr>
              <w:jc w:val="right"/>
              <w:ind w:right="1280"/>
              <w:spacing w:after="0"/>
              <w:rPr>
                <w:sz w:val="20"/>
                <w:szCs w:val="20"/>
                <w:color w:val="auto"/>
              </w:rPr>
            </w:pPr>
            <w:r>
              <w:rPr>
                <w:rFonts w:ascii="Arial" w:cs="Arial" w:eastAsia="Arial" w:hAnsi="Arial"/>
                <w:sz w:val="13"/>
                <w:szCs w:val="13"/>
                <w:b w:val="1"/>
                <w:bCs w:val="1"/>
                <w:color w:val="auto"/>
              </w:rPr>
              <w:t>2013</w:t>
            </w:r>
          </w:p>
        </w:tc>
        <w:tc>
          <w:tcPr>
            <w:tcW w:w="0" w:type="dxa"/>
            <w:vAlign w:val="bottom"/>
          </w:tcPr>
          <w:p>
            <w:pPr>
              <w:spacing w:after="0"/>
              <w:rPr>
                <w:sz w:val="1"/>
                <w:szCs w:val="1"/>
                <w:color w:val="auto"/>
              </w:rPr>
            </w:pPr>
          </w:p>
        </w:tc>
      </w:tr>
      <w:tr>
        <w:trPr>
          <w:trHeight w:val="202"/>
        </w:trPr>
        <w:tc>
          <w:tcPr>
            <w:tcW w:w="7460" w:type="dxa"/>
            <w:vAlign w:val="bottom"/>
            <w:vMerge w:val="restart"/>
          </w:tcPr>
          <w:p>
            <w:pPr>
              <w:spacing w:after="0"/>
              <w:rPr>
                <w:sz w:val="20"/>
                <w:szCs w:val="20"/>
                <w:color w:val="auto"/>
              </w:rPr>
            </w:pPr>
            <w:r>
              <w:rPr>
                <w:rFonts w:ascii="Arial" w:cs="Arial" w:eastAsia="Arial" w:hAnsi="Arial"/>
                <w:sz w:val="16"/>
                <w:szCs w:val="16"/>
                <w:b w:val="1"/>
                <w:bCs w:val="1"/>
                <w:color w:val="auto"/>
              </w:rPr>
              <w:t>Earnings (U.S. GAAP)</w:t>
            </w:r>
          </w:p>
        </w:tc>
        <w:tc>
          <w:tcPr>
            <w:tcW w:w="3480" w:type="dxa"/>
            <w:vAlign w:val="bottom"/>
            <w:gridSpan w:val="2"/>
          </w:tcPr>
          <w:p>
            <w:pPr>
              <w:jc w:val="right"/>
              <w:ind w:right="200"/>
              <w:spacing w:after="0"/>
              <w:rPr>
                <w:sz w:val="20"/>
                <w:szCs w:val="20"/>
                <w:color w:val="auto"/>
              </w:rPr>
            </w:pPr>
            <w:r>
              <w:rPr>
                <w:rFonts w:ascii="Arial" w:cs="Arial" w:eastAsia="Arial" w:hAnsi="Arial"/>
                <w:sz w:val="13"/>
                <w:szCs w:val="13"/>
                <w:i w:val="1"/>
                <w:iCs w:val="1"/>
                <w:color w:val="auto"/>
              </w:rPr>
              <w:t>(millions of dollars, except per share amounts)</w:t>
            </w:r>
          </w:p>
        </w:tc>
        <w:tc>
          <w:tcPr>
            <w:tcW w:w="0" w:type="dxa"/>
            <w:vAlign w:val="bottom"/>
          </w:tcPr>
          <w:p>
            <w:pPr>
              <w:spacing w:after="0"/>
              <w:rPr>
                <w:sz w:val="1"/>
                <w:szCs w:val="1"/>
                <w:color w:val="auto"/>
              </w:rPr>
            </w:pPr>
          </w:p>
        </w:tc>
      </w:tr>
      <w:tr>
        <w:trPr>
          <w:trHeight w:val="170"/>
        </w:trPr>
        <w:tc>
          <w:tcPr>
            <w:tcW w:w="746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460" w:type="dxa"/>
            <w:vAlign w:val="bottom"/>
          </w:tcPr>
          <w:p>
            <w:pPr>
              <w:spacing w:after="0"/>
              <w:rPr>
                <w:sz w:val="20"/>
                <w:szCs w:val="20"/>
                <w:color w:val="auto"/>
              </w:rPr>
            </w:pPr>
            <w:r>
              <w:rPr>
                <w:rFonts w:ascii="Arial" w:cs="Arial" w:eastAsia="Arial" w:hAnsi="Arial"/>
                <w:sz w:val="16"/>
                <w:szCs w:val="16"/>
                <w:color w:val="auto"/>
              </w:rPr>
              <w:t>Upstream</w:t>
            </w:r>
          </w:p>
        </w:tc>
        <w:tc>
          <w:tcPr>
            <w:tcW w:w="1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6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1320" w:type="dxa"/>
            <w:vAlign w:val="bottom"/>
          </w:tcPr>
          <w:p>
            <w:pPr>
              <w:jc w:val="right"/>
              <w:ind w:right="501"/>
              <w:spacing w:after="0"/>
              <w:rPr>
                <w:sz w:val="20"/>
                <w:szCs w:val="20"/>
                <w:color w:val="auto"/>
              </w:rPr>
            </w:pPr>
            <w:r>
              <w:rPr>
                <w:rFonts w:ascii="Arial" w:cs="Arial" w:eastAsia="Arial" w:hAnsi="Arial"/>
                <w:sz w:val="16"/>
                <w:szCs w:val="16"/>
                <w:color w:val="auto"/>
              </w:rPr>
              <w:t>5,197</w:t>
            </w:r>
          </w:p>
        </w:tc>
        <w:tc>
          <w:tcPr>
            <w:tcW w:w="2160" w:type="dxa"/>
            <w:vAlign w:val="bottom"/>
          </w:tcPr>
          <w:p>
            <w:pPr>
              <w:jc w:val="right"/>
              <w:ind w:right="1060"/>
              <w:spacing w:after="0"/>
              <w:rPr>
                <w:sz w:val="20"/>
                <w:szCs w:val="20"/>
                <w:color w:val="auto"/>
              </w:rPr>
            </w:pPr>
            <w:r>
              <w:rPr>
                <w:rFonts w:ascii="Arial" w:cs="Arial" w:eastAsia="Arial" w:hAnsi="Arial"/>
                <w:sz w:val="16"/>
                <w:szCs w:val="16"/>
                <w:color w:val="auto"/>
              </w:rPr>
              <w:t>4,191</w:t>
            </w:r>
          </w:p>
        </w:tc>
        <w:tc>
          <w:tcPr>
            <w:tcW w:w="0" w:type="dxa"/>
            <w:vAlign w:val="bottom"/>
          </w:tcPr>
          <w:p>
            <w:pPr>
              <w:spacing w:after="0"/>
              <w:rPr>
                <w:sz w:val="1"/>
                <w:szCs w:val="1"/>
                <w:color w:val="auto"/>
              </w:rPr>
            </w:pPr>
          </w:p>
        </w:tc>
      </w:tr>
      <w:tr>
        <w:trPr>
          <w:trHeight w:val="196"/>
        </w:trPr>
        <w:tc>
          <w:tcPr>
            <w:tcW w:w="7460" w:type="dxa"/>
            <w:vAlign w:val="bottom"/>
          </w:tcPr>
          <w:p>
            <w:pPr>
              <w:ind w:left="240"/>
              <w:spacing w:after="0"/>
              <w:rPr>
                <w:sz w:val="20"/>
                <w:szCs w:val="20"/>
                <w:color w:val="auto"/>
              </w:rPr>
            </w:pPr>
            <w:r>
              <w:rPr>
                <w:rFonts w:ascii="Arial" w:cs="Arial" w:eastAsia="Arial" w:hAnsi="Arial"/>
                <w:sz w:val="16"/>
                <w:szCs w:val="16"/>
                <w:color w:val="auto"/>
              </w:rPr>
              <w:t>Non-U.S.</w:t>
            </w:r>
          </w:p>
        </w:tc>
        <w:tc>
          <w:tcPr>
            <w:tcW w:w="1320" w:type="dxa"/>
            <w:vAlign w:val="bottom"/>
          </w:tcPr>
          <w:p>
            <w:pPr>
              <w:jc w:val="right"/>
              <w:ind w:right="501"/>
              <w:spacing w:after="0"/>
              <w:rPr>
                <w:sz w:val="20"/>
                <w:szCs w:val="20"/>
                <w:color w:val="auto"/>
              </w:rPr>
            </w:pPr>
            <w:r>
              <w:rPr>
                <w:rFonts w:ascii="Arial" w:cs="Arial" w:eastAsia="Arial" w:hAnsi="Arial"/>
                <w:sz w:val="16"/>
                <w:szCs w:val="16"/>
                <w:color w:val="auto"/>
              </w:rPr>
              <w:t>22,351</w:t>
            </w:r>
          </w:p>
        </w:tc>
        <w:tc>
          <w:tcPr>
            <w:tcW w:w="2160" w:type="dxa"/>
            <w:vAlign w:val="bottom"/>
          </w:tcPr>
          <w:p>
            <w:pPr>
              <w:jc w:val="right"/>
              <w:ind w:right="1060"/>
              <w:spacing w:after="0"/>
              <w:rPr>
                <w:sz w:val="20"/>
                <w:szCs w:val="20"/>
                <w:color w:val="auto"/>
              </w:rPr>
            </w:pPr>
            <w:r>
              <w:rPr>
                <w:rFonts w:ascii="Arial" w:cs="Arial" w:eastAsia="Arial" w:hAnsi="Arial"/>
                <w:sz w:val="16"/>
                <w:szCs w:val="16"/>
                <w:color w:val="auto"/>
              </w:rPr>
              <w:t>22,650</w:t>
            </w:r>
          </w:p>
        </w:tc>
        <w:tc>
          <w:tcPr>
            <w:tcW w:w="0" w:type="dxa"/>
            <w:vAlign w:val="bottom"/>
          </w:tcPr>
          <w:p>
            <w:pPr>
              <w:spacing w:after="0"/>
              <w:rPr>
                <w:sz w:val="1"/>
                <w:szCs w:val="1"/>
                <w:color w:val="auto"/>
              </w:rPr>
            </w:pPr>
          </w:p>
        </w:tc>
      </w:tr>
      <w:tr>
        <w:trPr>
          <w:trHeight w:val="196"/>
        </w:trPr>
        <w:tc>
          <w:tcPr>
            <w:tcW w:w="7460" w:type="dxa"/>
            <w:vAlign w:val="bottom"/>
          </w:tcPr>
          <w:p>
            <w:pPr>
              <w:spacing w:after="0"/>
              <w:rPr>
                <w:sz w:val="20"/>
                <w:szCs w:val="20"/>
                <w:color w:val="auto"/>
              </w:rPr>
            </w:pPr>
            <w:r>
              <w:rPr>
                <w:rFonts w:ascii="Arial" w:cs="Arial" w:eastAsia="Arial" w:hAnsi="Arial"/>
                <w:sz w:val="16"/>
                <w:szCs w:val="16"/>
                <w:color w:val="auto"/>
              </w:rPr>
              <w:t>Downstream</w:t>
            </w:r>
          </w:p>
        </w:tc>
        <w:tc>
          <w:tcPr>
            <w:tcW w:w="1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6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1320" w:type="dxa"/>
            <w:vAlign w:val="bottom"/>
          </w:tcPr>
          <w:p>
            <w:pPr>
              <w:jc w:val="right"/>
              <w:ind w:right="501"/>
              <w:spacing w:after="0"/>
              <w:rPr>
                <w:sz w:val="20"/>
                <w:szCs w:val="20"/>
                <w:color w:val="auto"/>
              </w:rPr>
            </w:pPr>
            <w:r>
              <w:rPr>
                <w:rFonts w:ascii="Arial" w:cs="Arial" w:eastAsia="Arial" w:hAnsi="Arial"/>
                <w:sz w:val="16"/>
                <w:szCs w:val="16"/>
                <w:color w:val="auto"/>
              </w:rPr>
              <w:t>1,618</w:t>
            </w:r>
          </w:p>
        </w:tc>
        <w:tc>
          <w:tcPr>
            <w:tcW w:w="2160" w:type="dxa"/>
            <w:vAlign w:val="bottom"/>
          </w:tcPr>
          <w:p>
            <w:pPr>
              <w:jc w:val="right"/>
              <w:ind w:right="1060"/>
              <w:spacing w:after="0"/>
              <w:rPr>
                <w:sz w:val="20"/>
                <w:szCs w:val="20"/>
                <w:color w:val="auto"/>
              </w:rPr>
            </w:pPr>
            <w:r>
              <w:rPr>
                <w:rFonts w:ascii="Arial" w:cs="Arial" w:eastAsia="Arial" w:hAnsi="Arial"/>
                <w:sz w:val="16"/>
                <w:szCs w:val="16"/>
                <w:color w:val="auto"/>
              </w:rPr>
              <w:t>2,199</w:t>
            </w:r>
          </w:p>
        </w:tc>
        <w:tc>
          <w:tcPr>
            <w:tcW w:w="0" w:type="dxa"/>
            <w:vAlign w:val="bottom"/>
          </w:tcPr>
          <w:p>
            <w:pPr>
              <w:spacing w:after="0"/>
              <w:rPr>
                <w:sz w:val="1"/>
                <w:szCs w:val="1"/>
                <w:color w:val="auto"/>
              </w:rPr>
            </w:pPr>
          </w:p>
        </w:tc>
      </w:tr>
      <w:tr>
        <w:trPr>
          <w:trHeight w:val="196"/>
        </w:trPr>
        <w:tc>
          <w:tcPr>
            <w:tcW w:w="7460" w:type="dxa"/>
            <w:vAlign w:val="bottom"/>
          </w:tcPr>
          <w:p>
            <w:pPr>
              <w:ind w:left="240"/>
              <w:spacing w:after="0"/>
              <w:rPr>
                <w:sz w:val="20"/>
                <w:szCs w:val="20"/>
                <w:color w:val="auto"/>
              </w:rPr>
            </w:pPr>
            <w:r>
              <w:rPr>
                <w:rFonts w:ascii="Arial" w:cs="Arial" w:eastAsia="Arial" w:hAnsi="Arial"/>
                <w:sz w:val="16"/>
                <w:szCs w:val="16"/>
                <w:color w:val="auto"/>
              </w:rPr>
              <w:t>Non-U.S.</w:t>
            </w:r>
          </w:p>
        </w:tc>
        <w:tc>
          <w:tcPr>
            <w:tcW w:w="1320" w:type="dxa"/>
            <w:vAlign w:val="bottom"/>
          </w:tcPr>
          <w:p>
            <w:pPr>
              <w:jc w:val="right"/>
              <w:ind w:right="501"/>
              <w:spacing w:after="0"/>
              <w:rPr>
                <w:sz w:val="20"/>
                <w:szCs w:val="20"/>
                <w:color w:val="auto"/>
              </w:rPr>
            </w:pPr>
            <w:r>
              <w:rPr>
                <w:rFonts w:ascii="Arial" w:cs="Arial" w:eastAsia="Arial" w:hAnsi="Arial"/>
                <w:sz w:val="16"/>
                <w:szCs w:val="16"/>
                <w:color w:val="auto"/>
              </w:rPr>
              <w:t>1,427</w:t>
            </w:r>
          </w:p>
        </w:tc>
        <w:tc>
          <w:tcPr>
            <w:tcW w:w="2160" w:type="dxa"/>
            <w:vAlign w:val="bottom"/>
          </w:tcPr>
          <w:p>
            <w:pPr>
              <w:jc w:val="right"/>
              <w:ind w:right="1060"/>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196"/>
        </w:trPr>
        <w:tc>
          <w:tcPr>
            <w:tcW w:w="7460" w:type="dxa"/>
            <w:vAlign w:val="bottom"/>
          </w:tcPr>
          <w:p>
            <w:pPr>
              <w:spacing w:after="0"/>
              <w:rPr>
                <w:sz w:val="20"/>
                <w:szCs w:val="20"/>
                <w:color w:val="auto"/>
              </w:rPr>
            </w:pPr>
            <w:r>
              <w:rPr>
                <w:rFonts w:ascii="Arial" w:cs="Arial" w:eastAsia="Arial" w:hAnsi="Arial"/>
                <w:sz w:val="16"/>
                <w:szCs w:val="16"/>
                <w:color w:val="auto"/>
              </w:rPr>
              <w:t>Chemical</w:t>
            </w:r>
          </w:p>
        </w:tc>
        <w:tc>
          <w:tcPr>
            <w:tcW w:w="1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6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1320" w:type="dxa"/>
            <w:vAlign w:val="bottom"/>
          </w:tcPr>
          <w:p>
            <w:pPr>
              <w:jc w:val="right"/>
              <w:ind w:right="501"/>
              <w:spacing w:after="0"/>
              <w:rPr>
                <w:sz w:val="20"/>
                <w:szCs w:val="20"/>
                <w:color w:val="auto"/>
              </w:rPr>
            </w:pPr>
            <w:r>
              <w:rPr>
                <w:rFonts w:ascii="Arial" w:cs="Arial" w:eastAsia="Arial" w:hAnsi="Arial"/>
                <w:sz w:val="16"/>
                <w:szCs w:val="16"/>
                <w:color w:val="auto"/>
              </w:rPr>
              <w:t>2,804</w:t>
            </w:r>
          </w:p>
        </w:tc>
        <w:tc>
          <w:tcPr>
            <w:tcW w:w="2160" w:type="dxa"/>
            <w:vAlign w:val="bottom"/>
          </w:tcPr>
          <w:p>
            <w:pPr>
              <w:jc w:val="right"/>
              <w:ind w:right="1060"/>
              <w:spacing w:after="0"/>
              <w:rPr>
                <w:sz w:val="20"/>
                <w:szCs w:val="20"/>
                <w:color w:val="auto"/>
              </w:rPr>
            </w:pPr>
            <w:r>
              <w:rPr>
                <w:rFonts w:ascii="Arial" w:cs="Arial" w:eastAsia="Arial" w:hAnsi="Arial"/>
                <w:sz w:val="16"/>
                <w:szCs w:val="16"/>
                <w:color w:val="auto"/>
              </w:rPr>
              <w:t>2,755</w:t>
            </w:r>
          </w:p>
        </w:tc>
        <w:tc>
          <w:tcPr>
            <w:tcW w:w="0" w:type="dxa"/>
            <w:vAlign w:val="bottom"/>
          </w:tcPr>
          <w:p>
            <w:pPr>
              <w:spacing w:after="0"/>
              <w:rPr>
                <w:sz w:val="1"/>
                <w:szCs w:val="1"/>
                <w:color w:val="auto"/>
              </w:rPr>
            </w:pPr>
          </w:p>
        </w:tc>
      </w:tr>
      <w:tr>
        <w:trPr>
          <w:trHeight w:val="196"/>
        </w:trPr>
        <w:tc>
          <w:tcPr>
            <w:tcW w:w="7460" w:type="dxa"/>
            <w:vAlign w:val="bottom"/>
          </w:tcPr>
          <w:p>
            <w:pPr>
              <w:ind w:left="240"/>
              <w:spacing w:after="0"/>
              <w:rPr>
                <w:sz w:val="20"/>
                <w:szCs w:val="20"/>
                <w:color w:val="auto"/>
              </w:rPr>
            </w:pPr>
            <w:r>
              <w:rPr>
                <w:rFonts w:ascii="Arial" w:cs="Arial" w:eastAsia="Arial" w:hAnsi="Arial"/>
                <w:sz w:val="16"/>
                <w:szCs w:val="16"/>
                <w:color w:val="auto"/>
              </w:rPr>
              <w:t>Non-U.S.</w:t>
            </w:r>
          </w:p>
        </w:tc>
        <w:tc>
          <w:tcPr>
            <w:tcW w:w="1320" w:type="dxa"/>
            <w:vAlign w:val="bottom"/>
          </w:tcPr>
          <w:p>
            <w:pPr>
              <w:jc w:val="right"/>
              <w:ind w:right="501"/>
              <w:spacing w:after="0"/>
              <w:rPr>
                <w:sz w:val="20"/>
                <w:szCs w:val="20"/>
                <w:color w:val="auto"/>
              </w:rPr>
            </w:pPr>
            <w:r>
              <w:rPr>
                <w:rFonts w:ascii="Arial" w:cs="Arial" w:eastAsia="Arial" w:hAnsi="Arial"/>
                <w:sz w:val="16"/>
                <w:szCs w:val="16"/>
                <w:color w:val="auto"/>
              </w:rPr>
              <w:t>1,511</w:t>
            </w:r>
          </w:p>
        </w:tc>
        <w:tc>
          <w:tcPr>
            <w:tcW w:w="2160" w:type="dxa"/>
            <w:vAlign w:val="bottom"/>
          </w:tcPr>
          <w:p>
            <w:pPr>
              <w:jc w:val="right"/>
              <w:ind w:right="1060"/>
              <w:spacing w:after="0"/>
              <w:rPr>
                <w:sz w:val="20"/>
                <w:szCs w:val="20"/>
                <w:color w:val="auto"/>
              </w:rPr>
            </w:pPr>
            <w:r>
              <w:rPr>
                <w:rFonts w:ascii="Arial" w:cs="Arial" w:eastAsia="Arial" w:hAnsi="Arial"/>
                <w:sz w:val="16"/>
                <w:szCs w:val="16"/>
                <w:color w:val="auto"/>
              </w:rPr>
              <w:t>1,073</w:t>
            </w:r>
          </w:p>
        </w:tc>
        <w:tc>
          <w:tcPr>
            <w:tcW w:w="0" w:type="dxa"/>
            <w:vAlign w:val="bottom"/>
          </w:tcPr>
          <w:p>
            <w:pPr>
              <w:spacing w:after="0"/>
              <w:rPr>
                <w:sz w:val="1"/>
                <w:szCs w:val="1"/>
                <w:color w:val="auto"/>
              </w:rPr>
            </w:pPr>
          </w:p>
        </w:tc>
      </w:tr>
      <w:tr>
        <w:trPr>
          <w:trHeight w:val="208"/>
        </w:trPr>
        <w:tc>
          <w:tcPr>
            <w:tcW w:w="7460" w:type="dxa"/>
            <w:vAlign w:val="bottom"/>
          </w:tcPr>
          <w:p>
            <w:pPr>
              <w:spacing w:after="0"/>
              <w:rPr>
                <w:sz w:val="20"/>
                <w:szCs w:val="20"/>
                <w:color w:val="auto"/>
              </w:rPr>
            </w:pPr>
            <w:r>
              <w:rPr>
                <w:rFonts w:ascii="Arial" w:cs="Arial" w:eastAsia="Arial" w:hAnsi="Arial"/>
                <w:sz w:val="16"/>
                <w:szCs w:val="16"/>
                <w:color w:val="auto"/>
              </w:rPr>
              <w:t>Corporate and financing</w:t>
            </w:r>
          </w:p>
        </w:tc>
        <w:tc>
          <w:tcPr>
            <w:tcW w:w="132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rPr>
              <w:t>(2,388)</w:t>
            </w:r>
          </w:p>
        </w:tc>
        <w:tc>
          <w:tcPr>
            <w:tcW w:w="2160" w:type="dxa"/>
            <w:vAlign w:val="bottom"/>
            <w:tcBorders>
              <w:bottom w:val="single" w:sz="8" w:color="auto"/>
            </w:tcBorders>
          </w:tcPr>
          <w:p>
            <w:pPr>
              <w:jc w:val="right"/>
              <w:ind w:right="1020"/>
              <w:spacing w:after="0"/>
              <w:rPr>
                <w:sz w:val="20"/>
                <w:szCs w:val="20"/>
                <w:color w:val="auto"/>
              </w:rPr>
            </w:pPr>
            <w:r>
              <w:rPr>
                <w:rFonts w:ascii="Arial" w:cs="Arial" w:eastAsia="Arial" w:hAnsi="Arial"/>
                <w:sz w:val="16"/>
                <w:szCs w:val="16"/>
                <w:color w:val="auto"/>
              </w:rPr>
              <w:t>(1,538)</w:t>
            </w:r>
          </w:p>
        </w:tc>
        <w:tc>
          <w:tcPr>
            <w:tcW w:w="0" w:type="dxa"/>
            <w:vAlign w:val="bottom"/>
          </w:tcPr>
          <w:p>
            <w:pPr>
              <w:spacing w:after="0"/>
              <w:rPr>
                <w:sz w:val="1"/>
                <w:szCs w:val="1"/>
                <w:color w:val="auto"/>
              </w:rPr>
            </w:pPr>
          </w:p>
        </w:tc>
      </w:tr>
      <w:tr>
        <w:trPr>
          <w:trHeight w:val="189"/>
        </w:trPr>
        <w:tc>
          <w:tcPr>
            <w:tcW w:w="7460" w:type="dxa"/>
            <w:vAlign w:val="bottom"/>
          </w:tcPr>
          <w:p>
            <w:pPr>
              <w:ind w:left="480"/>
              <w:spacing w:after="0"/>
              <w:rPr>
                <w:sz w:val="20"/>
                <w:szCs w:val="20"/>
                <w:color w:val="auto"/>
              </w:rPr>
            </w:pPr>
            <w:r>
              <w:rPr>
                <w:rFonts w:ascii="Arial" w:cs="Arial" w:eastAsia="Arial" w:hAnsi="Arial"/>
                <w:sz w:val="16"/>
                <w:szCs w:val="16"/>
                <w:color w:val="auto"/>
              </w:rPr>
              <w:t>Net income attributable to ExxonMobil (U.S. GAAP)</w:t>
            </w:r>
          </w:p>
        </w:tc>
        <w:tc>
          <w:tcPr>
            <w:tcW w:w="132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color w:val="auto"/>
              </w:rPr>
              <w:t>32,520</w:t>
            </w:r>
          </w:p>
        </w:tc>
        <w:tc>
          <w:tcPr>
            <w:tcW w:w="2160" w:type="dxa"/>
            <w:vAlign w:val="bottom"/>
            <w:tcBorders>
              <w:bottom w:val="single" w:sz="8" w:color="auto"/>
            </w:tcBorders>
          </w:tcPr>
          <w:p>
            <w:pPr>
              <w:jc w:val="right"/>
              <w:ind w:right="1060"/>
              <w:spacing w:after="0"/>
              <w:rPr>
                <w:sz w:val="20"/>
                <w:szCs w:val="20"/>
                <w:color w:val="auto"/>
              </w:rPr>
            </w:pPr>
            <w:r>
              <w:rPr>
                <w:rFonts w:ascii="Arial" w:cs="Arial" w:eastAsia="Arial" w:hAnsi="Arial"/>
                <w:sz w:val="16"/>
                <w:szCs w:val="16"/>
                <w:color w:val="auto"/>
              </w:rPr>
              <w:t>32,580</w:t>
            </w:r>
          </w:p>
        </w:tc>
        <w:tc>
          <w:tcPr>
            <w:tcW w:w="0" w:type="dxa"/>
            <w:vAlign w:val="bottom"/>
          </w:tcPr>
          <w:p>
            <w:pPr>
              <w:spacing w:after="0"/>
              <w:rPr>
                <w:sz w:val="1"/>
                <w:szCs w:val="1"/>
                <w:color w:val="auto"/>
              </w:rPr>
            </w:pPr>
          </w:p>
        </w:tc>
      </w:tr>
      <w:tr>
        <w:trPr>
          <w:trHeight w:val="372"/>
        </w:trPr>
        <w:tc>
          <w:tcPr>
            <w:tcW w:w="7460" w:type="dxa"/>
            <w:vAlign w:val="bottom"/>
          </w:tcPr>
          <w:p>
            <w:pPr>
              <w:spacing w:after="0"/>
              <w:rPr>
                <w:sz w:val="20"/>
                <w:szCs w:val="20"/>
                <w:color w:val="auto"/>
              </w:rPr>
            </w:pPr>
            <w:r>
              <w:rPr>
                <w:rFonts w:ascii="Arial" w:cs="Arial" w:eastAsia="Arial" w:hAnsi="Arial"/>
                <w:sz w:val="16"/>
                <w:szCs w:val="16"/>
                <w:color w:val="auto"/>
              </w:rPr>
              <w:t>Earnings per common share</w:t>
            </w:r>
          </w:p>
        </w:tc>
        <w:tc>
          <w:tcPr>
            <w:tcW w:w="1320" w:type="dxa"/>
            <w:vAlign w:val="bottom"/>
          </w:tcPr>
          <w:p>
            <w:pPr>
              <w:jc w:val="right"/>
              <w:ind w:right="501"/>
              <w:spacing w:after="0"/>
              <w:rPr>
                <w:sz w:val="20"/>
                <w:szCs w:val="20"/>
                <w:color w:val="auto"/>
              </w:rPr>
            </w:pPr>
            <w:r>
              <w:rPr>
                <w:rFonts w:ascii="Arial" w:cs="Arial" w:eastAsia="Arial" w:hAnsi="Arial"/>
                <w:sz w:val="16"/>
                <w:szCs w:val="16"/>
                <w:color w:val="auto"/>
              </w:rPr>
              <w:t>7.60</w:t>
            </w:r>
          </w:p>
        </w:tc>
        <w:tc>
          <w:tcPr>
            <w:tcW w:w="2160" w:type="dxa"/>
            <w:vAlign w:val="bottom"/>
          </w:tcPr>
          <w:p>
            <w:pPr>
              <w:jc w:val="right"/>
              <w:ind w:right="1060"/>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08"/>
        </w:trPr>
        <w:tc>
          <w:tcPr>
            <w:tcW w:w="7460" w:type="dxa"/>
            <w:vAlign w:val="bottom"/>
          </w:tcPr>
          <w:p>
            <w:pPr>
              <w:spacing w:after="0"/>
              <w:rPr>
                <w:sz w:val="20"/>
                <w:szCs w:val="20"/>
                <w:color w:val="auto"/>
              </w:rPr>
            </w:pPr>
            <w:r>
              <w:rPr>
                <w:rFonts w:ascii="Arial" w:cs="Arial" w:eastAsia="Arial" w:hAnsi="Arial"/>
                <w:sz w:val="16"/>
                <w:szCs w:val="16"/>
                <w:color w:val="auto"/>
              </w:rPr>
              <w:t>Earnings per common share – assuming dilution</w:t>
            </w:r>
          </w:p>
        </w:tc>
        <w:tc>
          <w:tcPr>
            <w:tcW w:w="1320" w:type="dxa"/>
            <w:vAlign w:val="bottom"/>
          </w:tcPr>
          <w:p>
            <w:pPr>
              <w:jc w:val="right"/>
              <w:ind w:right="501"/>
              <w:spacing w:after="0"/>
              <w:rPr>
                <w:sz w:val="20"/>
                <w:szCs w:val="20"/>
                <w:color w:val="auto"/>
              </w:rPr>
            </w:pPr>
            <w:r>
              <w:rPr>
                <w:rFonts w:ascii="Arial" w:cs="Arial" w:eastAsia="Arial" w:hAnsi="Arial"/>
                <w:sz w:val="16"/>
                <w:szCs w:val="16"/>
                <w:color w:val="auto"/>
              </w:rPr>
              <w:t>7.60</w:t>
            </w:r>
          </w:p>
        </w:tc>
        <w:tc>
          <w:tcPr>
            <w:tcW w:w="2160" w:type="dxa"/>
            <w:vAlign w:val="bottom"/>
          </w:tcPr>
          <w:p>
            <w:pPr>
              <w:jc w:val="right"/>
              <w:ind w:right="1060"/>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color w:val="auto"/>
        </w:rPr>
        <w:t>References in this discussion to total corporate earnings mean net income attributable to ExxonMobil (U.S. GAAP) from the consolidated income statement. Unless ot indicated, references to earnings, Upstream, Downstream, Chemical and Corporate and Financing segment earnings, and earnings per share are ExxonMobil’s sha excluding amounts attributable to noncontrolling interests.</w:t>
      </w:r>
    </w:p>
    <w:p>
      <w:pPr>
        <w:spacing w:after="0" w:line="1"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Statements in this discussion regarding expectations, plans and future events or conditions are forward-looking statements. Actual future results, including demand gro energy source mix; capacity increases; production growth and mix; rates of field decline; financing sources; the resolution of contingencies and uncert positions; environmental and capital expenditures; could differ materially depending on a number of factors, such as changes in the supply of and demand for cr natural gas, and petroleum and petrochemical products; the outcome of commercial negotiations; political or regulatory events, and other factors discussed herein and 1A. Risk Factors.</w:t>
      </w:r>
    </w:p>
    <w:p>
      <w:pPr>
        <w:spacing w:after="0" w:line="46" w:lineRule="exact"/>
        <w:rPr>
          <w:sz w:val="20"/>
          <w:szCs w:val="20"/>
          <w:color w:val="auto"/>
        </w:rPr>
      </w:pPr>
    </w:p>
    <w:p>
      <w:pPr>
        <w:jc w:val="both"/>
        <w:ind w:firstLine="200"/>
        <w:spacing w:after="0" w:line="286" w:lineRule="auto"/>
        <w:rPr>
          <w:sz w:val="20"/>
          <w:szCs w:val="20"/>
          <w:color w:val="auto"/>
        </w:rPr>
      </w:pPr>
      <w:r>
        <w:rPr>
          <w:rFonts w:ascii="Arial" w:cs="Arial" w:eastAsia="Arial" w:hAnsi="Arial"/>
          <w:sz w:val="16"/>
          <w:szCs w:val="16"/>
          <w:color w:val="auto"/>
        </w:rPr>
        <w:t>The term “project” as used in this report can refer to a variety of different activities and does not necessarily have the same meaning as in any government p transparency reports.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following discussion and analysis of ExxonMobil’s financial results, as well as the accompanying financial statements and related notes to consolidated fi statements to which they refer, are the responsibility of the management of Exxon Mobil Corporation. The Corporation’s accounting and financial reporting fairly re straightforward business model involving the extracting, manufacturing and marketing of hydrocarbons and hydrocarbon-based products. The Corporation’s business involves the production (or purchase), manufacture and sale of physical products, and all commercial activities are directly in support of the underlying physical mo of goods.</w:t>
      </w:r>
    </w:p>
    <w:p>
      <w:pPr>
        <w:spacing w:after="0" w:line="46" w:lineRule="exact"/>
        <w:rPr>
          <w:sz w:val="20"/>
          <w:szCs w:val="20"/>
          <w:color w:val="auto"/>
        </w:rPr>
      </w:pPr>
    </w:p>
    <w:p>
      <w:pPr>
        <w:jc w:val="both"/>
        <w:ind w:firstLine="200"/>
        <w:spacing w:after="0" w:line="279" w:lineRule="auto"/>
        <w:rPr>
          <w:sz w:val="20"/>
          <w:szCs w:val="20"/>
          <w:color w:val="auto"/>
        </w:rPr>
      </w:pPr>
      <w:r>
        <w:rPr>
          <w:rFonts w:ascii="Arial" w:cs="Arial" w:eastAsia="Arial" w:hAnsi="Arial"/>
          <w:sz w:val="15"/>
          <w:szCs w:val="15"/>
          <w:color w:val="auto"/>
        </w:rPr>
        <w:t>ExxonMobil, with its resource base, financial strength, disciplined investment approach and technology portfolio, is well-positioned to participate in sub investments to develop new energy supplies. While commodity prices are volatile on a short-term basis and depend on supply and demand, ExxonMobil’s inv decisions are based on our long-term business outlook, using a disciplined approach in selecting and pursuing the most attractive investment opportunities. The corpor is a fundamental annual management process that is the basis for setting near-term operating and capital objectives in addition to providing the longer-term ec assumptions used for investment evaluation purposes. Volumes are based on individual field production profiles, which are also updated annually. Price ranges for cr natural gas, refined products, and chemical products are based on corporate plan assumptions developed annually by major region and are utilized for investment eva purposes. Potential investment opportunities are evaluated over a wide range of economic scenarios to establish the resiliency of each opportunity. Once investm made, a reappraisal process is completed to ensure relevant lessons are learned and improvements are incorporated into future projects.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ENVIRONMENT AND RISK ASSESSMENT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Business Outlook</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By 2040, the world’s population is projected to grow to approximately 9 billion people, or about 2 billion more than in 2010. Coincident with this population incre Corporation expects worldwide economic growth to average close to 3 percent per year. As economies and populations grow, and as living standards improve for bil people, the need for energy will continue to rise. Even with significant efficiency gains, global energy demand is projected to rise by about 35 percent from 2010 to 204 demand increase is expected to be concentrated in developing countries (i.e., those that are not member nations of the Organisation for Economic Co-operat Development).</w:t>
      </w:r>
    </w:p>
    <w:p>
      <w:pPr>
        <w:spacing w:after="0" w:line="46" w:lineRule="exact"/>
        <w:rPr>
          <w:sz w:val="20"/>
          <w:szCs w:val="20"/>
          <w:color w:val="auto"/>
        </w:rPr>
      </w:pPr>
    </w:p>
    <w:p>
      <w:pPr>
        <w:jc w:val="both"/>
        <w:ind w:firstLine="200"/>
        <w:spacing w:after="0" w:line="297" w:lineRule="auto"/>
        <w:rPr>
          <w:sz w:val="20"/>
          <w:szCs w:val="20"/>
          <w:color w:val="auto"/>
        </w:rPr>
      </w:pPr>
      <w:r>
        <w:rPr>
          <w:rFonts w:ascii="Arial" w:cs="Arial" w:eastAsia="Arial" w:hAnsi="Arial"/>
          <w:sz w:val="15"/>
          <w:szCs w:val="15"/>
          <w:color w:val="auto"/>
        </w:rPr>
        <w:t>As expanding prosperity drives global energy demand higher, increasing use of energy-efficient and lower-emission fuels, technologies and practices will continue significantly reduce energy consumption and emissions per unit of economic output over time. Substantial efficiency gains are likely in all key aspects of the world’s ec through 2040, affecting energy requirements for transportation, power generation, industrial applications, and residential and commercial needs.</w:t>
      </w:r>
    </w:p>
    <w:p>
      <w:pPr>
        <w:spacing w:after="0" w:line="21" w:lineRule="exact"/>
        <w:rPr>
          <w:sz w:val="20"/>
          <w:szCs w:val="20"/>
          <w:color w:val="auto"/>
        </w:rPr>
      </w:pPr>
    </w:p>
    <w:p>
      <w:pPr>
        <w:jc w:val="both"/>
        <w:ind w:firstLine="200"/>
        <w:spacing w:after="0" w:line="297" w:lineRule="auto"/>
        <w:rPr>
          <w:sz w:val="20"/>
          <w:szCs w:val="20"/>
          <w:color w:val="auto"/>
        </w:rPr>
      </w:pPr>
      <w:r>
        <w:rPr>
          <w:rFonts w:ascii="Arial" w:cs="Arial" w:eastAsia="Arial" w:hAnsi="Arial"/>
          <w:sz w:val="15"/>
          <w:szCs w:val="15"/>
          <w:color w:val="auto"/>
        </w:rPr>
        <w:t>Energy for transportation – including cars, trucks, ships, trains and airplanes – is expected to increase by about 40 percent from 2010 to 2040. The growth in transp energy demand is likely to account for approximately 60 percent of the growth in liquid fuels demand worldwide over this period. Nearly all the world’s transportatio will continue to run on liquid fuels, which are abundant, widely available, easy to transport, and provide a large quantity of energy in small volumes.</w:t>
      </w:r>
    </w:p>
    <w:p>
      <w:pPr>
        <w:spacing w:after="0" w:line="21" w:lineRule="exact"/>
        <w:rPr>
          <w:sz w:val="20"/>
          <w:szCs w:val="20"/>
          <w:color w:val="auto"/>
        </w:rPr>
      </w:pPr>
    </w:p>
    <w:p>
      <w:pPr>
        <w:jc w:val="both"/>
        <w:ind w:firstLine="200"/>
        <w:spacing w:after="0" w:line="261" w:lineRule="auto"/>
        <w:rPr>
          <w:sz w:val="20"/>
          <w:szCs w:val="20"/>
          <w:color w:val="auto"/>
        </w:rPr>
      </w:pPr>
      <w:r>
        <w:rPr>
          <w:rFonts w:ascii="Arial" w:cs="Arial" w:eastAsia="Arial" w:hAnsi="Arial"/>
          <w:sz w:val="16"/>
          <w:szCs w:val="16"/>
          <w:color w:val="auto"/>
        </w:rPr>
        <w:t>Demand for electricity around the world is likely to increase approximately 85 percent by 2040, led by growth in developing countries. Consistent with this pro power generation is expected to remain the largest and fastest-growing major segment of global energy demand. Meeting the expected growth in power demand will r diverse set of energy sources. Natural gas demand is likely to grow most significantly and become the leading source of generated electricity by 2040, reflecting the eff of gas-fired power plants. Today, coal has the largest fuel share in the power sector, but its share is likely to decline significantly by 2040 as policies are gradually ado reduce environmental impacts including those related to local air quality and greenhouse gas emissions. Nuclear power and renewables, led by hydropower and wind, expected to grow significantly over the period.</w:t>
      </w:r>
    </w:p>
    <w:p>
      <w:pPr>
        <w:spacing w:after="0" w:line="74"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both"/>
        <w:ind w:firstLine="200"/>
        <w:spacing w:after="0" w:line="199" w:lineRule="exact"/>
        <w:rPr>
          <w:sz w:val="20"/>
          <w:szCs w:val="20"/>
          <w:color w:val="auto"/>
        </w:rPr>
      </w:pPr>
      <w:r>
        <w:rPr>
          <w:rFonts w:ascii="Arial" w:cs="Arial" w:eastAsia="Arial" w:hAnsi="Arial"/>
          <w:sz w:val="15"/>
          <w:szCs w:val="15"/>
          <w:color w:val="auto"/>
        </w:rPr>
        <w:t>Liquid fuels provide the largest share of global energy supplies today due to their broad-based availability, affordability and ease of transportation, distribution and to meet consumer needs. By 2040, global demand for liquid fuels is expected to grow to approximately 115 million barrels of oil</w:t>
      </w:r>
      <w:r>
        <w:rPr>
          <w:rFonts w:ascii="MS PGothic" w:cs="MS PGothic" w:eastAsia="MS PGothic" w:hAnsi="MS PGothic"/>
          <w:sz w:val="15"/>
          <w:szCs w:val="15"/>
          <w:color w:val="auto"/>
        </w:rPr>
        <w:t>‑</w:t>
      </w:r>
      <w:r>
        <w:rPr>
          <w:rFonts w:ascii="Arial" w:cs="Arial" w:eastAsia="Arial" w:hAnsi="Arial"/>
          <w:sz w:val="15"/>
          <w:szCs w:val="15"/>
          <w:color w:val="auto"/>
        </w:rPr>
        <w:t>equivalent per day, an increase of 30 percent from 2010. Globally, crude production from traditional conventional sources will likely decrease slightly through 2040, with significant development mostly offsetting natural declines from these fields. However, this decrease is expected to be more than offset by rising production from a variety of emerging supply</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including tight oil, deepwater, oil sands, natural gas liquids and biofuels. The world’s resource base is sufficient to meet projected demand through 2040 as tech advances continue to expand the availability of economic supply options. However, access to resources and timely investments will remain critical to meeting globa with reliable, affordable supplies.</w:t>
      </w:r>
    </w:p>
    <w:p>
      <w:pPr>
        <w:spacing w:after="0" w:line="45" w:lineRule="exact"/>
        <w:rPr>
          <w:sz w:val="20"/>
          <w:szCs w:val="20"/>
          <w:color w:val="auto"/>
        </w:rPr>
      </w:pPr>
    </w:p>
    <w:p>
      <w:pPr>
        <w:jc w:val="both"/>
        <w:ind w:firstLine="200"/>
        <w:spacing w:after="0" w:line="263" w:lineRule="auto"/>
        <w:rPr>
          <w:sz w:val="20"/>
          <w:szCs w:val="20"/>
          <w:color w:val="auto"/>
        </w:rPr>
      </w:pPr>
      <w:r>
        <w:rPr>
          <w:rFonts w:ascii="Arial" w:cs="Arial" w:eastAsia="Arial" w:hAnsi="Arial"/>
          <w:sz w:val="16"/>
          <w:szCs w:val="16"/>
          <w:color w:val="auto"/>
        </w:rPr>
        <w:t>Natural gas is a versatile fuel, suitable for a wide variety of applications, and is expected to be the fastest growing major fuel source through 2040. Global de expected to rise about 65 percent from 2010 to 2040, with about half of that increase in the Asia Pacific region. Helping meet these needs will be significant gr supplies of unconventional gas – the natural gas found in shale and other rock formations that was once considered uneconomic to produce. About two-thirds of the gr natural gas supplies is expected to be from unconventional sources, which will account for close to 35 percent of global gas supplies by 2040. The worldwide liquefied gas (LNG) market is expected to more than triple by 2040, stimulated by growing natural gas demand.</w:t>
      </w:r>
    </w:p>
    <w:p>
      <w:pPr>
        <w:spacing w:after="0" w:line="46" w:lineRule="exact"/>
        <w:rPr>
          <w:sz w:val="20"/>
          <w:szCs w:val="20"/>
          <w:color w:val="auto"/>
        </w:rPr>
      </w:pPr>
    </w:p>
    <w:p>
      <w:pPr>
        <w:jc w:val="both"/>
        <w:ind w:firstLine="200"/>
        <w:spacing w:after="0" w:line="282" w:lineRule="auto"/>
        <w:rPr>
          <w:sz w:val="20"/>
          <w:szCs w:val="20"/>
          <w:color w:val="auto"/>
        </w:rPr>
      </w:pPr>
      <w:r>
        <w:rPr>
          <w:rFonts w:ascii="Arial" w:cs="Arial" w:eastAsia="Arial" w:hAnsi="Arial"/>
          <w:sz w:val="15"/>
          <w:szCs w:val="15"/>
          <w:color w:val="auto"/>
        </w:rPr>
        <w:t>The world’s energy mix is highly diverse and will remain so through 2040. Oil is expected to remain the largest source of energy with its share remaining close to o in 2040. Coal is currently the second largest source of energy, but it is likely to lose that position to natural gas in the 2025-2030 timeframe. The share of natura expected to exceed 25 percent by 2040, while the share of coal falls to less than 20 percent. Nuclear power is projected to grow significantly, as many nations expand capacity to address rising electricity needs as well as energy security and environmental issues. Total renewable energy is likely to reach about 15 percent of total en 2040, with biomass, hydro and geothermal contributing a combined share of more than 10 percent. Total energy supplied from wind, solar and biofuels is expected to i close to 450 percent from 2010 to 2040, when they will be approaching 4 percent of world energy.</w:t>
      </w:r>
    </w:p>
    <w:p>
      <w:pPr>
        <w:spacing w:after="0" w:line="34" w:lineRule="exact"/>
        <w:rPr>
          <w:sz w:val="20"/>
          <w:szCs w:val="20"/>
          <w:color w:val="auto"/>
        </w:rPr>
      </w:pPr>
    </w:p>
    <w:p>
      <w:pPr>
        <w:ind w:firstLine="200"/>
        <w:spacing w:after="0" w:line="199" w:lineRule="exact"/>
        <w:rPr>
          <w:sz w:val="20"/>
          <w:szCs w:val="20"/>
          <w:color w:val="auto"/>
        </w:rPr>
      </w:pPr>
      <w:r>
        <w:rPr>
          <w:rFonts w:ascii="Arial" w:cs="Arial" w:eastAsia="Arial" w:hAnsi="Arial"/>
          <w:sz w:val="16"/>
          <w:szCs w:val="16"/>
          <w:color w:val="auto"/>
        </w:rPr>
        <w:t>The Corporation anticipates that the world’s available oil and gas resource base will grow not only from new discoveries, but also from reserve increases in pre discovered fields. Technology will underpin these increases. The cost to develop and supply these resources will be significant. According to the International Energy the investment required to meet total oil and gas energy needs worldwide over the period 2014</w:t>
      </w:r>
      <w:r>
        <w:rPr>
          <w:rFonts w:ascii="MS PGothic" w:cs="MS PGothic" w:eastAsia="MS PGothic" w:hAnsi="MS PGothic"/>
          <w:sz w:val="16"/>
          <w:szCs w:val="16"/>
          <w:color w:val="auto"/>
        </w:rPr>
        <w:t>‑</w:t>
      </w:r>
      <w:r>
        <w:rPr>
          <w:rFonts w:ascii="Arial" w:cs="Arial" w:eastAsia="Arial" w:hAnsi="Arial"/>
          <w:sz w:val="16"/>
          <w:szCs w:val="16"/>
          <w:color w:val="auto"/>
        </w:rPr>
        <w:t>2040 will be about $28 trillion (measured in 2013 dollars) or mo $1 trillion per year on average.</w:t>
      </w:r>
    </w:p>
    <w:p>
      <w:pPr>
        <w:spacing w:after="0" w:line="63" w:lineRule="exact"/>
        <w:rPr>
          <w:sz w:val="20"/>
          <w:szCs w:val="20"/>
          <w:color w:val="auto"/>
        </w:rPr>
      </w:pPr>
    </w:p>
    <w:p>
      <w:pPr>
        <w:jc w:val="both"/>
        <w:ind w:right="20" w:firstLine="200"/>
        <w:spacing w:after="0" w:line="297" w:lineRule="auto"/>
        <w:rPr>
          <w:sz w:val="20"/>
          <w:szCs w:val="20"/>
          <w:color w:val="auto"/>
        </w:rPr>
      </w:pPr>
      <w:r>
        <w:rPr>
          <w:rFonts w:ascii="Arial" w:cs="Arial" w:eastAsia="Arial" w:hAnsi="Arial"/>
          <w:sz w:val="15"/>
          <w:szCs w:val="15"/>
          <w:color w:val="auto"/>
        </w:rPr>
        <w:t xml:space="preserve">International accords and underlying regional and national regulations covering greenhouse gas emissions are evolving with uncertain timing and outcome, m difficult to predict their business impact. ExxonMobil includes estimates of potential costs related to possible public policies covering energy-related greenho emissions in its long-term </w:t>
      </w:r>
      <w:r>
        <w:rPr>
          <w:rFonts w:ascii="Arial" w:cs="Arial" w:eastAsia="Arial" w:hAnsi="Arial"/>
          <w:sz w:val="15"/>
          <w:szCs w:val="15"/>
          <w:i w:val="1"/>
          <w:iCs w:val="1"/>
          <w:color w:val="auto"/>
        </w:rPr>
        <w:t>Outlook for Energy</w:t>
      </w:r>
      <w:r>
        <w:rPr>
          <w:rFonts w:ascii="Arial" w:cs="Arial" w:eastAsia="Arial" w:hAnsi="Arial"/>
          <w:sz w:val="15"/>
          <w:szCs w:val="15"/>
          <w:color w:val="auto"/>
        </w:rPr>
        <w:t>, which is used as a foundation for assessing the business environment and in its investment evaluations.</w:t>
      </w:r>
    </w:p>
    <w:p>
      <w:pPr>
        <w:spacing w:after="0" w:line="21" w:lineRule="exact"/>
        <w:rPr>
          <w:sz w:val="20"/>
          <w:szCs w:val="20"/>
          <w:color w:val="auto"/>
        </w:rPr>
      </w:pPr>
    </w:p>
    <w:p>
      <w:pPr>
        <w:jc w:val="both"/>
        <w:ind w:right="40" w:firstLine="200"/>
        <w:spacing w:after="0" w:line="286" w:lineRule="auto"/>
        <w:rPr>
          <w:sz w:val="20"/>
          <w:szCs w:val="20"/>
          <w:color w:val="auto"/>
        </w:rPr>
      </w:pPr>
      <w:r>
        <w:rPr>
          <w:rFonts w:ascii="Arial" w:cs="Arial" w:eastAsia="Arial" w:hAnsi="Arial"/>
          <w:sz w:val="16"/>
          <w:szCs w:val="16"/>
          <w:color w:val="auto"/>
        </w:rPr>
        <w:t>The information provided in the Long-Term Business Outlook includes ExxonMobil’s internal estimates and forecasts based upon internal data and analyses as publicly available information from external sources including the International Energy Agency.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Upstream</w:t>
      </w:r>
    </w:p>
    <w:p>
      <w:pPr>
        <w:spacing w:after="0" w:line="90"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ExxonMobil continues to maintain a diverse portfolio of exploration and development opportunities, which enables the Corporation to be selective, maximizing shar value and mitigating political and technical risks. ExxonMobil’s fundamental Upstream business strategies guide our global exploration, development, production, and power marketing activities. These strategies include capturing material and accretive opportunities to continually high-grade the resource portfolio, exerc disciplined approach to investing and cost management, developing and applying high-impact technologies, pursuing productivity and efficiency gains, growing profit and gas production, and capitalizing on growing natural gas and power markets. These strategies are underpinned by a relentless focus on operational excellence, com to innovative technologies, development of our employees, and investment in the communities within which we operate.</w:t>
      </w:r>
    </w:p>
    <w:p>
      <w:pPr>
        <w:spacing w:after="0" w:line="34" w:lineRule="exact"/>
        <w:rPr>
          <w:sz w:val="20"/>
          <w:szCs w:val="20"/>
          <w:color w:val="auto"/>
        </w:rPr>
      </w:pPr>
    </w:p>
    <w:p>
      <w:pPr>
        <w:jc w:val="both"/>
        <w:ind w:firstLine="200"/>
        <w:spacing w:after="0" w:line="261" w:lineRule="auto"/>
        <w:rPr>
          <w:sz w:val="20"/>
          <w:szCs w:val="20"/>
          <w:color w:val="auto"/>
        </w:rPr>
      </w:pPr>
      <w:r>
        <w:rPr>
          <w:rFonts w:ascii="Arial" w:cs="Arial" w:eastAsia="Arial" w:hAnsi="Arial"/>
          <w:sz w:val="16"/>
          <w:szCs w:val="16"/>
          <w:color w:val="auto"/>
        </w:rPr>
        <w:t>As future development projects and drilling activities bring new production online, the Corporation expects a shift in the geographic mix and in the type of oppor from which volumes are produced. Oil equivalent production from North America is expected to increase over the next several years based on current capital activit contributing over a third of total production. Further, the proportion of our global production from resource types utilizing specialized technologies such as arctic, dee and unconventional drilling and production systems, as well as LNG, is also expected to grow, becoming a slight majority of production in the next few years. We anticipate that the expected change in the geographic mix of production volumes, and in the types of opportunities from which volumes will be produced, will have a impact on the</w:t>
      </w:r>
    </w:p>
    <w:p>
      <w:pPr>
        <w:spacing w:after="0" w:line="74"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nature and the extent of the risks disclosed in Item 1A. Risk Factors, or result in a material change in our level of unit operating expenses.</w:t>
      </w:r>
    </w:p>
    <w:p>
      <w:pPr>
        <w:spacing w:after="0" w:line="86" w:lineRule="exact"/>
        <w:rPr>
          <w:sz w:val="20"/>
          <w:szCs w:val="20"/>
          <w:color w:val="auto"/>
        </w:rPr>
      </w:pPr>
    </w:p>
    <w:p>
      <w:pPr>
        <w:ind w:firstLine="200"/>
        <w:spacing w:after="0" w:line="261" w:lineRule="auto"/>
        <w:rPr>
          <w:sz w:val="20"/>
          <w:szCs w:val="20"/>
          <w:color w:val="auto"/>
        </w:rPr>
      </w:pPr>
      <w:r>
        <w:rPr>
          <w:rFonts w:ascii="Arial" w:cs="Arial" w:eastAsia="Arial" w:hAnsi="Arial"/>
          <w:sz w:val="16"/>
          <w:szCs w:val="16"/>
          <w:color w:val="auto"/>
        </w:rPr>
        <w:t>The Corporation’s overall volume capacity outlook, based on projects coming onstream as anticipated, is for production capacity to grow over the next few However, actual volumes will vary from year to year due to the timing of individual project start-ups and other capital activities, operational outages, reservoir perfor performance of enhanced oil recovery projects, regulatory changes, the impact of fiscal and commercial terms, asset sales, weather events, price effects on production contracts and other factors described in Item 1A. Risk Factors. Enhanced oil recovery projects extract hydrocarbons from reservoirs in excess of that which may be pr through primary recovery, i.e., through pressure depletion or natural aquifer support. They include the injection of water, gases or chemicals into a reservoir to hydrocarbons otherwise unobtainable.</w:t>
      </w:r>
    </w:p>
    <w:p>
      <w:pPr>
        <w:spacing w:after="0" w:line="49" w:lineRule="exact"/>
        <w:rPr>
          <w:sz w:val="20"/>
          <w:szCs w:val="20"/>
          <w:color w:val="auto"/>
        </w:rPr>
      </w:pPr>
    </w:p>
    <w:p>
      <w:pPr>
        <w:jc w:val="both"/>
        <w:ind w:firstLine="200"/>
        <w:spacing w:after="0" w:line="263" w:lineRule="auto"/>
        <w:rPr>
          <w:sz w:val="20"/>
          <w:szCs w:val="20"/>
          <w:color w:val="auto"/>
        </w:rPr>
      </w:pPr>
      <w:r>
        <w:rPr>
          <w:rFonts w:ascii="Arial" w:cs="Arial" w:eastAsia="Arial" w:hAnsi="Arial"/>
          <w:sz w:val="16"/>
          <w:szCs w:val="16"/>
          <w:color w:val="auto"/>
        </w:rPr>
        <w:t>The markets for crude oil and natural gas have a history of significant price volatility. After some years of relatively stable prices, the end of 2014 saw crude prices levels not seen since 2009. ExxonMobil believes prices over the long term will continue to be driven by market supply and demand, with the demand side largely function of global economic growth. To manage the risks associated with price, ExxonMobil evaluates annual plans and all investments across a wide range of price sc The Corporation’s assessment is that its operations will continue to be successful in a variety of market conditions. This is the outcome of disciplined investme management, and asset enhancement programs.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Downstream</w:t>
      </w:r>
    </w:p>
    <w:p>
      <w:pPr>
        <w:spacing w:after="0" w:line="90" w:lineRule="exact"/>
        <w:rPr>
          <w:sz w:val="20"/>
          <w:szCs w:val="20"/>
          <w:color w:val="auto"/>
        </w:rPr>
      </w:pPr>
    </w:p>
    <w:p>
      <w:pPr>
        <w:jc w:val="both"/>
        <w:spacing w:after="0" w:line="198" w:lineRule="exact"/>
        <w:rPr>
          <w:sz w:val="20"/>
          <w:szCs w:val="20"/>
          <w:color w:val="auto"/>
        </w:rPr>
      </w:pPr>
      <w:r>
        <w:rPr>
          <w:rFonts w:ascii="Arial" w:cs="Arial" w:eastAsia="Arial" w:hAnsi="Arial"/>
          <w:sz w:val="15"/>
          <w:szCs w:val="15"/>
          <w:color w:val="auto"/>
        </w:rPr>
        <w:t>ExxonMobil’s Downstream is a large, diversified business with refining, logistics, and marketing complexes around the world. The Corporation has a presence in markets in North America and Europe, as well as in the growing Asia Pacific region. ExxonMobil’s fundamental Downstream business strategies position the com deliver long-term growth in shareholder value that is superior to competition across a range of market conditions. These strategies include targeting best</w:t>
      </w:r>
      <w:r>
        <w:rPr>
          <w:rFonts w:ascii="MS PGothic" w:cs="MS PGothic" w:eastAsia="MS PGothic" w:hAnsi="MS PGothic"/>
          <w:sz w:val="15"/>
          <w:szCs w:val="15"/>
          <w:color w:val="auto"/>
        </w:rPr>
        <w:t>‑</w:t>
      </w:r>
      <w:r>
        <w:rPr>
          <w:rFonts w:ascii="Arial" w:cs="Arial" w:eastAsia="Arial" w:hAnsi="Arial"/>
          <w:sz w:val="15"/>
          <w:szCs w:val="15"/>
          <w:color w:val="auto"/>
        </w:rPr>
        <w:t>in</w:t>
      </w:r>
      <w:r>
        <w:rPr>
          <w:rFonts w:ascii="MS PGothic" w:cs="MS PGothic" w:eastAsia="MS PGothic" w:hAnsi="MS PGothic"/>
          <w:sz w:val="15"/>
          <w:szCs w:val="15"/>
          <w:color w:val="auto"/>
        </w:rPr>
        <w:t>‑</w:t>
      </w:r>
      <w:r>
        <w:rPr>
          <w:rFonts w:ascii="Arial" w:cs="Arial" w:eastAsia="Arial" w:hAnsi="Arial"/>
          <w:sz w:val="15"/>
          <w:szCs w:val="15"/>
          <w:color w:val="auto"/>
        </w:rPr>
        <w:t>class opera all aspects of the business, maximizing value from advanced technologies, capitalizing on integration across ExxonMobil businesses, selectively investing for r advantaged returns, operating efficiently and effectively, and providing quality, valued products and services to customers.</w:t>
      </w:r>
    </w:p>
    <w:p>
      <w:pPr>
        <w:spacing w:after="0" w:line="66" w:lineRule="exact"/>
        <w:rPr>
          <w:sz w:val="20"/>
          <w:szCs w:val="20"/>
          <w:color w:val="auto"/>
        </w:rPr>
      </w:pPr>
    </w:p>
    <w:p>
      <w:pPr>
        <w:jc w:val="both"/>
        <w:ind w:firstLine="200"/>
        <w:spacing w:after="0" w:line="271" w:lineRule="auto"/>
        <w:rPr>
          <w:sz w:val="20"/>
          <w:szCs w:val="20"/>
          <w:color w:val="auto"/>
        </w:rPr>
      </w:pPr>
      <w:r>
        <w:rPr>
          <w:rFonts w:ascii="Arial" w:cs="Arial" w:eastAsia="Arial" w:hAnsi="Arial"/>
          <w:sz w:val="16"/>
          <w:szCs w:val="16"/>
          <w:color w:val="auto"/>
        </w:rPr>
        <w:t xml:space="preserve">ExxonMobil has an ownership interest in 30 refineries, located in 17 countries, with distillation capacity of 5.2 million barrels per day and lubricant ba manufacturing capacity of 131 thousand barrels per day. ExxonMobil’s fuels and lubes marketing businesses have significant global reach, with multiple channels to serving a diverse customer base. Our portfolio of world-renowned brands includes </w:t>
      </w:r>
      <w:r>
        <w:rPr>
          <w:rFonts w:ascii="Arial" w:cs="Arial" w:eastAsia="Arial" w:hAnsi="Arial"/>
          <w:sz w:val="16"/>
          <w:szCs w:val="16"/>
          <w:i w:val="1"/>
          <w:iCs w:val="1"/>
          <w:color w:val="auto"/>
        </w:rPr>
        <w:t>Exxon</w:t>
      </w:r>
      <w:r>
        <w:rPr>
          <w:rFonts w:ascii="Arial" w:cs="Arial" w:eastAsia="Arial" w:hAnsi="Arial"/>
          <w:sz w:val="16"/>
          <w:szCs w:val="16"/>
          <w:color w:val="auto"/>
        </w:rPr>
        <w:t xml:space="preserve">, </w:t>
      </w:r>
      <w:r>
        <w:rPr>
          <w:rFonts w:ascii="Arial" w:cs="Arial" w:eastAsia="Arial" w:hAnsi="Arial"/>
          <w:sz w:val="16"/>
          <w:szCs w:val="16"/>
          <w:i w:val="1"/>
          <w:iCs w:val="1"/>
          <w:color w:val="auto"/>
        </w:rPr>
        <w:t>Mobil</w:t>
      </w:r>
      <w:r>
        <w:rPr>
          <w:rFonts w:ascii="Arial" w:cs="Arial" w:eastAsia="Arial" w:hAnsi="Arial"/>
          <w:sz w:val="16"/>
          <w:szCs w:val="16"/>
          <w:color w:val="auto"/>
        </w:rPr>
        <w:t xml:space="preserve">, </w:t>
      </w:r>
      <w:r>
        <w:rPr>
          <w:rFonts w:ascii="Arial" w:cs="Arial" w:eastAsia="Arial" w:hAnsi="Arial"/>
          <w:sz w:val="16"/>
          <w:szCs w:val="16"/>
          <w:i w:val="1"/>
          <w:iCs w:val="1"/>
          <w:color w:val="auto"/>
        </w:rPr>
        <w:t>Esso</w:t>
      </w:r>
      <w:r>
        <w:rPr>
          <w:rFonts w:ascii="Arial" w:cs="Arial" w:eastAsia="Arial" w:hAnsi="Arial"/>
          <w:sz w:val="16"/>
          <w:szCs w:val="16"/>
          <w:color w:val="auto"/>
        </w:rPr>
        <w:t xml:space="preserve"> and </w:t>
      </w:r>
      <w:r>
        <w:rPr>
          <w:rFonts w:ascii="Arial" w:cs="Arial" w:eastAsia="Arial" w:hAnsi="Arial"/>
          <w:sz w:val="16"/>
          <w:szCs w:val="16"/>
          <w:i w:val="1"/>
          <w:iCs w:val="1"/>
          <w:color w:val="auto"/>
        </w:rPr>
        <w:t>Mobil 1</w:t>
      </w:r>
      <w:r>
        <w:rPr>
          <w:rFonts w:ascii="Arial" w:cs="Arial" w:eastAsia="Arial" w:hAnsi="Arial"/>
          <w:sz w:val="16"/>
          <w:szCs w:val="16"/>
          <w:color w:val="auto"/>
        </w:rPr>
        <w:t>.</w:t>
      </w:r>
    </w:p>
    <w:p>
      <w:pPr>
        <w:spacing w:after="0" w:line="38" w:lineRule="exact"/>
        <w:rPr>
          <w:sz w:val="20"/>
          <w:szCs w:val="20"/>
          <w:color w:val="auto"/>
        </w:rPr>
      </w:pPr>
    </w:p>
    <w:p>
      <w:pPr>
        <w:jc w:val="both"/>
        <w:ind w:firstLine="200"/>
        <w:spacing w:after="0" w:line="297" w:lineRule="auto"/>
        <w:rPr>
          <w:sz w:val="20"/>
          <w:szCs w:val="20"/>
          <w:color w:val="auto"/>
        </w:rPr>
      </w:pPr>
      <w:r>
        <w:rPr>
          <w:rFonts w:ascii="Arial" w:cs="Arial" w:eastAsia="Arial" w:hAnsi="Arial"/>
          <w:sz w:val="15"/>
          <w:szCs w:val="15"/>
          <w:color w:val="auto"/>
        </w:rPr>
        <w:t>The downstream industry environment remains challenging. Demand weakness and overcapacity in the refining sector will continue to increase competitive pres the near term, we see variability in refining margins, with some regions seeing weaker margins as new capacity additions outpace global demand. In North America raw material and energy cost driven by increasing crude oil and natural gas production has strengthened refining margins over the past few years.</w:t>
      </w:r>
    </w:p>
    <w:p>
      <w:pPr>
        <w:spacing w:after="0" w:line="21" w:lineRule="exact"/>
        <w:rPr>
          <w:sz w:val="20"/>
          <w:szCs w:val="20"/>
          <w:color w:val="auto"/>
        </w:rPr>
      </w:pPr>
    </w:p>
    <w:p>
      <w:pPr>
        <w:jc w:val="both"/>
        <w:ind w:firstLine="200"/>
        <w:spacing w:after="0" w:line="284" w:lineRule="auto"/>
        <w:rPr>
          <w:sz w:val="20"/>
          <w:szCs w:val="20"/>
          <w:color w:val="auto"/>
        </w:rPr>
      </w:pPr>
      <w:r>
        <w:rPr>
          <w:rFonts w:ascii="Arial" w:cs="Arial" w:eastAsia="Arial" w:hAnsi="Arial"/>
          <w:sz w:val="15"/>
          <w:szCs w:val="15"/>
          <w:color w:val="auto"/>
        </w:rPr>
        <w:t>Refining margins are largely driven by differences in commodity prices and are a function of the difference between what a refinery pays for its raw materials (pr crude oil) and the market prices for the range of products produced (primarily gasoline, heating oil, diesel oil, jet fuel and fuel oil). Crude oil and many products are traded with published prices, including those quoted on multiple exchanges around the world (e.g., New York Mercantile Exchange and Intercontinental Exchange). Pr these commodities are determined by the global marketplace and are influenced by many factors, including global and regional supply/demand balances, inventory industry refinery operations, import/export balances, currency fluctuations, seasonal demand, weather and political climate.</w:t>
      </w:r>
    </w:p>
    <w:p>
      <w:pPr>
        <w:spacing w:after="0" w:line="33" w:lineRule="exact"/>
        <w:rPr>
          <w:sz w:val="20"/>
          <w:szCs w:val="20"/>
          <w:color w:val="auto"/>
        </w:rPr>
      </w:pPr>
    </w:p>
    <w:p>
      <w:pPr>
        <w:jc w:val="both"/>
        <w:ind w:firstLine="200"/>
        <w:spacing w:after="0" w:line="199" w:lineRule="exact"/>
        <w:rPr>
          <w:sz w:val="20"/>
          <w:szCs w:val="20"/>
          <w:color w:val="auto"/>
        </w:rPr>
      </w:pPr>
      <w:r>
        <w:rPr>
          <w:rFonts w:ascii="Arial" w:cs="Arial" w:eastAsia="Arial" w:hAnsi="Arial"/>
          <w:sz w:val="16"/>
          <w:szCs w:val="16"/>
          <w:color w:val="auto"/>
        </w:rPr>
        <w:t>ExxonMobil’s long</w:t>
      </w:r>
      <w:r>
        <w:rPr>
          <w:rFonts w:ascii="MS PGothic" w:cs="MS PGothic" w:eastAsia="MS PGothic" w:hAnsi="MS PGothic"/>
          <w:sz w:val="16"/>
          <w:szCs w:val="16"/>
          <w:color w:val="auto"/>
        </w:rPr>
        <w:t>‑</w:t>
      </w:r>
      <w:r>
        <w:rPr>
          <w:rFonts w:ascii="Arial" w:cs="Arial" w:eastAsia="Arial" w:hAnsi="Arial"/>
          <w:sz w:val="16"/>
          <w:szCs w:val="16"/>
          <w:color w:val="auto"/>
        </w:rPr>
        <w:t>term outlook is that industry refining margins will remain subject to intense competition as, in the near term, new capacity additions outp growth in global demand. Additionally, as described in more detail in Item 1A. Risk Factors, proposed carbon policy and other climate-related regulations in many co as well as the continued growth in biofuels mandates, could have negative impacts on the refining business. ExxonMobil’s integration across the value chain, from ref marketing, enhances overall value in both fuels and lubricants businesses.</w:t>
      </w:r>
    </w:p>
    <w:p>
      <w:pPr>
        <w:spacing w:after="0" w:line="63" w:lineRule="exact"/>
        <w:rPr>
          <w:sz w:val="20"/>
          <w:szCs w:val="20"/>
          <w:color w:val="auto"/>
        </w:rPr>
      </w:pPr>
    </w:p>
    <w:p>
      <w:pPr>
        <w:ind w:firstLine="200"/>
        <w:spacing w:after="0" w:line="198" w:lineRule="exact"/>
        <w:rPr>
          <w:sz w:val="20"/>
          <w:szCs w:val="20"/>
          <w:color w:val="auto"/>
        </w:rPr>
      </w:pPr>
      <w:r>
        <w:rPr>
          <w:rFonts w:ascii="Arial" w:cs="Arial" w:eastAsia="Arial" w:hAnsi="Arial"/>
          <w:sz w:val="16"/>
          <w:szCs w:val="16"/>
          <w:color w:val="auto"/>
        </w:rPr>
        <w:t>In the retail fuels marketing business, competition has caused inflation-adjusted margins to decline. In 2014, ExxonMobil expanded its branded retail site networ U.S. and progressed the multi</w:t>
      </w:r>
      <w:r>
        <w:rPr>
          <w:rFonts w:ascii="MS PGothic" w:cs="MS PGothic" w:eastAsia="MS PGothic" w:hAnsi="MS PGothic"/>
          <w:sz w:val="16"/>
          <w:szCs w:val="16"/>
          <w:color w:val="auto"/>
        </w:rPr>
        <w:t>‑</w:t>
      </w:r>
      <w:r>
        <w:rPr>
          <w:rFonts w:ascii="Arial" w:cs="Arial" w:eastAsia="Arial" w:hAnsi="Arial"/>
          <w:sz w:val="16"/>
          <w:szCs w:val="16"/>
          <w:color w:val="auto"/>
        </w:rPr>
        <w:t>year transition of the direct served (i.e., dealer, company</w:t>
      </w:r>
      <w:r>
        <w:rPr>
          <w:rFonts w:ascii="MS PGothic" w:cs="MS PGothic" w:eastAsia="MS PGothic" w:hAnsi="MS PGothic"/>
          <w:sz w:val="16"/>
          <w:szCs w:val="16"/>
          <w:color w:val="auto"/>
        </w:rPr>
        <w:t>‑</w:t>
      </w:r>
      <w:r>
        <w:rPr>
          <w:rFonts w:ascii="Arial" w:cs="Arial" w:eastAsia="Arial" w:hAnsi="Arial"/>
          <w:sz w:val="16"/>
          <w:szCs w:val="16"/>
          <w:color w:val="auto"/>
        </w:rPr>
        <w:t>operated) retail network in portions of Europe to a more capital</w:t>
      </w:r>
      <w:r>
        <w:rPr>
          <w:rFonts w:ascii="MS PGothic" w:cs="MS PGothic" w:eastAsia="MS PGothic" w:hAnsi="MS PGothic"/>
          <w:sz w:val="16"/>
          <w:szCs w:val="16"/>
          <w:color w:val="auto"/>
        </w:rPr>
        <w:t>‑</w:t>
      </w:r>
      <w:r>
        <w:rPr>
          <w:rFonts w:ascii="Arial" w:cs="Arial" w:eastAsia="Arial" w:hAnsi="Arial"/>
          <w:sz w:val="16"/>
          <w:szCs w:val="16"/>
          <w:color w:val="auto"/>
        </w:rPr>
        <w:t>efficient distributor model. ExxonMobil is increasing investment in its fuels brands and developing multiple programs that will enhance the value of its consumer retail off company’s lubricants business continues to grow, leveraging world-class brands and integration with industry</w:t>
      </w:r>
      <w:r>
        <w:rPr>
          <w:rFonts w:ascii="MS PGothic" w:cs="MS PGothic" w:eastAsia="MS PGothic" w:hAnsi="MS PGothic"/>
          <w:sz w:val="16"/>
          <w:szCs w:val="16"/>
          <w:color w:val="auto"/>
        </w:rPr>
        <w:t>‑</w:t>
      </w:r>
      <w:r>
        <w:rPr>
          <w:rFonts w:ascii="Arial" w:cs="Arial" w:eastAsia="Arial" w:hAnsi="Arial"/>
          <w:sz w:val="16"/>
          <w:szCs w:val="16"/>
          <w:color w:val="auto"/>
        </w:rPr>
        <w:t>leading basestock refining capability. ExxonMobil re market leader in the high</w:t>
      </w:r>
      <w:r>
        <w:rPr>
          <w:rFonts w:ascii="MS PGothic" w:cs="MS PGothic" w:eastAsia="MS PGothic" w:hAnsi="MS PGothic"/>
          <w:sz w:val="16"/>
          <w:szCs w:val="16"/>
          <w:color w:val="auto"/>
        </w:rPr>
        <w:t>‑</w:t>
      </w:r>
      <w:r>
        <w:rPr>
          <w:rFonts w:ascii="Arial" w:cs="Arial" w:eastAsia="Arial" w:hAnsi="Arial"/>
          <w:sz w:val="16"/>
          <w:szCs w:val="16"/>
          <w:color w:val="auto"/>
        </w:rPr>
        <w:t>value synthetic lubricants sector where competition is increasing.</w:t>
      </w:r>
    </w:p>
    <w:p>
      <w:pPr>
        <w:spacing w:after="0" w:line="65" w:lineRule="exact"/>
        <w:rPr>
          <w:sz w:val="20"/>
          <w:szCs w:val="20"/>
          <w:color w:val="auto"/>
        </w:rPr>
      </w:pPr>
    </w:p>
    <w:p>
      <w:pPr>
        <w:ind w:firstLine="200"/>
        <w:spacing w:after="0" w:line="286" w:lineRule="auto"/>
        <w:rPr>
          <w:sz w:val="20"/>
          <w:szCs w:val="20"/>
          <w:color w:val="auto"/>
        </w:rPr>
      </w:pPr>
      <w:r>
        <w:rPr>
          <w:rFonts w:ascii="Arial" w:cs="Arial" w:eastAsia="Arial" w:hAnsi="Arial"/>
          <w:sz w:val="16"/>
          <w:szCs w:val="16"/>
          <w:color w:val="auto"/>
        </w:rPr>
        <w:t>The Downstream portfolio is continually evaluated during all parts of the business cycle, and numerous asset divestments have been made over the past decade investing in the Downstream, ExxonMobil remains focused on selective and resilient</w:t>
      </w:r>
    </w:p>
    <w:p>
      <w:pPr>
        <w:spacing w:after="0" w:line="52"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both"/>
        <w:spacing w:after="0" w:line="198" w:lineRule="exact"/>
        <w:rPr>
          <w:sz w:val="20"/>
          <w:szCs w:val="20"/>
          <w:color w:val="auto"/>
        </w:rPr>
      </w:pPr>
      <w:r>
        <w:rPr>
          <w:rFonts w:ascii="Arial" w:cs="Arial" w:eastAsia="Arial" w:hAnsi="Arial"/>
          <w:sz w:val="16"/>
          <w:szCs w:val="16"/>
          <w:color w:val="auto"/>
        </w:rPr>
        <w:t>projects. These investments capitalize on the Corporation’s world</w:t>
      </w:r>
      <w:r>
        <w:rPr>
          <w:rFonts w:ascii="MS PGothic" w:cs="MS PGothic" w:eastAsia="MS PGothic" w:hAnsi="MS PGothic"/>
          <w:sz w:val="16"/>
          <w:szCs w:val="16"/>
          <w:color w:val="auto"/>
        </w:rPr>
        <w:t>‑</w:t>
      </w:r>
      <w:r>
        <w:rPr>
          <w:rFonts w:ascii="Arial" w:cs="Arial" w:eastAsia="Arial" w:hAnsi="Arial"/>
          <w:sz w:val="16"/>
          <w:szCs w:val="16"/>
          <w:color w:val="auto"/>
        </w:rPr>
        <w:t>class scale and integration, demonstrated efficiency, advanced technology and respected brands, e ExxonMobil to take advantage of attractive emerging growth opportunities around the globe. In 2014, the company commissioned the clean fuels project at the join Aramco and ExxonMobil SAMREF Refinery in Yanbu, Saudi Arabia, to produce low sulfur gasoline and ultra</w:t>
      </w:r>
      <w:r>
        <w:rPr>
          <w:rFonts w:ascii="MS PGothic" w:cs="MS PGothic" w:eastAsia="MS PGothic" w:hAnsi="MS PGothic"/>
          <w:sz w:val="16"/>
          <w:szCs w:val="16"/>
          <w:color w:val="auto"/>
        </w:rPr>
        <w:t>‑</w:t>
      </w:r>
      <w:r>
        <w:rPr>
          <w:rFonts w:ascii="Arial" w:cs="Arial" w:eastAsia="Arial" w:hAnsi="Arial"/>
          <w:sz w:val="16"/>
          <w:szCs w:val="16"/>
          <w:color w:val="auto"/>
        </w:rPr>
        <w:t>low sulfur diesel. Construction started on a new delaye unit at the refinery in Antwerp, Belgium, to upgrade low-value bunker fuel into high</w:t>
      </w:r>
      <w:r>
        <w:rPr>
          <w:rFonts w:ascii="MS PGothic" w:cs="MS PGothic" w:eastAsia="MS PGothic" w:hAnsi="MS PGothic"/>
          <w:sz w:val="16"/>
          <w:szCs w:val="16"/>
          <w:color w:val="auto"/>
        </w:rPr>
        <w:t>‑</w:t>
      </w:r>
      <w:r>
        <w:rPr>
          <w:rFonts w:ascii="Arial" w:cs="Arial" w:eastAsia="Arial" w:hAnsi="Arial"/>
          <w:sz w:val="16"/>
          <w:szCs w:val="16"/>
          <w:color w:val="auto"/>
        </w:rPr>
        <w:t>value diesel products. The company also completed an expansion of lube ba capacity at the refinery in Singapore, and neared completion on a lube basestock expansion in Baytown, Texas. A finished lubricant plant expansion in Tianjin, Chi completed and additional lubricant plant expansions in China, Singapore, Finland, and the U.S. are underway to support demand growth for finished lubricants and gr key markets.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Chemical</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Worldwide petrochemical demand continued to improve in 2014, led by growing demand from Asia Pacific manufacturers of industrial and consumer products America continued to benefit from abundant supplies of natural gas and gas liquids, providing both low-cost feedstock and energy savings. Specialty product margins d reflecting significant new industry capacity.</w:t>
      </w:r>
    </w:p>
    <w:p>
      <w:pPr>
        <w:spacing w:after="0" w:line="38" w:lineRule="exact"/>
        <w:rPr>
          <w:sz w:val="20"/>
          <w:szCs w:val="20"/>
          <w:color w:val="auto"/>
        </w:rPr>
      </w:pPr>
    </w:p>
    <w:p>
      <w:pPr>
        <w:jc w:val="both"/>
        <w:ind w:firstLine="200"/>
        <w:spacing w:after="0" w:line="286" w:lineRule="auto"/>
        <w:rPr>
          <w:sz w:val="20"/>
          <w:szCs w:val="20"/>
          <w:color w:val="auto"/>
        </w:rPr>
      </w:pPr>
      <w:r>
        <w:rPr>
          <w:rFonts w:ascii="Arial" w:cs="Arial" w:eastAsia="Arial" w:hAnsi="Arial"/>
          <w:sz w:val="16"/>
          <w:szCs w:val="16"/>
          <w:color w:val="auto"/>
        </w:rPr>
        <w:t>ExxonMobil sustained its competitive advantage through continued operational excellence, investment and cost discipline, a balanced portfolio of products, inte with refining and upstream operations, all underpinned by proprietary technology.</w:t>
      </w:r>
    </w:p>
    <w:p>
      <w:pPr>
        <w:spacing w:after="0" w:line="27" w:lineRule="exact"/>
        <w:rPr>
          <w:sz w:val="20"/>
          <w:szCs w:val="20"/>
          <w:color w:val="auto"/>
        </w:rPr>
      </w:pPr>
    </w:p>
    <w:p>
      <w:pPr>
        <w:jc w:val="both"/>
        <w:ind w:right="40" w:firstLine="200"/>
        <w:spacing w:after="0" w:line="265" w:lineRule="auto"/>
        <w:rPr>
          <w:sz w:val="20"/>
          <w:szCs w:val="20"/>
          <w:color w:val="auto"/>
        </w:rPr>
      </w:pPr>
      <w:r>
        <w:rPr>
          <w:rFonts w:ascii="Arial" w:cs="Arial" w:eastAsia="Arial" w:hAnsi="Arial"/>
          <w:sz w:val="16"/>
          <w:szCs w:val="16"/>
          <w:color w:val="auto"/>
        </w:rPr>
        <w:t>In 2014, ExxonMobil began construction of a major expansion at our Texas facilities, including a new world-scale ethane cracker and polyethylene lines, to capit low-cost feedstock and energy supplies in North America and meet rapidly growing demand for premium polymers. Construction of new halobutyl rubber and hydr resin units also started in Singapore to further extend our specialty product capacity in Asia. At the joint venture facility in Al-Jubail, Saudi Arabia, construction conti the specialty elastomers project that is expected to start-up in 2015.</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REVIEW OF 2014 AND 2013 RESULTS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460" w:type="dxa"/>
            <w:vAlign w:val="bottom"/>
          </w:tcPr>
          <w:p>
            <w:pPr>
              <w:spacing w:after="0"/>
              <w:rPr>
                <w:sz w:val="14"/>
                <w:szCs w:val="14"/>
                <w:color w:val="auto"/>
              </w:rPr>
            </w:pPr>
          </w:p>
        </w:tc>
        <w:tc>
          <w:tcPr>
            <w:tcW w:w="1120" w:type="dxa"/>
            <w:vAlign w:val="bottom"/>
          </w:tcPr>
          <w:p>
            <w:pPr>
              <w:jc w:val="right"/>
              <w:ind w:right="524"/>
              <w:spacing w:after="0"/>
              <w:rPr>
                <w:sz w:val="20"/>
                <w:szCs w:val="20"/>
                <w:color w:val="auto"/>
              </w:rPr>
            </w:pPr>
            <w:r>
              <w:rPr>
                <w:rFonts w:ascii="Arial" w:cs="Arial" w:eastAsia="Arial" w:hAnsi="Arial"/>
                <w:sz w:val="13"/>
                <w:szCs w:val="13"/>
                <w:b w:val="1"/>
                <w:bCs w:val="1"/>
                <w:color w:val="auto"/>
              </w:rPr>
              <w:t>2014</w:t>
            </w:r>
          </w:p>
        </w:tc>
        <w:tc>
          <w:tcPr>
            <w:tcW w:w="2360" w:type="dxa"/>
            <w:vAlign w:val="bottom"/>
          </w:tcPr>
          <w:p>
            <w:pPr>
              <w:jc w:val="center"/>
              <w:ind w:right="547"/>
              <w:spacing w:after="0"/>
              <w:rPr>
                <w:sz w:val="20"/>
                <w:szCs w:val="20"/>
                <w:color w:val="auto"/>
              </w:rPr>
            </w:pPr>
            <w:r>
              <w:rPr>
                <w:rFonts w:ascii="Arial" w:cs="Arial" w:eastAsia="Arial" w:hAnsi="Arial"/>
                <w:sz w:val="13"/>
                <w:szCs w:val="13"/>
                <w:b w:val="1"/>
                <w:bCs w:val="1"/>
                <w:color w:val="auto"/>
                <w:w w:val="89"/>
              </w:rPr>
              <w:t>2013</w:t>
            </w:r>
          </w:p>
        </w:tc>
        <w:tc>
          <w:tcPr>
            <w:tcW w:w="0" w:type="dxa"/>
            <w:vAlign w:val="bottom"/>
          </w:tcPr>
          <w:p>
            <w:pPr>
              <w:spacing w:after="0"/>
              <w:rPr>
                <w:sz w:val="1"/>
                <w:szCs w:val="1"/>
                <w:color w:val="auto"/>
              </w:rPr>
            </w:pPr>
          </w:p>
        </w:tc>
      </w:tr>
      <w:tr>
        <w:trPr>
          <w:trHeight w:val="23"/>
        </w:trPr>
        <w:tc>
          <w:tcPr>
            <w:tcW w:w="7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460" w:type="dxa"/>
            <w:vAlign w:val="bottom"/>
            <w:vMerge w:val="restart"/>
          </w:tcPr>
          <w:p>
            <w:pPr>
              <w:spacing w:after="0"/>
              <w:rPr>
                <w:sz w:val="20"/>
                <w:szCs w:val="20"/>
                <w:color w:val="auto"/>
              </w:rPr>
            </w:pPr>
            <w:r>
              <w:rPr>
                <w:rFonts w:ascii="Arial" w:cs="Arial" w:eastAsia="Arial" w:hAnsi="Arial"/>
                <w:sz w:val="16"/>
                <w:szCs w:val="16"/>
                <w:b w:val="1"/>
                <w:bCs w:val="1"/>
                <w:color w:val="auto"/>
              </w:rPr>
              <w:t>Earnings (U.S. GAAP)</w:t>
            </w:r>
          </w:p>
        </w:tc>
        <w:tc>
          <w:tcPr>
            <w:tcW w:w="1120" w:type="dxa"/>
            <w:vAlign w:val="bottom"/>
          </w:tcPr>
          <w:p>
            <w:pPr>
              <w:spacing w:after="0"/>
              <w:rPr>
                <w:sz w:val="17"/>
                <w:szCs w:val="17"/>
                <w:color w:val="auto"/>
              </w:rPr>
            </w:pPr>
          </w:p>
        </w:tc>
        <w:tc>
          <w:tcPr>
            <w:tcW w:w="2360" w:type="dxa"/>
            <w:vAlign w:val="bottom"/>
          </w:tcPr>
          <w:p>
            <w:pPr>
              <w:jc w:val="center"/>
              <w:ind w:right="567"/>
              <w:spacing w:after="0"/>
              <w:rPr>
                <w:sz w:val="20"/>
                <w:szCs w:val="20"/>
                <w:color w:val="auto"/>
              </w:rPr>
            </w:pPr>
            <w:r>
              <w:rPr>
                <w:rFonts w:ascii="Arial" w:cs="Arial" w:eastAsia="Arial" w:hAnsi="Arial"/>
                <w:sz w:val="13"/>
                <w:szCs w:val="13"/>
                <w:i w:val="1"/>
                <w:iCs w:val="1"/>
                <w:color w:val="auto"/>
                <w:w w:val="95"/>
              </w:rPr>
              <w:t>(millions of dollars)</w:t>
            </w:r>
          </w:p>
        </w:tc>
        <w:tc>
          <w:tcPr>
            <w:tcW w:w="0" w:type="dxa"/>
            <w:vAlign w:val="bottom"/>
          </w:tcPr>
          <w:p>
            <w:pPr>
              <w:spacing w:after="0"/>
              <w:rPr>
                <w:sz w:val="1"/>
                <w:szCs w:val="1"/>
                <w:color w:val="auto"/>
              </w:rPr>
            </w:pPr>
          </w:p>
        </w:tc>
      </w:tr>
      <w:tr>
        <w:trPr>
          <w:trHeight w:val="170"/>
        </w:trPr>
        <w:tc>
          <w:tcPr>
            <w:tcW w:w="74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7460" w:type="dxa"/>
            <w:vAlign w:val="bottom"/>
          </w:tcPr>
          <w:p>
            <w:pPr>
              <w:ind w:left="120"/>
              <w:spacing w:after="0"/>
              <w:rPr>
                <w:sz w:val="20"/>
                <w:szCs w:val="20"/>
                <w:color w:val="auto"/>
              </w:rPr>
            </w:pPr>
            <w:r>
              <w:rPr>
                <w:rFonts w:ascii="Arial" w:cs="Arial" w:eastAsia="Arial" w:hAnsi="Arial"/>
                <w:sz w:val="16"/>
                <w:szCs w:val="16"/>
                <w:color w:val="auto"/>
              </w:rPr>
              <w:t>Net income attributable to ExxonMobil (U.S. GAAP)</w:t>
            </w:r>
          </w:p>
        </w:tc>
        <w:tc>
          <w:tcPr>
            <w:tcW w:w="1120" w:type="dxa"/>
            <w:vAlign w:val="bottom"/>
          </w:tcPr>
          <w:p>
            <w:pPr>
              <w:jc w:val="right"/>
              <w:ind w:right="244"/>
              <w:spacing w:after="0"/>
              <w:rPr>
                <w:sz w:val="20"/>
                <w:szCs w:val="20"/>
                <w:color w:val="auto"/>
              </w:rPr>
            </w:pPr>
            <w:r>
              <w:rPr>
                <w:rFonts w:ascii="Arial" w:cs="Arial" w:eastAsia="Arial" w:hAnsi="Arial"/>
                <w:sz w:val="16"/>
                <w:szCs w:val="16"/>
                <w:color w:val="auto"/>
              </w:rPr>
              <w:t>32,520</w:t>
            </w:r>
          </w:p>
        </w:tc>
        <w:tc>
          <w:tcPr>
            <w:tcW w:w="2360" w:type="dxa"/>
            <w:vAlign w:val="bottom"/>
          </w:tcPr>
          <w:p>
            <w:pPr>
              <w:jc w:val="right"/>
              <w:ind w:right="1027"/>
              <w:spacing w:after="0"/>
              <w:rPr>
                <w:sz w:val="20"/>
                <w:szCs w:val="20"/>
                <w:color w:val="auto"/>
              </w:rPr>
            </w:pPr>
            <w:r>
              <w:rPr>
                <w:rFonts w:ascii="Arial" w:cs="Arial" w:eastAsia="Arial" w:hAnsi="Arial"/>
                <w:sz w:val="16"/>
                <w:szCs w:val="16"/>
                <w:color w:val="auto"/>
              </w:rPr>
              <w:t>32,580</w:t>
            </w:r>
          </w:p>
        </w:tc>
        <w:tc>
          <w:tcPr>
            <w:tcW w:w="0" w:type="dxa"/>
            <w:vAlign w:val="bottom"/>
          </w:tcPr>
          <w:p>
            <w:pPr>
              <w:spacing w:after="0"/>
              <w:rPr>
                <w:sz w:val="1"/>
                <w:szCs w:val="1"/>
                <w:color w:val="auto"/>
              </w:rPr>
            </w:pPr>
          </w:p>
        </w:tc>
      </w:tr>
      <w:tr>
        <w:trPr>
          <w:trHeight w:val="392"/>
        </w:trPr>
        <w:tc>
          <w:tcPr>
            <w:tcW w:w="7460" w:type="dxa"/>
            <w:vAlign w:val="bottom"/>
          </w:tcPr>
          <w:p>
            <w:pPr>
              <w:spacing w:after="0"/>
              <w:rPr>
                <w:sz w:val="20"/>
                <w:szCs w:val="20"/>
                <w:color w:val="auto"/>
              </w:rPr>
            </w:pPr>
            <w:r>
              <w:rPr>
                <w:rFonts w:ascii="Arial" w:cs="Arial" w:eastAsia="Arial" w:hAnsi="Arial"/>
                <w:sz w:val="16"/>
                <w:szCs w:val="16"/>
                <w:b w:val="1"/>
                <w:bCs w:val="1"/>
                <w:color w:val="auto"/>
              </w:rPr>
              <w:t>Upstream</w:t>
            </w:r>
          </w:p>
        </w:tc>
        <w:tc>
          <w:tcPr>
            <w:tcW w:w="1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460" w:type="dxa"/>
            <w:vAlign w:val="bottom"/>
          </w:tcPr>
          <w:p>
            <w:pPr>
              <w:spacing w:after="0"/>
              <w:rPr>
                <w:sz w:val="15"/>
                <w:szCs w:val="15"/>
                <w:color w:val="auto"/>
              </w:rPr>
            </w:pPr>
          </w:p>
        </w:tc>
        <w:tc>
          <w:tcPr>
            <w:tcW w:w="1120" w:type="dxa"/>
            <w:vAlign w:val="bottom"/>
          </w:tcPr>
          <w:p>
            <w:pPr>
              <w:jc w:val="right"/>
              <w:ind w:right="524"/>
              <w:spacing w:after="0"/>
              <w:rPr>
                <w:sz w:val="20"/>
                <w:szCs w:val="20"/>
                <w:color w:val="auto"/>
              </w:rPr>
            </w:pPr>
            <w:r>
              <w:rPr>
                <w:rFonts w:ascii="Arial" w:cs="Arial" w:eastAsia="Arial" w:hAnsi="Arial"/>
                <w:sz w:val="13"/>
                <w:szCs w:val="13"/>
                <w:b w:val="1"/>
                <w:bCs w:val="1"/>
                <w:color w:val="auto"/>
              </w:rPr>
              <w:t>2014</w:t>
            </w:r>
          </w:p>
        </w:tc>
        <w:tc>
          <w:tcPr>
            <w:tcW w:w="2360" w:type="dxa"/>
            <w:vAlign w:val="bottom"/>
          </w:tcPr>
          <w:p>
            <w:pPr>
              <w:jc w:val="center"/>
              <w:ind w:right="547"/>
              <w:spacing w:after="0"/>
              <w:rPr>
                <w:sz w:val="20"/>
                <w:szCs w:val="20"/>
                <w:color w:val="auto"/>
              </w:rPr>
            </w:pPr>
            <w:r>
              <w:rPr>
                <w:rFonts w:ascii="Arial" w:cs="Arial" w:eastAsia="Arial" w:hAnsi="Arial"/>
                <w:sz w:val="13"/>
                <w:szCs w:val="13"/>
                <w:b w:val="1"/>
                <w:bCs w:val="1"/>
                <w:color w:val="auto"/>
                <w:w w:val="89"/>
              </w:rPr>
              <w:t>2013</w:t>
            </w:r>
          </w:p>
        </w:tc>
        <w:tc>
          <w:tcPr>
            <w:tcW w:w="0" w:type="dxa"/>
            <w:vAlign w:val="bottom"/>
          </w:tcPr>
          <w:p>
            <w:pPr>
              <w:spacing w:after="0"/>
              <w:rPr>
                <w:sz w:val="1"/>
                <w:szCs w:val="1"/>
                <w:color w:val="auto"/>
              </w:rPr>
            </w:pPr>
          </w:p>
        </w:tc>
      </w:tr>
      <w:tr>
        <w:trPr>
          <w:trHeight w:val="23"/>
        </w:trPr>
        <w:tc>
          <w:tcPr>
            <w:tcW w:w="7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460" w:type="dxa"/>
            <w:vAlign w:val="bottom"/>
            <w:vMerge w:val="restart"/>
          </w:tcPr>
          <w:p>
            <w:pPr>
              <w:spacing w:after="0"/>
              <w:rPr>
                <w:sz w:val="20"/>
                <w:szCs w:val="20"/>
                <w:color w:val="auto"/>
              </w:rPr>
            </w:pPr>
            <w:r>
              <w:rPr>
                <w:rFonts w:ascii="Arial" w:cs="Arial" w:eastAsia="Arial" w:hAnsi="Arial"/>
                <w:sz w:val="16"/>
                <w:szCs w:val="16"/>
                <w:color w:val="auto"/>
              </w:rPr>
              <w:t>Upstream</w:t>
            </w:r>
          </w:p>
        </w:tc>
        <w:tc>
          <w:tcPr>
            <w:tcW w:w="1120" w:type="dxa"/>
            <w:vAlign w:val="bottom"/>
          </w:tcPr>
          <w:p>
            <w:pPr>
              <w:spacing w:after="0"/>
              <w:rPr>
                <w:sz w:val="17"/>
                <w:szCs w:val="17"/>
                <w:color w:val="auto"/>
              </w:rPr>
            </w:pPr>
          </w:p>
        </w:tc>
        <w:tc>
          <w:tcPr>
            <w:tcW w:w="2360" w:type="dxa"/>
            <w:vAlign w:val="bottom"/>
          </w:tcPr>
          <w:p>
            <w:pPr>
              <w:jc w:val="center"/>
              <w:ind w:right="567"/>
              <w:spacing w:after="0"/>
              <w:rPr>
                <w:sz w:val="20"/>
                <w:szCs w:val="20"/>
                <w:color w:val="auto"/>
              </w:rPr>
            </w:pPr>
            <w:r>
              <w:rPr>
                <w:rFonts w:ascii="Arial" w:cs="Arial" w:eastAsia="Arial" w:hAnsi="Arial"/>
                <w:sz w:val="13"/>
                <w:szCs w:val="13"/>
                <w:i w:val="1"/>
                <w:iCs w:val="1"/>
                <w:color w:val="auto"/>
                <w:w w:val="95"/>
              </w:rPr>
              <w:t>(millions of dollars)</w:t>
            </w:r>
          </w:p>
        </w:tc>
        <w:tc>
          <w:tcPr>
            <w:tcW w:w="0" w:type="dxa"/>
            <w:vAlign w:val="bottom"/>
          </w:tcPr>
          <w:p>
            <w:pPr>
              <w:spacing w:after="0"/>
              <w:rPr>
                <w:sz w:val="1"/>
                <w:szCs w:val="1"/>
                <w:color w:val="auto"/>
              </w:rPr>
            </w:pPr>
          </w:p>
        </w:tc>
      </w:tr>
      <w:tr>
        <w:trPr>
          <w:trHeight w:val="170"/>
        </w:trPr>
        <w:tc>
          <w:tcPr>
            <w:tcW w:w="74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460" w:type="dxa"/>
            <w:vAlign w:val="bottom"/>
          </w:tcPr>
          <w:p>
            <w:pPr>
              <w:ind w:left="340"/>
              <w:spacing w:after="0"/>
              <w:rPr>
                <w:sz w:val="20"/>
                <w:szCs w:val="20"/>
                <w:color w:val="auto"/>
              </w:rPr>
            </w:pPr>
            <w:r>
              <w:rPr>
                <w:rFonts w:ascii="Arial" w:cs="Arial" w:eastAsia="Arial" w:hAnsi="Arial"/>
                <w:sz w:val="16"/>
                <w:szCs w:val="16"/>
                <w:color w:val="auto"/>
              </w:rPr>
              <w:t>United States</w:t>
            </w:r>
          </w:p>
        </w:tc>
        <w:tc>
          <w:tcPr>
            <w:tcW w:w="1120" w:type="dxa"/>
            <w:vAlign w:val="bottom"/>
          </w:tcPr>
          <w:p>
            <w:pPr>
              <w:jc w:val="right"/>
              <w:ind w:right="244"/>
              <w:spacing w:after="0"/>
              <w:rPr>
                <w:sz w:val="20"/>
                <w:szCs w:val="20"/>
                <w:color w:val="auto"/>
              </w:rPr>
            </w:pPr>
            <w:r>
              <w:rPr>
                <w:rFonts w:ascii="Arial" w:cs="Arial" w:eastAsia="Arial" w:hAnsi="Arial"/>
                <w:sz w:val="16"/>
                <w:szCs w:val="16"/>
                <w:color w:val="auto"/>
              </w:rPr>
              <w:t>5,197</w:t>
            </w:r>
          </w:p>
        </w:tc>
        <w:tc>
          <w:tcPr>
            <w:tcW w:w="2360" w:type="dxa"/>
            <w:vAlign w:val="bottom"/>
          </w:tcPr>
          <w:p>
            <w:pPr>
              <w:jc w:val="right"/>
              <w:ind w:right="1027"/>
              <w:spacing w:after="0"/>
              <w:rPr>
                <w:sz w:val="20"/>
                <w:szCs w:val="20"/>
                <w:color w:val="auto"/>
              </w:rPr>
            </w:pPr>
            <w:r>
              <w:rPr>
                <w:rFonts w:ascii="Arial" w:cs="Arial" w:eastAsia="Arial" w:hAnsi="Arial"/>
                <w:sz w:val="16"/>
                <w:szCs w:val="16"/>
                <w:color w:val="auto"/>
              </w:rPr>
              <w:t>4,191</w:t>
            </w:r>
          </w:p>
        </w:tc>
        <w:tc>
          <w:tcPr>
            <w:tcW w:w="0" w:type="dxa"/>
            <w:vAlign w:val="bottom"/>
          </w:tcPr>
          <w:p>
            <w:pPr>
              <w:spacing w:after="0"/>
              <w:rPr>
                <w:sz w:val="1"/>
                <w:szCs w:val="1"/>
                <w:color w:val="auto"/>
              </w:rPr>
            </w:pPr>
          </w:p>
        </w:tc>
      </w:tr>
      <w:tr>
        <w:trPr>
          <w:trHeight w:val="208"/>
        </w:trPr>
        <w:tc>
          <w:tcPr>
            <w:tcW w:w="7460" w:type="dxa"/>
            <w:vAlign w:val="bottom"/>
          </w:tcPr>
          <w:p>
            <w:pPr>
              <w:ind w:left="340"/>
              <w:spacing w:after="0"/>
              <w:rPr>
                <w:sz w:val="20"/>
                <w:szCs w:val="20"/>
                <w:color w:val="auto"/>
              </w:rPr>
            </w:pPr>
            <w:r>
              <w:rPr>
                <w:rFonts w:ascii="Arial" w:cs="Arial" w:eastAsia="Arial" w:hAnsi="Arial"/>
                <w:sz w:val="16"/>
                <w:szCs w:val="16"/>
                <w:color w:val="auto"/>
              </w:rPr>
              <w:t>Non-U.S.</w:t>
            </w:r>
          </w:p>
        </w:tc>
        <w:tc>
          <w:tcPr>
            <w:tcW w:w="112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color w:val="auto"/>
              </w:rPr>
              <w:t>22,351</w:t>
            </w:r>
          </w:p>
        </w:tc>
        <w:tc>
          <w:tcPr>
            <w:tcW w:w="2360" w:type="dxa"/>
            <w:vAlign w:val="bottom"/>
            <w:tcBorders>
              <w:bottom w:val="single" w:sz="8" w:color="auto"/>
            </w:tcBorders>
          </w:tcPr>
          <w:p>
            <w:pPr>
              <w:jc w:val="right"/>
              <w:ind w:right="1027"/>
              <w:spacing w:after="0"/>
              <w:rPr>
                <w:sz w:val="20"/>
                <w:szCs w:val="20"/>
                <w:color w:val="auto"/>
              </w:rPr>
            </w:pPr>
            <w:r>
              <w:rPr>
                <w:rFonts w:ascii="Arial" w:cs="Arial" w:eastAsia="Arial" w:hAnsi="Arial"/>
                <w:sz w:val="16"/>
                <w:szCs w:val="16"/>
                <w:color w:val="auto"/>
              </w:rPr>
              <w:t>22,650</w:t>
            </w:r>
          </w:p>
        </w:tc>
        <w:tc>
          <w:tcPr>
            <w:tcW w:w="0" w:type="dxa"/>
            <w:vAlign w:val="bottom"/>
          </w:tcPr>
          <w:p>
            <w:pPr>
              <w:spacing w:after="0"/>
              <w:rPr>
                <w:sz w:val="1"/>
                <w:szCs w:val="1"/>
                <w:color w:val="auto"/>
              </w:rPr>
            </w:pPr>
          </w:p>
        </w:tc>
      </w:tr>
      <w:tr>
        <w:trPr>
          <w:trHeight w:val="189"/>
        </w:trPr>
        <w:tc>
          <w:tcPr>
            <w:tcW w:w="7460" w:type="dxa"/>
            <w:vAlign w:val="bottom"/>
          </w:tcPr>
          <w:p>
            <w:pPr>
              <w:ind w:left="70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color w:val="auto"/>
              </w:rPr>
              <w:t>27,548</w:t>
            </w:r>
          </w:p>
        </w:tc>
        <w:tc>
          <w:tcPr>
            <w:tcW w:w="2360" w:type="dxa"/>
            <w:vAlign w:val="bottom"/>
            <w:tcBorders>
              <w:bottom w:val="single" w:sz="8" w:color="auto"/>
            </w:tcBorders>
          </w:tcPr>
          <w:p>
            <w:pPr>
              <w:jc w:val="right"/>
              <w:ind w:right="1027"/>
              <w:spacing w:after="0"/>
              <w:rPr>
                <w:sz w:val="20"/>
                <w:szCs w:val="20"/>
                <w:color w:val="auto"/>
              </w:rPr>
            </w:pPr>
            <w:r>
              <w:rPr>
                <w:rFonts w:ascii="Arial" w:cs="Arial" w:eastAsia="Arial" w:hAnsi="Arial"/>
                <w:sz w:val="16"/>
                <w:szCs w:val="16"/>
                <w:color w:val="auto"/>
              </w:rPr>
              <w:t>26,841</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2014</w:t>
      </w:r>
    </w:p>
    <w:p>
      <w:pPr>
        <w:spacing w:after="0" w:line="90" w:lineRule="exact"/>
        <w:rPr>
          <w:sz w:val="20"/>
          <w:szCs w:val="20"/>
          <w:color w:val="auto"/>
        </w:rPr>
      </w:pPr>
    </w:p>
    <w:p>
      <w:pPr>
        <w:jc w:val="both"/>
        <w:spacing w:after="0" w:line="200" w:lineRule="exact"/>
        <w:rPr>
          <w:sz w:val="20"/>
          <w:szCs w:val="20"/>
          <w:color w:val="auto"/>
        </w:rPr>
      </w:pPr>
      <w:r>
        <w:rPr>
          <w:rFonts w:ascii="Arial" w:cs="Arial" w:eastAsia="Arial" w:hAnsi="Arial"/>
          <w:sz w:val="15"/>
          <w:szCs w:val="15"/>
          <w:color w:val="auto"/>
        </w:rPr>
        <w:t>Upstream earnings were $27,548 million, up $707 million from 2013. Lower prices decreased earnings by $2.0 billion. Favorable volume effects increased earn $510 million. All other items, primarily asset sales and favorable U.S. deferred income tax items, increased earnings by $2.2 billion. On an oil</w:t>
      </w:r>
      <w:r>
        <w:rPr>
          <w:rFonts w:ascii="MS PGothic" w:cs="MS PGothic" w:eastAsia="MS PGothic" w:hAnsi="MS PGothic"/>
          <w:sz w:val="15"/>
          <w:szCs w:val="15"/>
          <w:color w:val="auto"/>
        </w:rPr>
        <w:t>‑</w:t>
      </w:r>
      <w:r>
        <w:rPr>
          <w:rFonts w:ascii="Arial" w:cs="Arial" w:eastAsia="Arial" w:hAnsi="Arial"/>
          <w:sz w:val="15"/>
          <w:szCs w:val="15"/>
          <w:color w:val="auto"/>
        </w:rPr>
        <w:t>equivalent basis, produ 4.0 million barrels per day was down 4.9 percent compared to 2013. Excluding the impact of the expiry of the Abu Dhabi onshore concession, production de</w:t>
      </w:r>
    </w:p>
    <w:p>
      <w:pPr>
        <w:jc w:val="both"/>
        <w:spacing w:after="0" w:line="196" w:lineRule="exact"/>
        <w:rPr>
          <w:sz w:val="20"/>
          <w:szCs w:val="20"/>
          <w:color w:val="auto"/>
        </w:rPr>
      </w:pPr>
      <w:r>
        <w:rPr>
          <w:rFonts w:ascii="Arial" w:cs="Arial" w:eastAsia="Arial" w:hAnsi="Arial"/>
          <w:sz w:val="16"/>
          <w:szCs w:val="16"/>
          <w:color w:val="auto"/>
        </w:rPr>
        <w:t>1.7 percent. Liquids production of 2.1 million barrels per day decreased 91,000 barrels per day compared to 2013. The Abu Dhabi onshore concession expiry reduced v by 135,000 barrels per day. Excluding this impact, liquids production was up 2 percent, driven by project ramp</w:t>
      </w:r>
      <w:r>
        <w:rPr>
          <w:rFonts w:ascii="MS PGothic" w:cs="MS PGothic" w:eastAsia="MS PGothic" w:hAnsi="MS PGothic"/>
          <w:sz w:val="16"/>
          <w:szCs w:val="16"/>
          <w:color w:val="auto"/>
        </w:rPr>
        <w:t>‑</w:t>
      </w:r>
      <w:r>
        <w:rPr>
          <w:rFonts w:ascii="Arial" w:cs="Arial" w:eastAsia="Arial" w:hAnsi="Arial"/>
          <w:sz w:val="16"/>
          <w:szCs w:val="16"/>
          <w:color w:val="auto"/>
        </w:rPr>
        <w:t>up and work programs. Natural gas production of 11.1 cubic feet per day decreased 691 million cubic feet per day from 2013, as expected U.S. field decline and lower European demand were partially offset by project r and work programs. Earnings from U.S. Upstream operations were $5,197 million, up $1,006 million from 2013. Earnings outside the U.S. were $22,351 million $299 million from the prior year.</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2013</w:t>
      </w:r>
    </w:p>
    <w:p>
      <w:pPr>
        <w:spacing w:after="0" w:line="90" w:lineRule="exact"/>
        <w:rPr>
          <w:sz w:val="20"/>
          <w:szCs w:val="20"/>
          <w:color w:val="auto"/>
        </w:rPr>
      </w:pPr>
    </w:p>
    <w:p>
      <w:pPr>
        <w:jc w:val="both"/>
        <w:spacing w:after="0" w:line="200" w:lineRule="exact"/>
        <w:rPr>
          <w:sz w:val="20"/>
          <w:szCs w:val="20"/>
          <w:color w:val="auto"/>
        </w:rPr>
      </w:pPr>
      <w:r>
        <w:rPr>
          <w:rFonts w:ascii="Arial" w:cs="Arial" w:eastAsia="Arial" w:hAnsi="Arial"/>
          <w:sz w:val="15"/>
          <w:szCs w:val="15"/>
          <w:color w:val="auto"/>
        </w:rPr>
        <w:t>Upstream earnings were $26,841 million, down $3,054 million from 2012. Higher gas realizations, partially offset by lower liquids realizations, increased earn $390 million. Production volume and mix effects decreased earnings by $910 million. All other items, including lower net gains from asset sales, mainly in Ang higher expenses, reduced earnings by $2.5 billion. On an oil</w:t>
      </w:r>
      <w:r>
        <w:rPr>
          <w:rFonts w:ascii="MS PGothic" w:cs="MS PGothic" w:eastAsia="MS PGothic" w:hAnsi="MS PGothic"/>
          <w:sz w:val="15"/>
          <w:szCs w:val="15"/>
          <w:color w:val="auto"/>
        </w:rPr>
        <w:t>‑</w:t>
      </w:r>
      <w:r>
        <w:rPr>
          <w:rFonts w:ascii="Arial" w:cs="Arial" w:eastAsia="Arial" w:hAnsi="Arial"/>
          <w:sz w:val="15"/>
          <w:szCs w:val="15"/>
          <w:color w:val="auto"/>
        </w:rPr>
        <w:t>equivalent basis, production was down 1.5 percent compared to 2012. Excluding the impacts of entitlemen</w:t>
      </w:r>
    </w:p>
    <w:p>
      <w:pPr>
        <w:spacing w:after="0" w:line="13"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both"/>
        <w:spacing w:after="0" w:line="198" w:lineRule="exact"/>
        <w:rPr>
          <w:sz w:val="20"/>
          <w:szCs w:val="20"/>
          <w:color w:val="auto"/>
        </w:rPr>
      </w:pPr>
      <w:r>
        <w:rPr>
          <w:rFonts w:ascii="Arial" w:cs="Arial" w:eastAsia="Arial" w:hAnsi="Arial"/>
          <w:sz w:val="16"/>
          <w:szCs w:val="16"/>
          <w:color w:val="auto"/>
        </w:rPr>
        <w:t>volumes, OPEC quota effects and divestments, production was essentially flat. Liquids production of 2.2 million barrels per day increased 17,000 barrels per day co with 2012. Excluding the impacts of entitlement volumes, OPEC quota effects and divestments, liquids production was up 1.6 percent, as project ramp</w:t>
      </w:r>
      <w:r>
        <w:rPr>
          <w:rFonts w:ascii="MS PGothic" w:cs="MS PGothic" w:eastAsia="MS PGothic" w:hAnsi="MS PGothic"/>
          <w:sz w:val="16"/>
          <w:szCs w:val="16"/>
          <w:color w:val="auto"/>
        </w:rPr>
        <w:t>‑</w:t>
      </w:r>
      <w:r>
        <w:rPr>
          <w:rFonts w:ascii="Arial" w:cs="Arial" w:eastAsia="Arial" w:hAnsi="Arial"/>
          <w:sz w:val="16"/>
          <w:szCs w:val="16"/>
          <w:color w:val="auto"/>
        </w:rPr>
        <w:t>up an downtime were partially offset by field decline. Natural gas production of 11.8 billion cubic feet per day decreased 486 million cubic feet per day from 2012. Exclu impacts of entitlement volumes and divestments, natural gas production was down 1.5 percent, as field decline was partially offset by higher demand, lower downti project ramp</w:t>
      </w:r>
      <w:r>
        <w:rPr>
          <w:rFonts w:ascii="MS PGothic" w:cs="MS PGothic" w:eastAsia="MS PGothic" w:hAnsi="MS PGothic"/>
          <w:sz w:val="16"/>
          <w:szCs w:val="16"/>
          <w:color w:val="auto"/>
        </w:rPr>
        <w:t>‑</w:t>
      </w:r>
      <w:r>
        <w:rPr>
          <w:rFonts w:ascii="Arial" w:cs="Arial" w:eastAsia="Arial" w:hAnsi="Arial"/>
          <w:sz w:val="16"/>
          <w:szCs w:val="16"/>
          <w:color w:val="auto"/>
        </w:rPr>
        <w:t>up. Earnings from U.S. Upstream operations for 2013 were $4,191 million, up $266 million from 2012. Earnings outside the U.S. were $22,650 million $3,320 million from the prior year.</w:t>
      </w: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Upstream Additional Information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040" w:type="dxa"/>
            <w:vAlign w:val="bottom"/>
            <w:gridSpan w:val="2"/>
          </w:tcPr>
          <w:p>
            <w:pPr>
              <w:ind w:left="8760"/>
              <w:spacing w:after="0"/>
              <w:rPr>
                <w:sz w:val="20"/>
                <w:szCs w:val="20"/>
                <w:color w:val="auto"/>
              </w:rPr>
            </w:pPr>
            <w:r>
              <w:rPr>
                <w:rFonts w:ascii="Arial" w:cs="Arial" w:eastAsia="Arial" w:hAnsi="Arial"/>
                <w:sz w:val="13"/>
                <w:szCs w:val="13"/>
                <w:b w:val="1"/>
                <w:bCs w:val="1"/>
                <w:color w:val="auto"/>
                <w:w w:val="89"/>
              </w:rPr>
              <w:t>2014</w:t>
            </w:r>
          </w:p>
        </w:tc>
        <w:tc>
          <w:tcPr>
            <w:tcW w:w="1900" w:type="dxa"/>
            <w:vAlign w:val="bottom"/>
          </w:tcPr>
          <w:p>
            <w:pPr>
              <w:jc w:val="right"/>
              <w:spacing w:after="0"/>
              <w:rPr>
                <w:sz w:val="20"/>
                <w:szCs w:val="20"/>
                <w:color w:val="auto"/>
              </w:rPr>
            </w:pPr>
            <w:r>
              <w:rPr>
                <w:rFonts w:ascii="Arial" w:cs="Arial" w:eastAsia="Arial" w:hAnsi="Arial"/>
                <w:sz w:val="13"/>
                <w:szCs w:val="13"/>
                <w:b w:val="1"/>
                <w:bCs w:val="1"/>
                <w:color w:val="auto"/>
              </w:rPr>
              <w:t>2013</w:t>
            </w:r>
          </w:p>
        </w:tc>
      </w:tr>
      <w:tr>
        <w:trPr>
          <w:trHeight w:val="23"/>
        </w:trPr>
        <w:tc>
          <w:tcPr>
            <w:tcW w:w="8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57"/>
        </w:trPr>
        <w:tc>
          <w:tcPr>
            <w:tcW w:w="8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00" w:type="dxa"/>
            <w:vAlign w:val="bottom"/>
          </w:tcPr>
          <w:p>
            <w:pPr>
              <w:jc w:val="right"/>
              <w:ind w:right="282"/>
              <w:spacing w:after="0"/>
              <w:rPr>
                <w:sz w:val="20"/>
                <w:szCs w:val="20"/>
                <w:color w:val="auto"/>
              </w:rPr>
            </w:pPr>
            <w:r>
              <w:rPr>
                <w:rFonts w:ascii="Arial" w:cs="Arial" w:eastAsia="Arial" w:hAnsi="Arial"/>
                <w:sz w:val="13"/>
                <w:szCs w:val="13"/>
                <w:i w:val="1"/>
                <w:iCs w:val="1"/>
                <w:color w:val="auto"/>
                <w:w w:val="96"/>
              </w:rPr>
              <w:t>(thousands of barrels daily)</w:t>
            </w:r>
          </w:p>
        </w:tc>
      </w:tr>
      <w:tr>
        <w:trPr>
          <w:trHeight w:val="251"/>
        </w:trPr>
        <w:tc>
          <w:tcPr>
            <w:tcW w:w="9040" w:type="dxa"/>
            <w:vAlign w:val="bottom"/>
            <w:gridSpan w:val="2"/>
          </w:tcPr>
          <w:p>
            <w:pPr>
              <w:ind w:left="40"/>
              <w:spacing w:after="0"/>
              <w:rPr>
                <w:sz w:val="20"/>
                <w:szCs w:val="20"/>
                <w:color w:val="auto"/>
              </w:rPr>
            </w:pPr>
            <w:r>
              <w:rPr>
                <w:rFonts w:ascii="Arial" w:cs="Arial" w:eastAsia="Arial" w:hAnsi="Arial"/>
                <w:sz w:val="16"/>
                <w:szCs w:val="16"/>
                <w:b w:val="1"/>
                <w:bCs w:val="1"/>
                <w:color w:val="auto"/>
              </w:rPr>
              <w:t xml:space="preserve">Volumes Reconciliation </w:t>
            </w:r>
            <w:r>
              <w:rPr>
                <w:rFonts w:ascii="Arial" w:cs="Arial" w:eastAsia="Arial" w:hAnsi="Arial"/>
                <w:sz w:val="16"/>
                <w:szCs w:val="16"/>
                <w:color w:val="auto"/>
              </w:rPr>
              <w:t>(Oil-equivalent production)</w:t>
            </w:r>
            <w:r>
              <w:rPr>
                <w:rFonts w:ascii="Arial" w:cs="Arial" w:eastAsia="Arial" w:hAnsi="Arial"/>
                <w:sz w:val="16"/>
                <w:szCs w:val="16"/>
                <w:i w:val="1"/>
                <w:iCs w:val="1"/>
                <w:color w:val="auto"/>
              </w:rPr>
              <w:t>(1)</w:t>
            </w:r>
          </w:p>
        </w:tc>
        <w:tc>
          <w:tcPr>
            <w:tcW w:w="1900" w:type="dxa"/>
            <w:vAlign w:val="bottom"/>
          </w:tcPr>
          <w:p>
            <w:pPr>
              <w:spacing w:after="0"/>
              <w:rPr>
                <w:sz w:val="21"/>
                <w:szCs w:val="21"/>
                <w:color w:val="auto"/>
              </w:rPr>
            </w:pPr>
          </w:p>
        </w:tc>
      </w:tr>
      <w:tr>
        <w:trPr>
          <w:trHeight w:val="209"/>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Prior year</w:t>
            </w:r>
          </w:p>
        </w:tc>
        <w:tc>
          <w:tcPr>
            <w:tcW w:w="1900" w:type="dxa"/>
            <w:vAlign w:val="bottom"/>
          </w:tcPr>
          <w:p>
            <w:pPr>
              <w:jc w:val="right"/>
              <w:ind w:right="1422"/>
              <w:spacing w:after="0"/>
              <w:rPr>
                <w:sz w:val="20"/>
                <w:szCs w:val="20"/>
                <w:color w:val="auto"/>
              </w:rPr>
            </w:pPr>
            <w:r>
              <w:rPr>
                <w:rFonts w:ascii="Arial" w:cs="Arial" w:eastAsia="Arial" w:hAnsi="Arial"/>
                <w:sz w:val="16"/>
                <w:szCs w:val="16"/>
                <w:color w:val="auto"/>
                <w:w w:val="94"/>
              </w:rPr>
              <w:t>4,175</w:t>
            </w:r>
          </w:p>
        </w:tc>
      </w:tr>
      <w:tr>
        <w:trPr>
          <w:trHeight w:val="196"/>
        </w:trPr>
        <w:tc>
          <w:tcPr>
            <w:tcW w:w="9040" w:type="dxa"/>
            <w:vAlign w:val="bottom"/>
            <w:gridSpan w:val="2"/>
          </w:tcPr>
          <w:p>
            <w:pPr>
              <w:ind w:left="380"/>
              <w:spacing w:after="0"/>
              <w:rPr>
                <w:sz w:val="20"/>
                <w:szCs w:val="20"/>
                <w:color w:val="auto"/>
              </w:rPr>
            </w:pPr>
            <w:r>
              <w:rPr>
                <w:rFonts w:ascii="Arial" w:cs="Arial" w:eastAsia="Arial" w:hAnsi="Arial"/>
                <w:sz w:val="16"/>
                <w:szCs w:val="16"/>
                <w:color w:val="auto"/>
              </w:rPr>
              <w:t>Entitlements - Net Interest</w:t>
            </w:r>
          </w:p>
        </w:tc>
        <w:tc>
          <w:tcPr>
            <w:tcW w:w="1900" w:type="dxa"/>
            <w:vAlign w:val="bottom"/>
          </w:tcPr>
          <w:p>
            <w:pPr>
              <w:jc w:val="right"/>
              <w:ind w:right="1382"/>
              <w:spacing w:after="0"/>
              <w:rPr>
                <w:sz w:val="20"/>
                <w:szCs w:val="20"/>
                <w:color w:val="auto"/>
              </w:rPr>
            </w:pPr>
            <w:r>
              <w:rPr>
                <w:rFonts w:ascii="Arial" w:cs="Arial" w:eastAsia="Arial" w:hAnsi="Arial"/>
                <w:sz w:val="16"/>
                <w:szCs w:val="16"/>
                <w:color w:val="auto"/>
              </w:rPr>
              <w:t>(4)</w:t>
            </w:r>
          </w:p>
        </w:tc>
      </w:tr>
      <w:tr>
        <w:trPr>
          <w:trHeight w:val="196"/>
        </w:trPr>
        <w:tc>
          <w:tcPr>
            <w:tcW w:w="9040" w:type="dxa"/>
            <w:vAlign w:val="bottom"/>
            <w:gridSpan w:val="2"/>
          </w:tcPr>
          <w:p>
            <w:pPr>
              <w:ind w:left="380"/>
              <w:spacing w:after="0"/>
              <w:rPr>
                <w:sz w:val="20"/>
                <w:szCs w:val="20"/>
                <w:color w:val="auto"/>
              </w:rPr>
            </w:pPr>
            <w:r>
              <w:rPr>
                <w:rFonts w:ascii="Arial" w:cs="Arial" w:eastAsia="Arial" w:hAnsi="Arial"/>
                <w:sz w:val="16"/>
                <w:szCs w:val="16"/>
                <w:color w:val="auto"/>
              </w:rPr>
              <w:t>Entitlements - Price / Spend / Other</w:t>
            </w:r>
          </w:p>
        </w:tc>
        <w:tc>
          <w:tcPr>
            <w:tcW w:w="1900" w:type="dxa"/>
            <w:vAlign w:val="bottom"/>
          </w:tcPr>
          <w:p>
            <w:pPr>
              <w:jc w:val="right"/>
              <w:ind w:right="1382"/>
              <w:spacing w:after="0"/>
              <w:rPr>
                <w:sz w:val="20"/>
                <w:szCs w:val="20"/>
                <w:color w:val="auto"/>
              </w:rPr>
            </w:pPr>
            <w:r>
              <w:rPr>
                <w:rFonts w:ascii="Arial" w:cs="Arial" w:eastAsia="Arial" w:hAnsi="Arial"/>
                <w:sz w:val="16"/>
                <w:szCs w:val="16"/>
                <w:color w:val="auto"/>
              </w:rPr>
              <w:t>(43)</w:t>
            </w:r>
          </w:p>
        </w:tc>
      </w:tr>
      <w:tr>
        <w:trPr>
          <w:trHeight w:val="196"/>
        </w:trPr>
        <w:tc>
          <w:tcPr>
            <w:tcW w:w="9040" w:type="dxa"/>
            <w:vAlign w:val="bottom"/>
            <w:gridSpan w:val="2"/>
          </w:tcPr>
          <w:p>
            <w:pPr>
              <w:ind w:left="380"/>
              <w:spacing w:after="0"/>
              <w:rPr>
                <w:sz w:val="20"/>
                <w:szCs w:val="20"/>
                <w:color w:val="auto"/>
              </w:rPr>
            </w:pPr>
            <w:r>
              <w:rPr>
                <w:rFonts w:ascii="Arial" w:cs="Arial" w:eastAsia="Arial" w:hAnsi="Arial"/>
                <w:sz w:val="16"/>
                <w:szCs w:val="16"/>
                <w:color w:val="auto"/>
              </w:rPr>
              <w:t>Quotas</w:t>
            </w:r>
          </w:p>
        </w:tc>
        <w:tc>
          <w:tcPr>
            <w:tcW w:w="1900" w:type="dxa"/>
            <w:vAlign w:val="bottom"/>
          </w:tcPr>
          <w:p>
            <w:pPr>
              <w:jc w:val="right"/>
              <w:ind w:right="1422"/>
              <w:spacing w:after="0"/>
              <w:rPr>
                <w:sz w:val="20"/>
                <w:szCs w:val="20"/>
                <w:color w:val="auto"/>
              </w:rPr>
            </w:pPr>
            <w:r>
              <w:rPr>
                <w:rFonts w:ascii="Arial" w:cs="Arial" w:eastAsia="Arial" w:hAnsi="Arial"/>
                <w:sz w:val="16"/>
                <w:szCs w:val="16"/>
                <w:color w:val="auto"/>
              </w:rPr>
              <w:t>-</w:t>
            </w:r>
          </w:p>
        </w:tc>
      </w:tr>
      <w:tr>
        <w:trPr>
          <w:trHeight w:val="196"/>
        </w:trPr>
        <w:tc>
          <w:tcPr>
            <w:tcW w:w="9040" w:type="dxa"/>
            <w:vAlign w:val="bottom"/>
            <w:gridSpan w:val="2"/>
          </w:tcPr>
          <w:p>
            <w:pPr>
              <w:ind w:left="380"/>
              <w:spacing w:after="0"/>
              <w:rPr>
                <w:sz w:val="20"/>
                <w:szCs w:val="20"/>
                <w:color w:val="auto"/>
              </w:rPr>
            </w:pPr>
            <w:r>
              <w:rPr>
                <w:rFonts w:ascii="Arial" w:cs="Arial" w:eastAsia="Arial" w:hAnsi="Arial"/>
                <w:sz w:val="16"/>
                <w:szCs w:val="16"/>
                <w:color w:val="auto"/>
              </w:rPr>
              <w:t>Divestments</w:t>
            </w:r>
          </w:p>
        </w:tc>
        <w:tc>
          <w:tcPr>
            <w:tcW w:w="1900" w:type="dxa"/>
            <w:vAlign w:val="bottom"/>
          </w:tcPr>
          <w:p>
            <w:pPr>
              <w:jc w:val="right"/>
              <w:ind w:right="1382"/>
              <w:spacing w:after="0"/>
              <w:rPr>
                <w:sz w:val="20"/>
                <w:szCs w:val="20"/>
                <w:color w:val="auto"/>
              </w:rPr>
            </w:pPr>
            <w:r>
              <w:rPr>
                <w:rFonts w:ascii="Arial" w:cs="Arial" w:eastAsia="Arial" w:hAnsi="Arial"/>
                <w:sz w:val="16"/>
                <w:szCs w:val="16"/>
                <w:color w:val="auto"/>
              </w:rPr>
              <w:t>(31)</w:t>
            </w:r>
          </w:p>
        </w:tc>
      </w:tr>
      <w:tr>
        <w:trPr>
          <w:trHeight w:val="196"/>
        </w:trPr>
        <w:tc>
          <w:tcPr>
            <w:tcW w:w="9040" w:type="dxa"/>
            <w:vAlign w:val="bottom"/>
            <w:gridSpan w:val="2"/>
          </w:tcPr>
          <w:p>
            <w:pPr>
              <w:ind w:left="380"/>
              <w:spacing w:after="0"/>
              <w:rPr>
                <w:sz w:val="20"/>
                <w:szCs w:val="20"/>
                <w:color w:val="auto"/>
              </w:rPr>
            </w:pPr>
            <w:r>
              <w:rPr>
                <w:rFonts w:ascii="Arial" w:cs="Arial" w:eastAsia="Arial" w:hAnsi="Arial"/>
                <w:sz w:val="16"/>
                <w:szCs w:val="16"/>
                <w:color w:val="auto"/>
              </w:rPr>
              <w:t>United Arab Emirates Onshore Concession Expiry</w:t>
            </w:r>
          </w:p>
        </w:tc>
        <w:tc>
          <w:tcPr>
            <w:tcW w:w="1900" w:type="dxa"/>
            <w:vAlign w:val="bottom"/>
          </w:tcPr>
          <w:p>
            <w:pPr>
              <w:jc w:val="right"/>
              <w:ind w:right="1382"/>
              <w:spacing w:after="0"/>
              <w:rPr>
                <w:sz w:val="20"/>
                <w:szCs w:val="20"/>
                <w:color w:val="auto"/>
              </w:rPr>
            </w:pPr>
            <w:r>
              <w:rPr>
                <w:rFonts w:ascii="Arial" w:cs="Arial" w:eastAsia="Arial" w:hAnsi="Arial"/>
                <w:sz w:val="16"/>
                <w:szCs w:val="16"/>
                <w:color w:val="auto"/>
              </w:rPr>
              <w:t>(135)</w:t>
            </w:r>
          </w:p>
        </w:tc>
      </w:tr>
      <w:tr>
        <w:trPr>
          <w:trHeight w:val="208"/>
        </w:trPr>
        <w:tc>
          <w:tcPr>
            <w:tcW w:w="9040" w:type="dxa"/>
            <w:vAlign w:val="bottom"/>
            <w:gridSpan w:val="2"/>
          </w:tcPr>
          <w:p>
            <w:pPr>
              <w:ind w:left="380"/>
              <w:spacing w:after="0"/>
              <w:rPr>
                <w:sz w:val="20"/>
                <w:szCs w:val="20"/>
                <w:color w:val="auto"/>
              </w:rPr>
            </w:pPr>
            <w:r>
              <w:rPr>
                <w:rFonts w:ascii="Arial" w:cs="Arial" w:eastAsia="Arial" w:hAnsi="Arial"/>
                <w:sz w:val="16"/>
                <w:szCs w:val="16"/>
                <w:color w:val="auto"/>
              </w:rPr>
              <w:t>Growth / Other</w:t>
            </w:r>
          </w:p>
        </w:tc>
        <w:tc>
          <w:tcPr>
            <w:tcW w:w="1900" w:type="dxa"/>
            <w:vAlign w:val="bottom"/>
          </w:tcPr>
          <w:p>
            <w:pPr>
              <w:jc w:val="right"/>
              <w:ind w:right="1422"/>
              <w:spacing w:after="0"/>
              <w:rPr>
                <w:sz w:val="20"/>
                <w:szCs w:val="20"/>
                <w:color w:val="auto"/>
              </w:rPr>
            </w:pPr>
            <w:r>
              <w:rPr>
                <w:rFonts w:ascii="Arial" w:cs="Arial" w:eastAsia="Arial" w:hAnsi="Arial"/>
                <w:sz w:val="16"/>
                <w:szCs w:val="16"/>
                <w:color w:val="auto"/>
              </w:rPr>
              <w:t>7</w:t>
            </w:r>
          </w:p>
        </w:tc>
      </w:tr>
      <w:tr>
        <w:trPr>
          <w:trHeight w:val="189"/>
        </w:trPr>
        <w:tc>
          <w:tcPr>
            <w:tcW w:w="8260" w:type="dxa"/>
            <w:vAlign w:val="bottom"/>
          </w:tcPr>
          <w:p>
            <w:pPr>
              <w:ind w:left="40"/>
              <w:spacing w:after="0"/>
              <w:rPr>
                <w:sz w:val="20"/>
                <w:szCs w:val="20"/>
                <w:color w:val="auto"/>
              </w:rPr>
            </w:pPr>
            <w:r>
              <w:rPr>
                <w:rFonts w:ascii="Arial" w:cs="Arial" w:eastAsia="Arial" w:hAnsi="Arial"/>
                <w:sz w:val="16"/>
                <w:szCs w:val="16"/>
                <w:color w:val="auto"/>
              </w:rPr>
              <w:t>Current Year</w:t>
            </w:r>
          </w:p>
        </w:tc>
        <w:tc>
          <w:tcPr>
            <w:tcW w:w="780" w:type="dxa"/>
            <w:vAlign w:val="bottom"/>
            <w:tcBorders>
              <w:top w:val="single" w:sz="8" w:color="auto"/>
              <w:bottom w:val="single" w:sz="8" w:color="auto"/>
            </w:tcBorders>
          </w:tcPr>
          <w:p>
            <w:pPr>
              <w:spacing w:after="0"/>
              <w:rPr>
                <w:sz w:val="16"/>
                <w:szCs w:val="16"/>
                <w:color w:val="auto"/>
              </w:rPr>
            </w:pPr>
          </w:p>
        </w:tc>
        <w:tc>
          <w:tcPr>
            <w:tcW w:w="1900" w:type="dxa"/>
            <w:vAlign w:val="bottom"/>
            <w:tcBorders>
              <w:top w:val="single" w:sz="8" w:color="auto"/>
              <w:bottom w:val="single" w:sz="8" w:color="auto"/>
            </w:tcBorders>
          </w:tcPr>
          <w:p>
            <w:pPr>
              <w:jc w:val="right"/>
              <w:ind w:right="1422"/>
              <w:spacing w:after="0"/>
              <w:rPr>
                <w:sz w:val="20"/>
                <w:szCs w:val="20"/>
                <w:color w:val="auto"/>
              </w:rPr>
            </w:pPr>
            <w:r>
              <w:rPr>
                <w:rFonts w:ascii="Arial" w:cs="Arial" w:eastAsia="Arial" w:hAnsi="Arial"/>
                <w:sz w:val="16"/>
                <w:szCs w:val="16"/>
                <w:color w:val="auto"/>
                <w:w w:val="94"/>
              </w:rPr>
              <w:t>3,969</w:t>
            </w:r>
          </w:p>
        </w:tc>
      </w:tr>
    </w:tbl>
    <w:p>
      <w:pPr>
        <w:spacing w:after="0" w:line="18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(1) Gas converted to oil-equivalent at 6 million cubic feet = 1 thousand barrels.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Listed below are descriptions of ExxonMobil’s volumes reconciliation factors which are provided to facilitate understanding of the terms.</w:t>
      </w:r>
    </w:p>
    <w:p>
      <w:pPr>
        <w:spacing w:after="0" w:line="208" w:lineRule="exact"/>
        <w:rPr>
          <w:sz w:val="20"/>
          <w:szCs w:val="20"/>
          <w:color w:val="auto"/>
        </w:rPr>
      </w:pPr>
    </w:p>
    <w:p>
      <w:pPr>
        <w:jc w:val="both"/>
        <w:ind w:firstLine="200"/>
        <w:spacing w:after="0" w:line="315" w:lineRule="auto"/>
        <w:rPr>
          <w:sz w:val="20"/>
          <w:szCs w:val="20"/>
          <w:color w:val="auto"/>
        </w:rPr>
      </w:pPr>
      <w:r>
        <w:rPr>
          <w:rFonts w:ascii="Arial" w:cs="Arial" w:eastAsia="Arial" w:hAnsi="Arial"/>
          <w:sz w:val="14"/>
          <w:szCs w:val="14"/>
          <w:i w:val="1"/>
          <w:iCs w:val="1"/>
          <w:color w:val="auto"/>
        </w:rPr>
        <w:t xml:space="preserve">Entitlements - Net Interest </w:t>
      </w:r>
      <w:r>
        <w:rPr>
          <w:rFonts w:ascii="Arial" w:cs="Arial" w:eastAsia="Arial" w:hAnsi="Arial"/>
          <w:sz w:val="14"/>
          <w:szCs w:val="14"/>
          <w:color w:val="auto"/>
        </w:rPr>
        <w:t>are changes to ExxonMobil’s share of production volumes caused by non-operational changes to volume-determining factors. These</w:t>
      </w:r>
      <w:r>
        <w:rPr>
          <w:rFonts w:ascii="Arial" w:cs="Arial" w:eastAsia="Arial" w:hAnsi="Arial"/>
          <w:sz w:val="14"/>
          <w:szCs w:val="14"/>
          <w:i w:val="1"/>
          <w:iCs w:val="1"/>
          <w:color w:val="auto"/>
        </w:rPr>
        <w:t xml:space="preserve"> </w:t>
      </w:r>
      <w:r>
        <w:rPr>
          <w:rFonts w:ascii="Arial" w:cs="Arial" w:eastAsia="Arial" w:hAnsi="Arial"/>
          <w:sz w:val="14"/>
          <w:szCs w:val="14"/>
          <w:color w:val="auto"/>
        </w:rPr>
        <w:t>consist of net interest changes specified in Production Sharing Contracts (PSCs) which typically occur when cumulative investment returns or production volumes defined thresholds, changes in equity upon achieving pay-out in partner investment carry situations, equity redeterminations as specified in venture agreements, or as of the termination or expiry of a concession. Once a net interest change has occurred, it typically will not be reversed by subsequent events, such as lower crude oil pric</w:t>
      </w:r>
    </w:p>
    <w:p>
      <w:pPr>
        <w:spacing w:after="0" w:line="135" w:lineRule="exact"/>
        <w:rPr>
          <w:sz w:val="20"/>
          <w:szCs w:val="20"/>
          <w:color w:val="auto"/>
        </w:rPr>
      </w:pPr>
    </w:p>
    <w:p>
      <w:pPr>
        <w:jc w:val="both"/>
        <w:ind w:firstLine="200"/>
        <w:spacing w:after="0" w:line="284" w:lineRule="auto"/>
        <w:rPr>
          <w:sz w:val="20"/>
          <w:szCs w:val="20"/>
          <w:color w:val="auto"/>
        </w:rPr>
      </w:pPr>
      <w:r>
        <w:rPr>
          <w:rFonts w:ascii="Arial" w:cs="Arial" w:eastAsia="Arial" w:hAnsi="Arial"/>
          <w:sz w:val="15"/>
          <w:szCs w:val="15"/>
          <w:i w:val="1"/>
          <w:iCs w:val="1"/>
          <w:color w:val="auto"/>
        </w:rPr>
        <w:t xml:space="preserve">Entitlements - Price, Spend and Other </w:t>
      </w:r>
      <w:r>
        <w:rPr>
          <w:rFonts w:ascii="Arial" w:cs="Arial" w:eastAsia="Arial" w:hAnsi="Arial"/>
          <w:sz w:val="15"/>
          <w:szCs w:val="15"/>
          <w:color w:val="auto"/>
        </w:rPr>
        <w:t>are changes to ExxonMobil’s share of production volumes resulting from temporary changes to non-operational volume-dete</w:t>
      </w:r>
      <w:r>
        <w:rPr>
          <w:rFonts w:ascii="Arial" w:cs="Arial" w:eastAsia="Arial" w:hAnsi="Arial"/>
          <w:sz w:val="15"/>
          <w:szCs w:val="15"/>
          <w:i w:val="1"/>
          <w:iCs w:val="1"/>
          <w:color w:val="auto"/>
        </w:rPr>
        <w:t xml:space="preserve"> </w:t>
      </w:r>
      <w:r>
        <w:rPr>
          <w:rFonts w:ascii="Arial" w:cs="Arial" w:eastAsia="Arial" w:hAnsi="Arial"/>
          <w:sz w:val="15"/>
          <w:szCs w:val="15"/>
          <w:color w:val="auto"/>
        </w:rPr>
        <w:t>factors. These factors include changes in oil and gas prices or spending levels from one period to another. According to the terms of contractual arrangements or gove royalty regimes, price or spending variability can increase or decrease royalty burdens and/or volumes attributable to ExxonMobil. For example, at higher prices, fewer are required for ExxonMobil to recover its costs. These effects generally vary from period to period with field spending patterns or market prices for oil and natural ga factors can also include other temporary changes in net interest as dictated by specific provisions in production agreements.</w:t>
      </w:r>
    </w:p>
    <w:p>
      <w:pPr>
        <w:spacing w:after="0" w:line="156" w:lineRule="exact"/>
        <w:rPr>
          <w:sz w:val="20"/>
          <w:szCs w:val="20"/>
          <w:color w:val="auto"/>
        </w:rPr>
      </w:pPr>
    </w:p>
    <w:p>
      <w:pPr>
        <w:jc w:val="both"/>
        <w:ind w:firstLine="200"/>
        <w:spacing w:after="0" w:line="286" w:lineRule="auto"/>
        <w:rPr>
          <w:sz w:val="20"/>
          <w:szCs w:val="20"/>
          <w:color w:val="auto"/>
        </w:rPr>
      </w:pPr>
      <w:r>
        <w:rPr>
          <w:rFonts w:ascii="Arial" w:cs="Arial" w:eastAsia="Arial" w:hAnsi="Arial"/>
          <w:sz w:val="16"/>
          <w:szCs w:val="16"/>
          <w:i w:val="1"/>
          <w:iCs w:val="1"/>
          <w:color w:val="auto"/>
        </w:rPr>
        <w:t xml:space="preserve">Quotas </w:t>
      </w:r>
      <w:r>
        <w:rPr>
          <w:rFonts w:ascii="Arial" w:cs="Arial" w:eastAsia="Arial" w:hAnsi="Arial"/>
          <w:sz w:val="16"/>
          <w:szCs w:val="16"/>
          <w:color w:val="auto"/>
        </w:rPr>
        <w:t>are changes in ExxonMobil’s allowable production arising from production constraints imposed by countries which are members of the Organization</w:t>
      </w:r>
      <w:r>
        <w:rPr>
          <w:rFonts w:ascii="Arial" w:cs="Arial" w:eastAsia="Arial" w:hAnsi="Arial"/>
          <w:sz w:val="16"/>
          <w:szCs w:val="16"/>
          <w:i w:val="1"/>
          <w:iCs w:val="1"/>
          <w:color w:val="auto"/>
        </w:rPr>
        <w:t xml:space="preserve"> </w:t>
      </w:r>
      <w:r>
        <w:rPr>
          <w:rFonts w:ascii="Arial" w:cs="Arial" w:eastAsia="Arial" w:hAnsi="Arial"/>
          <w:sz w:val="16"/>
          <w:szCs w:val="16"/>
          <w:color w:val="auto"/>
        </w:rPr>
        <w:t>Petroleum Exporting Countries (OPEC). Volumes reported in this category would have been readily producible in the absence of the quota.</w:t>
      </w:r>
    </w:p>
    <w:p>
      <w:pPr>
        <w:spacing w:after="0" w:line="150" w:lineRule="exact"/>
        <w:rPr>
          <w:sz w:val="20"/>
          <w:szCs w:val="20"/>
          <w:color w:val="auto"/>
        </w:rPr>
      </w:pPr>
    </w:p>
    <w:p>
      <w:pPr>
        <w:jc w:val="both"/>
        <w:ind w:firstLine="200"/>
        <w:spacing w:after="0" w:line="286" w:lineRule="auto"/>
        <w:rPr>
          <w:sz w:val="20"/>
          <w:szCs w:val="20"/>
          <w:color w:val="auto"/>
        </w:rPr>
      </w:pPr>
      <w:r>
        <w:rPr>
          <w:rFonts w:ascii="Arial" w:cs="Arial" w:eastAsia="Arial" w:hAnsi="Arial"/>
          <w:sz w:val="16"/>
          <w:szCs w:val="16"/>
          <w:i w:val="1"/>
          <w:iCs w:val="1"/>
          <w:color w:val="auto"/>
        </w:rPr>
        <w:t xml:space="preserve">Divestments </w:t>
      </w:r>
      <w:r>
        <w:rPr>
          <w:rFonts w:ascii="Arial" w:cs="Arial" w:eastAsia="Arial" w:hAnsi="Arial"/>
          <w:sz w:val="16"/>
          <w:szCs w:val="16"/>
          <w:color w:val="auto"/>
        </w:rPr>
        <w:t>are reductions in ExxonMobil’s production arising from commercial arrangements to fully or partially reduce equity in a field or asset in excha</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or other economic consideration.</w:t>
      </w:r>
    </w:p>
    <w:p>
      <w:pPr>
        <w:spacing w:after="0" w:line="150" w:lineRule="exact"/>
        <w:rPr>
          <w:sz w:val="20"/>
          <w:szCs w:val="20"/>
          <w:color w:val="auto"/>
        </w:rPr>
      </w:pPr>
    </w:p>
    <w:p>
      <w:pPr>
        <w:jc w:val="both"/>
        <w:ind w:firstLine="200"/>
        <w:spacing w:after="0" w:line="266" w:lineRule="auto"/>
        <w:rPr>
          <w:sz w:val="20"/>
          <w:szCs w:val="20"/>
          <w:color w:val="auto"/>
        </w:rPr>
      </w:pPr>
      <w:r>
        <w:rPr>
          <w:rFonts w:ascii="Arial" w:cs="Arial" w:eastAsia="Arial" w:hAnsi="Arial"/>
          <w:sz w:val="16"/>
          <w:szCs w:val="16"/>
          <w:i w:val="1"/>
          <w:iCs w:val="1"/>
          <w:color w:val="auto"/>
        </w:rPr>
        <w:t xml:space="preserve">Growth and Other </w:t>
      </w:r>
      <w:r>
        <w:rPr>
          <w:rFonts w:ascii="Arial" w:cs="Arial" w:eastAsia="Arial" w:hAnsi="Arial"/>
          <w:sz w:val="16"/>
          <w:szCs w:val="16"/>
          <w:color w:val="auto"/>
        </w:rPr>
        <w:t>factors comprise all other operational and non-operational factors not covered by the above definitions that may affect volumes attribut</w:t>
      </w:r>
      <w:r>
        <w:rPr>
          <w:rFonts w:ascii="Arial" w:cs="Arial" w:eastAsia="Arial" w:hAnsi="Arial"/>
          <w:sz w:val="16"/>
          <w:szCs w:val="16"/>
          <w:i w:val="1"/>
          <w:iCs w:val="1"/>
          <w:color w:val="auto"/>
        </w:rPr>
        <w:t xml:space="preserve"> </w:t>
      </w:r>
      <w:r>
        <w:rPr>
          <w:rFonts w:ascii="Arial" w:cs="Arial" w:eastAsia="Arial" w:hAnsi="Arial"/>
          <w:sz w:val="16"/>
          <w:szCs w:val="16"/>
          <w:color w:val="auto"/>
        </w:rPr>
        <w:t>ExxonMobil. Such factors include, but are not limited to, production enhancements from project and work program activities, acquisitions including additions fro exchanges, downtime, market demand, natural field decline, and any fiscal or commercial terms that do not affect entitlements.</w:t>
      </w:r>
    </w:p>
    <w:p>
      <w:pPr>
        <w:spacing w:after="0" w:line="1"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Downstream</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460" w:type="dxa"/>
            <w:vAlign w:val="bottom"/>
          </w:tcPr>
          <w:p>
            <w:pPr>
              <w:spacing w:after="0"/>
              <w:rPr>
                <w:sz w:val="14"/>
                <w:szCs w:val="14"/>
                <w:color w:val="auto"/>
              </w:rPr>
            </w:pPr>
          </w:p>
        </w:tc>
        <w:tc>
          <w:tcPr>
            <w:tcW w:w="1100" w:type="dxa"/>
            <w:vAlign w:val="bottom"/>
          </w:tcPr>
          <w:p>
            <w:pPr>
              <w:jc w:val="right"/>
              <w:ind w:right="502"/>
              <w:spacing w:after="0"/>
              <w:rPr>
                <w:sz w:val="20"/>
                <w:szCs w:val="20"/>
                <w:color w:val="auto"/>
              </w:rPr>
            </w:pPr>
            <w:r>
              <w:rPr>
                <w:rFonts w:ascii="Arial" w:cs="Arial" w:eastAsia="Arial" w:hAnsi="Arial"/>
                <w:sz w:val="13"/>
                <w:szCs w:val="13"/>
                <w:b w:val="1"/>
                <w:bCs w:val="1"/>
                <w:color w:val="auto"/>
              </w:rPr>
              <w:t>2014</w:t>
            </w:r>
          </w:p>
        </w:tc>
        <w:tc>
          <w:tcPr>
            <w:tcW w:w="2380" w:type="dxa"/>
            <w:vAlign w:val="bottom"/>
          </w:tcPr>
          <w:p>
            <w:pPr>
              <w:jc w:val="right"/>
              <w:ind w:right="1285"/>
              <w:spacing w:after="0"/>
              <w:rPr>
                <w:sz w:val="20"/>
                <w:szCs w:val="20"/>
                <w:color w:val="auto"/>
              </w:rPr>
            </w:pPr>
            <w:r>
              <w:rPr>
                <w:rFonts w:ascii="Arial" w:cs="Arial" w:eastAsia="Arial" w:hAnsi="Arial"/>
                <w:sz w:val="13"/>
                <w:szCs w:val="13"/>
                <w:b w:val="1"/>
                <w:bCs w:val="1"/>
                <w:color w:val="auto"/>
              </w:rPr>
              <w:t>2013</w:t>
            </w:r>
          </w:p>
        </w:tc>
        <w:tc>
          <w:tcPr>
            <w:tcW w:w="0" w:type="dxa"/>
            <w:vAlign w:val="bottom"/>
          </w:tcPr>
          <w:p>
            <w:pPr>
              <w:spacing w:after="0"/>
              <w:rPr>
                <w:sz w:val="1"/>
                <w:szCs w:val="1"/>
                <w:color w:val="auto"/>
              </w:rPr>
            </w:pPr>
          </w:p>
        </w:tc>
      </w:tr>
      <w:tr>
        <w:trPr>
          <w:trHeight w:val="23"/>
        </w:trPr>
        <w:tc>
          <w:tcPr>
            <w:tcW w:w="7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460" w:type="dxa"/>
            <w:vAlign w:val="bottom"/>
            <w:vMerge w:val="restart"/>
          </w:tcPr>
          <w:p>
            <w:pPr>
              <w:spacing w:after="0"/>
              <w:rPr>
                <w:sz w:val="20"/>
                <w:szCs w:val="20"/>
                <w:color w:val="auto"/>
              </w:rPr>
            </w:pPr>
            <w:r>
              <w:rPr>
                <w:rFonts w:ascii="Arial" w:cs="Arial" w:eastAsia="Arial" w:hAnsi="Arial"/>
                <w:sz w:val="16"/>
                <w:szCs w:val="16"/>
                <w:color w:val="auto"/>
              </w:rPr>
              <w:t>Downstream</w:t>
            </w:r>
          </w:p>
        </w:tc>
        <w:tc>
          <w:tcPr>
            <w:tcW w:w="1100" w:type="dxa"/>
            <w:vAlign w:val="bottom"/>
          </w:tcPr>
          <w:p>
            <w:pPr>
              <w:spacing w:after="0"/>
              <w:rPr>
                <w:sz w:val="17"/>
                <w:szCs w:val="17"/>
                <w:color w:val="auto"/>
              </w:rPr>
            </w:pPr>
          </w:p>
        </w:tc>
        <w:tc>
          <w:tcPr>
            <w:tcW w:w="2380" w:type="dxa"/>
            <w:vAlign w:val="bottom"/>
          </w:tcPr>
          <w:p>
            <w:pPr>
              <w:jc w:val="right"/>
              <w:ind w:right="905"/>
              <w:spacing w:after="0"/>
              <w:rPr>
                <w:sz w:val="20"/>
                <w:szCs w:val="20"/>
                <w:color w:val="auto"/>
              </w:rPr>
            </w:pPr>
            <w:r>
              <w:rPr>
                <w:rFonts w:ascii="Arial" w:cs="Arial" w:eastAsia="Arial" w:hAnsi="Arial"/>
                <w:sz w:val="13"/>
                <w:szCs w:val="13"/>
                <w:i w:val="1"/>
                <w:iCs w:val="1"/>
                <w:color w:val="auto"/>
              </w:rPr>
              <w:t>(millions of dollars)</w:t>
            </w:r>
          </w:p>
        </w:tc>
        <w:tc>
          <w:tcPr>
            <w:tcW w:w="0" w:type="dxa"/>
            <w:vAlign w:val="bottom"/>
          </w:tcPr>
          <w:p>
            <w:pPr>
              <w:spacing w:after="0"/>
              <w:rPr>
                <w:sz w:val="1"/>
                <w:szCs w:val="1"/>
                <w:color w:val="auto"/>
              </w:rPr>
            </w:pPr>
          </w:p>
        </w:tc>
      </w:tr>
      <w:tr>
        <w:trPr>
          <w:trHeight w:val="170"/>
        </w:trPr>
        <w:tc>
          <w:tcPr>
            <w:tcW w:w="74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460" w:type="dxa"/>
            <w:vAlign w:val="bottom"/>
          </w:tcPr>
          <w:p>
            <w:pPr>
              <w:ind w:left="340"/>
              <w:spacing w:after="0"/>
              <w:rPr>
                <w:sz w:val="20"/>
                <w:szCs w:val="20"/>
                <w:color w:val="auto"/>
              </w:rPr>
            </w:pPr>
            <w:r>
              <w:rPr>
                <w:rFonts w:ascii="Arial" w:cs="Arial" w:eastAsia="Arial" w:hAnsi="Arial"/>
                <w:sz w:val="16"/>
                <w:szCs w:val="16"/>
                <w:color w:val="auto"/>
              </w:rPr>
              <w:t>United States</w:t>
            </w:r>
          </w:p>
        </w:tc>
        <w:tc>
          <w:tcPr>
            <w:tcW w:w="1100" w:type="dxa"/>
            <w:vAlign w:val="bottom"/>
          </w:tcPr>
          <w:p>
            <w:pPr>
              <w:jc w:val="right"/>
              <w:ind w:right="282"/>
              <w:spacing w:after="0"/>
              <w:rPr>
                <w:sz w:val="20"/>
                <w:szCs w:val="20"/>
                <w:color w:val="auto"/>
              </w:rPr>
            </w:pPr>
            <w:r>
              <w:rPr>
                <w:rFonts w:ascii="Arial" w:cs="Arial" w:eastAsia="Arial" w:hAnsi="Arial"/>
                <w:sz w:val="16"/>
                <w:szCs w:val="16"/>
                <w:color w:val="auto"/>
              </w:rPr>
              <w:t>1,618</w:t>
            </w:r>
          </w:p>
        </w:tc>
        <w:tc>
          <w:tcPr>
            <w:tcW w:w="2380" w:type="dxa"/>
            <w:vAlign w:val="bottom"/>
          </w:tcPr>
          <w:p>
            <w:pPr>
              <w:jc w:val="right"/>
              <w:ind w:right="1065"/>
              <w:spacing w:after="0"/>
              <w:rPr>
                <w:sz w:val="20"/>
                <w:szCs w:val="20"/>
                <w:color w:val="auto"/>
              </w:rPr>
            </w:pPr>
            <w:r>
              <w:rPr>
                <w:rFonts w:ascii="Arial" w:cs="Arial" w:eastAsia="Arial" w:hAnsi="Arial"/>
                <w:sz w:val="16"/>
                <w:szCs w:val="16"/>
                <w:color w:val="auto"/>
              </w:rPr>
              <w:t>2,199</w:t>
            </w:r>
          </w:p>
        </w:tc>
        <w:tc>
          <w:tcPr>
            <w:tcW w:w="0" w:type="dxa"/>
            <w:vAlign w:val="bottom"/>
          </w:tcPr>
          <w:p>
            <w:pPr>
              <w:spacing w:after="0"/>
              <w:rPr>
                <w:sz w:val="1"/>
                <w:szCs w:val="1"/>
                <w:color w:val="auto"/>
              </w:rPr>
            </w:pPr>
          </w:p>
        </w:tc>
      </w:tr>
      <w:tr>
        <w:trPr>
          <w:trHeight w:val="208"/>
        </w:trPr>
        <w:tc>
          <w:tcPr>
            <w:tcW w:w="7460" w:type="dxa"/>
            <w:vAlign w:val="bottom"/>
          </w:tcPr>
          <w:p>
            <w:pPr>
              <w:ind w:left="340"/>
              <w:spacing w:after="0"/>
              <w:rPr>
                <w:sz w:val="20"/>
                <w:szCs w:val="20"/>
                <w:color w:val="auto"/>
              </w:rPr>
            </w:pPr>
            <w:r>
              <w:rPr>
                <w:rFonts w:ascii="Arial" w:cs="Arial" w:eastAsia="Arial" w:hAnsi="Arial"/>
                <w:sz w:val="16"/>
                <w:szCs w:val="16"/>
                <w:color w:val="auto"/>
              </w:rPr>
              <w:t>Non-U.S.</w:t>
            </w:r>
          </w:p>
        </w:tc>
        <w:tc>
          <w:tcPr>
            <w:tcW w:w="11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1,427</w:t>
            </w:r>
          </w:p>
        </w:tc>
        <w:tc>
          <w:tcPr>
            <w:tcW w:w="2380" w:type="dxa"/>
            <w:vAlign w:val="bottom"/>
            <w:tcBorders>
              <w:bottom w:val="single" w:sz="8" w:color="auto"/>
            </w:tcBorders>
          </w:tcPr>
          <w:p>
            <w:pPr>
              <w:jc w:val="right"/>
              <w:ind w:right="1065"/>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189"/>
        </w:trPr>
        <w:tc>
          <w:tcPr>
            <w:tcW w:w="7460" w:type="dxa"/>
            <w:vAlign w:val="bottom"/>
          </w:tcPr>
          <w:p>
            <w:pPr>
              <w:ind w:left="700"/>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3,045</w:t>
            </w:r>
          </w:p>
        </w:tc>
        <w:tc>
          <w:tcPr>
            <w:tcW w:w="2380" w:type="dxa"/>
            <w:vAlign w:val="bottom"/>
            <w:tcBorders>
              <w:bottom w:val="single" w:sz="8" w:color="auto"/>
            </w:tcBorders>
          </w:tcPr>
          <w:p>
            <w:pPr>
              <w:jc w:val="right"/>
              <w:ind w:right="1065"/>
              <w:spacing w:after="0"/>
              <w:rPr>
                <w:sz w:val="20"/>
                <w:szCs w:val="20"/>
                <w:color w:val="auto"/>
              </w:rPr>
            </w:pPr>
            <w:r>
              <w:rPr>
                <w:rFonts w:ascii="Arial" w:cs="Arial" w:eastAsia="Arial" w:hAnsi="Arial"/>
                <w:sz w:val="16"/>
                <w:szCs w:val="16"/>
                <w:color w:val="auto"/>
              </w:rPr>
              <w:t>3,449</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2014</w:t>
      </w:r>
    </w:p>
    <w:p>
      <w:pPr>
        <w:spacing w:after="0" w:line="9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Downstream earnings of $3,045 million decreased $404 million from 2013. Lower margins decreased earnings by $230 million. Volume and mix effects increased earn $480 million. All other items, primarily unfavorable foreign exchange and tax impacts, partially offset by lower expenses, decreased earnings by $650 million. Pe product sales of 5.9 million barrels per day were in line with 2013. U.S. Downstream earnings were $1,618 million, a decrease of $581 million from 2013. N Downstream earnings were $1,427 million, up $177 million from the prior year.</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2013</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Downstream earnings of $3,449 million decreased $9,741 million from 2012 driven by the absence of the $5.3 billion gain associated with the Japan restructuring. margins, mainly refining, decreased earnings by $2.9 billion. Volume and mix effects decreased earnings by $310 million. All other items, including higher op expenses, unfavorable foreign exchange impacts, and lower divestments, decreased earnings by $1.2 billion. Petroleum product sales of 5.9 million barrels per day de 287,000 barrels per day from 2012. U.S. Downstream earnings were $2,199 million, down $1,376 million from 2012. Non-U.S. Downstream earnings were $1,250 m decrease of $8,365 million from the prior year.</w:t>
      </w:r>
    </w:p>
    <w:p>
      <w:pPr>
        <w:spacing w:after="0" w:line="217"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Chemical</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460" w:type="dxa"/>
            <w:vAlign w:val="bottom"/>
          </w:tcPr>
          <w:p>
            <w:pPr>
              <w:spacing w:after="0"/>
              <w:rPr>
                <w:sz w:val="14"/>
                <w:szCs w:val="14"/>
                <w:color w:val="auto"/>
              </w:rPr>
            </w:pPr>
          </w:p>
        </w:tc>
        <w:tc>
          <w:tcPr>
            <w:tcW w:w="1100" w:type="dxa"/>
            <w:vAlign w:val="bottom"/>
          </w:tcPr>
          <w:p>
            <w:pPr>
              <w:jc w:val="right"/>
              <w:ind w:right="502"/>
              <w:spacing w:after="0"/>
              <w:rPr>
                <w:sz w:val="20"/>
                <w:szCs w:val="20"/>
                <w:color w:val="auto"/>
              </w:rPr>
            </w:pPr>
            <w:r>
              <w:rPr>
                <w:rFonts w:ascii="Arial" w:cs="Arial" w:eastAsia="Arial" w:hAnsi="Arial"/>
                <w:sz w:val="13"/>
                <w:szCs w:val="13"/>
                <w:b w:val="1"/>
                <w:bCs w:val="1"/>
                <w:color w:val="auto"/>
              </w:rPr>
              <w:t>2014</w:t>
            </w:r>
          </w:p>
        </w:tc>
        <w:tc>
          <w:tcPr>
            <w:tcW w:w="2380" w:type="dxa"/>
            <w:vAlign w:val="bottom"/>
          </w:tcPr>
          <w:p>
            <w:pPr>
              <w:jc w:val="right"/>
              <w:ind w:right="1285"/>
              <w:spacing w:after="0"/>
              <w:rPr>
                <w:sz w:val="20"/>
                <w:szCs w:val="20"/>
                <w:color w:val="auto"/>
              </w:rPr>
            </w:pPr>
            <w:r>
              <w:rPr>
                <w:rFonts w:ascii="Arial" w:cs="Arial" w:eastAsia="Arial" w:hAnsi="Arial"/>
                <w:sz w:val="13"/>
                <w:szCs w:val="13"/>
                <w:b w:val="1"/>
                <w:bCs w:val="1"/>
                <w:color w:val="auto"/>
              </w:rPr>
              <w:t>2013</w:t>
            </w:r>
          </w:p>
        </w:tc>
        <w:tc>
          <w:tcPr>
            <w:tcW w:w="0" w:type="dxa"/>
            <w:vAlign w:val="bottom"/>
          </w:tcPr>
          <w:p>
            <w:pPr>
              <w:spacing w:after="0"/>
              <w:rPr>
                <w:sz w:val="1"/>
                <w:szCs w:val="1"/>
                <w:color w:val="auto"/>
              </w:rPr>
            </w:pPr>
          </w:p>
        </w:tc>
      </w:tr>
      <w:tr>
        <w:trPr>
          <w:trHeight w:val="23"/>
        </w:trPr>
        <w:tc>
          <w:tcPr>
            <w:tcW w:w="7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460" w:type="dxa"/>
            <w:vAlign w:val="bottom"/>
            <w:vMerge w:val="restart"/>
          </w:tcPr>
          <w:p>
            <w:pPr>
              <w:spacing w:after="0"/>
              <w:rPr>
                <w:sz w:val="20"/>
                <w:szCs w:val="20"/>
                <w:color w:val="auto"/>
              </w:rPr>
            </w:pPr>
            <w:r>
              <w:rPr>
                <w:rFonts w:ascii="Arial" w:cs="Arial" w:eastAsia="Arial" w:hAnsi="Arial"/>
                <w:sz w:val="16"/>
                <w:szCs w:val="16"/>
                <w:color w:val="auto"/>
              </w:rPr>
              <w:t>Chemical</w:t>
            </w:r>
          </w:p>
        </w:tc>
        <w:tc>
          <w:tcPr>
            <w:tcW w:w="1100" w:type="dxa"/>
            <w:vAlign w:val="bottom"/>
          </w:tcPr>
          <w:p>
            <w:pPr>
              <w:spacing w:after="0"/>
              <w:rPr>
                <w:sz w:val="17"/>
                <w:szCs w:val="17"/>
                <w:color w:val="auto"/>
              </w:rPr>
            </w:pPr>
          </w:p>
        </w:tc>
        <w:tc>
          <w:tcPr>
            <w:tcW w:w="2380" w:type="dxa"/>
            <w:vAlign w:val="bottom"/>
          </w:tcPr>
          <w:p>
            <w:pPr>
              <w:jc w:val="right"/>
              <w:ind w:right="905"/>
              <w:spacing w:after="0"/>
              <w:rPr>
                <w:sz w:val="20"/>
                <w:szCs w:val="20"/>
                <w:color w:val="auto"/>
              </w:rPr>
            </w:pPr>
            <w:r>
              <w:rPr>
                <w:rFonts w:ascii="Arial" w:cs="Arial" w:eastAsia="Arial" w:hAnsi="Arial"/>
                <w:sz w:val="13"/>
                <w:szCs w:val="13"/>
                <w:i w:val="1"/>
                <w:iCs w:val="1"/>
                <w:color w:val="auto"/>
              </w:rPr>
              <w:t>(millions of dollars)</w:t>
            </w:r>
          </w:p>
        </w:tc>
        <w:tc>
          <w:tcPr>
            <w:tcW w:w="0" w:type="dxa"/>
            <w:vAlign w:val="bottom"/>
          </w:tcPr>
          <w:p>
            <w:pPr>
              <w:spacing w:after="0"/>
              <w:rPr>
                <w:sz w:val="1"/>
                <w:szCs w:val="1"/>
                <w:color w:val="auto"/>
              </w:rPr>
            </w:pPr>
          </w:p>
        </w:tc>
      </w:tr>
      <w:tr>
        <w:trPr>
          <w:trHeight w:val="170"/>
        </w:trPr>
        <w:tc>
          <w:tcPr>
            <w:tcW w:w="74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460" w:type="dxa"/>
            <w:vAlign w:val="bottom"/>
          </w:tcPr>
          <w:p>
            <w:pPr>
              <w:ind w:left="340"/>
              <w:spacing w:after="0"/>
              <w:rPr>
                <w:sz w:val="20"/>
                <w:szCs w:val="20"/>
                <w:color w:val="auto"/>
              </w:rPr>
            </w:pPr>
            <w:r>
              <w:rPr>
                <w:rFonts w:ascii="Arial" w:cs="Arial" w:eastAsia="Arial" w:hAnsi="Arial"/>
                <w:sz w:val="16"/>
                <w:szCs w:val="16"/>
                <w:color w:val="auto"/>
              </w:rPr>
              <w:t>United States</w:t>
            </w:r>
          </w:p>
        </w:tc>
        <w:tc>
          <w:tcPr>
            <w:tcW w:w="1100" w:type="dxa"/>
            <w:vAlign w:val="bottom"/>
          </w:tcPr>
          <w:p>
            <w:pPr>
              <w:jc w:val="right"/>
              <w:ind w:right="282"/>
              <w:spacing w:after="0"/>
              <w:rPr>
                <w:sz w:val="20"/>
                <w:szCs w:val="20"/>
                <w:color w:val="auto"/>
              </w:rPr>
            </w:pPr>
            <w:r>
              <w:rPr>
                <w:rFonts w:ascii="Arial" w:cs="Arial" w:eastAsia="Arial" w:hAnsi="Arial"/>
                <w:sz w:val="16"/>
                <w:szCs w:val="16"/>
                <w:color w:val="auto"/>
              </w:rPr>
              <w:t>2,804</w:t>
            </w:r>
          </w:p>
        </w:tc>
        <w:tc>
          <w:tcPr>
            <w:tcW w:w="2380" w:type="dxa"/>
            <w:vAlign w:val="bottom"/>
          </w:tcPr>
          <w:p>
            <w:pPr>
              <w:jc w:val="right"/>
              <w:ind w:right="1065"/>
              <w:spacing w:after="0"/>
              <w:rPr>
                <w:sz w:val="20"/>
                <w:szCs w:val="20"/>
                <w:color w:val="auto"/>
              </w:rPr>
            </w:pPr>
            <w:r>
              <w:rPr>
                <w:rFonts w:ascii="Arial" w:cs="Arial" w:eastAsia="Arial" w:hAnsi="Arial"/>
                <w:sz w:val="16"/>
                <w:szCs w:val="16"/>
                <w:color w:val="auto"/>
              </w:rPr>
              <w:t>2,755</w:t>
            </w:r>
          </w:p>
        </w:tc>
        <w:tc>
          <w:tcPr>
            <w:tcW w:w="0" w:type="dxa"/>
            <w:vAlign w:val="bottom"/>
          </w:tcPr>
          <w:p>
            <w:pPr>
              <w:spacing w:after="0"/>
              <w:rPr>
                <w:sz w:val="1"/>
                <w:szCs w:val="1"/>
                <w:color w:val="auto"/>
              </w:rPr>
            </w:pPr>
          </w:p>
        </w:tc>
      </w:tr>
      <w:tr>
        <w:trPr>
          <w:trHeight w:val="208"/>
        </w:trPr>
        <w:tc>
          <w:tcPr>
            <w:tcW w:w="7460" w:type="dxa"/>
            <w:vAlign w:val="bottom"/>
          </w:tcPr>
          <w:p>
            <w:pPr>
              <w:ind w:left="340"/>
              <w:spacing w:after="0"/>
              <w:rPr>
                <w:sz w:val="20"/>
                <w:szCs w:val="20"/>
                <w:color w:val="auto"/>
              </w:rPr>
            </w:pPr>
            <w:r>
              <w:rPr>
                <w:rFonts w:ascii="Arial" w:cs="Arial" w:eastAsia="Arial" w:hAnsi="Arial"/>
                <w:sz w:val="16"/>
                <w:szCs w:val="16"/>
                <w:color w:val="auto"/>
              </w:rPr>
              <w:t>Non-U.S.</w:t>
            </w:r>
          </w:p>
        </w:tc>
        <w:tc>
          <w:tcPr>
            <w:tcW w:w="11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1,511</w:t>
            </w:r>
          </w:p>
        </w:tc>
        <w:tc>
          <w:tcPr>
            <w:tcW w:w="2380" w:type="dxa"/>
            <w:vAlign w:val="bottom"/>
            <w:tcBorders>
              <w:bottom w:val="single" w:sz="8" w:color="auto"/>
            </w:tcBorders>
          </w:tcPr>
          <w:p>
            <w:pPr>
              <w:jc w:val="right"/>
              <w:ind w:right="1065"/>
              <w:spacing w:after="0"/>
              <w:rPr>
                <w:sz w:val="20"/>
                <w:szCs w:val="20"/>
                <w:color w:val="auto"/>
              </w:rPr>
            </w:pPr>
            <w:r>
              <w:rPr>
                <w:rFonts w:ascii="Arial" w:cs="Arial" w:eastAsia="Arial" w:hAnsi="Arial"/>
                <w:sz w:val="16"/>
                <w:szCs w:val="16"/>
                <w:color w:val="auto"/>
              </w:rPr>
              <w:t>1,073</w:t>
            </w:r>
          </w:p>
        </w:tc>
        <w:tc>
          <w:tcPr>
            <w:tcW w:w="0" w:type="dxa"/>
            <w:vAlign w:val="bottom"/>
          </w:tcPr>
          <w:p>
            <w:pPr>
              <w:spacing w:after="0"/>
              <w:rPr>
                <w:sz w:val="1"/>
                <w:szCs w:val="1"/>
                <w:color w:val="auto"/>
              </w:rPr>
            </w:pPr>
          </w:p>
        </w:tc>
      </w:tr>
      <w:tr>
        <w:trPr>
          <w:trHeight w:val="189"/>
        </w:trPr>
        <w:tc>
          <w:tcPr>
            <w:tcW w:w="7460" w:type="dxa"/>
            <w:vAlign w:val="bottom"/>
          </w:tcPr>
          <w:p>
            <w:pPr>
              <w:ind w:left="700"/>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4,315</w:t>
            </w:r>
          </w:p>
        </w:tc>
        <w:tc>
          <w:tcPr>
            <w:tcW w:w="2380" w:type="dxa"/>
            <w:vAlign w:val="bottom"/>
            <w:tcBorders>
              <w:bottom w:val="single" w:sz="8" w:color="auto"/>
            </w:tcBorders>
          </w:tcPr>
          <w:p>
            <w:pPr>
              <w:jc w:val="right"/>
              <w:ind w:right="1065"/>
              <w:spacing w:after="0"/>
              <w:rPr>
                <w:sz w:val="20"/>
                <w:szCs w:val="20"/>
                <w:color w:val="auto"/>
              </w:rPr>
            </w:pPr>
            <w:r>
              <w:rPr>
                <w:rFonts w:ascii="Arial" w:cs="Arial" w:eastAsia="Arial" w:hAnsi="Arial"/>
                <w:sz w:val="16"/>
                <w:szCs w:val="16"/>
                <w:color w:val="auto"/>
              </w:rPr>
              <w:t>3,828</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2014</w:t>
      </w:r>
    </w:p>
    <w:p>
      <w:pPr>
        <w:spacing w:after="0" w:line="90" w:lineRule="exact"/>
        <w:rPr>
          <w:sz w:val="20"/>
          <w:szCs w:val="20"/>
          <w:color w:val="auto"/>
        </w:rPr>
      </w:pPr>
    </w:p>
    <w:p>
      <w:pPr>
        <w:jc w:val="both"/>
        <w:spacing w:after="0" w:line="199" w:lineRule="exact"/>
        <w:rPr>
          <w:sz w:val="20"/>
          <w:szCs w:val="20"/>
          <w:color w:val="auto"/>
        </w:rPr>
      </w:pPr>
      <w:r>
        <w:rPr>
          <w:rFonts w:ascii="Arial" w:cs="Arial" w:eastAsia="Arial" w:hAnsi="Arial"/>
          <w:sz w:val="16"/>
          <w:szCs w:val="16"/>
          <w:color w:val="auto"/>
        </w:rPr>
        <w:t>Chemical earnings of $4,315 million increased $487 million from 2013. Higher commodity</w:t>
      </w:r>
      <w:r>
        <w:rPr>
          <w:rFonts w:ascii="MS PGothic" w:cs="MS PGothic" w:eastAsia="MS PGothic" w:hAnsi="MS PGothic"/>
          <w:sz w:val="16"/>
          <w:szCs w:val="16"/>
          <w:color w:val="auto"/>
        </w:rPr>
        <w:t>‑</w:t>
      </w:r>
      <w:r>
        <w:rPr>
          <w:rFonts w:ascii="Arial" w:cs="Arial" w:eastAsia="Arial" w:hAnsi="Arial"/>
          <w:sz w:val="16"/>
          <w:szCs w:val="16"/>
          <w:color w:val="auto"/>
        </w:rPr>
        <w:t>driven margins increased earnings by $520 million, while volume and mix increased earnings by $100 million. All other items, primarily higher planned expenses, decreased earnings by $130 million. Prime product sales of 24.2 million met were up 172,000 tons from 2013, driven by increased Singapore production. U.S. Chemical earnings were $2,804 million, up $49 million from 2013. Non</w:t>
      </w:r>
      <w:r>
        <w:rPr>
          <w:rFonts w:ascii="MS PGothic" w:cs="MS PGothic" w:eastAsia="MS PGothic" w:hAnsi="MS PGothic"/>
          <w:sz w:val="16"/>
          <w:szCs w:val="16"/>
          <w:color w:val="auto"/>
        </w:rPr>
        <w:t>‑</w:t>
      </w:r>
      <w:r>
        <w:rPr>
          <w:rFonts w:ascii="Arial" w:cs="Arial" w:eastAsia="Arial" w:hAnsi="Arial"/>
          <w:sz w:val="16"/>
          <w:szCs w:val="16"/>
          <w:color w:val="auto"/>
        </w:rPr>
        <w:t>U.S. C earnings were $1,511 million, $438 million higher than the prior year.</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2013</w:t>
      </w:r>
    </w:p>
    <w:p>
      <w:pPr>
        <w:spacing w:after="0" w:line="90" w:lineRule="exact"/>
        <w:rPr>
          <w:sz w:val="20"/>
          <w:szCs w:val="20"/>
          <w:color w:val="auto"/>
        </w:rPr>
      </w:pPr>
    </w:p>
    <w:p>
      <w:pPr>
        <w:jc w:val="both"/>
        <w:spacing w:after="0" w:line="199" w:lineRule="exact"/>
        <w:rPr>
          <w:sz w:val="20"/>
          <w:szCs w:val="20"/>
          <w:color w:val="auto"/>
        </w:rPr>
      </w:pPr>
      <w:r>
        <w:rPr>
          <w:rFonts w:ascii="Arial" w:cs="Arial" w:eastAsia="Arial" w:hAnsi="Arial"/>
          <w:sz w:val="16"/>
          <w:szCs w:val="16"/>
          <w:color w:val="auto"/>
        </w:rPr>
        <w:t>Chemical earnings of $3,828 million were $70 million lower than 2012. The absence of the gain associated with the Japan restructuring decreased earnings by $630 Higher margins increased earnings by $480 million, while volume and mix effects increased earnings by $80 million. Prime product sales of 24.1 million metric to down 94,000 tons from 2012. U.S. Chemical earnings were $2,755 million, up $535 million from 2012. Non</w:t>
      </w:r>
      <w:r>
        <w:rPr>
          <w:rFonts w:ascii="MS PGothic" w:cs="MS PGothic" w:eastAsia="MS PGothic" w:hAnsi="MS PGothic"/>
          <w:sz w:val="16"/>
          <w:szCs w:val="16"/>
          <w:color w:val="auto"/>
        </w:rPr>
        <w:t>‑</w:t>
      </w:r>
      <w:r>
        <w:rPr>
          <w:rFonts w:ascii="Arial" w:cs="Arial" w:eastAsia="Arial" w:hAnsi="Arial"/>
          <w:sz w:val="16"/>
          <w:szCs w:val="16"/>
          <w:color w:val="auto"/>
        </w:rPr>
        <w:t>U.S. Chemical earnings were $1,073 million, $605 millio than the prior year.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and Financing</w:t>
      </w:r>
    </w:p>
    <w:p>
      <w:pPr>
        <w:spacing w:after="0" w:line="33" w:lineRule="exact"/>
        <w:rPr>
          <w:sz w:val="20"/>
          <w:szCs w:val="20"/>
          <w:color w:val="auto"/>
        </w:rPr>
      </w:pPr>
    </w:p>
    <w:p>
      <w:pPr>
        <w:ind w:left="7720"/>
        <w:spacing w:after="0"/>
        <w:tabs>
          <w:tab w:leader="none" w:pos="9300" w:val="left"/>
        </w:tabs>
        <w:rPr>
          <w:sz w:val="20"/>
          <w:szCs w:val="20"/>
          <w:color w:val="auto"/>
        </w:rPr>
      </w:pPr>
      <w:r>
        <w:rPr>
          <w:rFonts w:ascii="Arial" w:cs="Arial" w:eastAsia="Arial" w:hAnsi="Arial"/>
          <w:sz w:val="13"/>
          <w:szCs w:val="13"/>
          <w:b w:val="1"/>
          <w:bCs w:val="1"/>
          <w:color w:val="auto"/>
        </w:rPr>
        <w:t>2014</w:t>
      </w:r>
      <w:r>
        <w:rPr>
          <w:sz w:val="20"/>
          <w:szCs w:val="20"/>
          <w:color w:val="auto"/>
        </w:rPr>
        <w:tab/>
      </w:r>
      <w:r>
        <w:rPr>
          <w:rFonts w:ascii="Arial" w:cs="Arial" w:eastAsia="Arial" w:hAnsi="Arial"/>
          <w:sz w:val="13"/>
          <w:szCs w:val="13"/>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26670</wp:posOffset>
            </wp:positionV>
            <wp:extent cx="694309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43090" cy="7620"/>
                    </a:xfrm>
                    <a:prstGeom prst="rect">
                      <a:avLst/>
                    </a:prstGeom>
                    <a:noFill/>
                  </pic:spPr>
                </pic:pic>
              </a:graphicData>
            </a:graphic>
          </wp:anchor>
        </w:drawing>
      </w:r>
    </w:p>
    <w:p>
      <w:pPr>
        <w:spacing w:after="0" w:line="80" w:lineRule="exact"/>
        <w:rPr>
          <w:sz w:val="20"/>
          <w:szCs w:val="20"/>
          <w:color w:val="auto"/>
        </w:rPr>
      </w:pPr>
    </w:p>
    <w:p>
      <w:pPr>
        <w:ind w:left="8920"/>
        <w:spacing w:after="0"/>
        <w:rPr>
          <w:sz w:val="20"/>
          <w:szCs w:val="20"/>
          <w:color w:val="auto"/>
        </w:rPr>
      </w:pPr>
      <w:r>
        <w:rPr>
          <w:rFonts w:ascii="Arial" w:cs="Arial" w:eastAsia="Arial" w:hAnsi="Arial"/>
          <w:sz w:val="13"/>
          <w:szCs w:val="13"/>
          <w:i w:val="1"/>
          <w:iCs w:val="1"/>
          <w:color w:val="auto"/>
        </w:rPr>
        <w:t>(millions of dollars)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80" w:type="dxa"/>
            <w:vAlign w:val="bottom"/>
          </w:tcPr>
          <w:p>
            <w:pPr>
              <w:spacing w:after="0"/>
              <w:rPr>
                <w:sz w:val="20"/>
                <w:szCs w:val="20"/>
                <w:color w:val="auto"/>
              </w:rPr>
            </w:pPr>
            <w:r>
              <w:rPr>
                <w:rFonts w:ascii="Arial" w:cs="Arial" w:eastAsia="Arial" w:hAnsi="Arial"/>
                <w:sz w:val="16"/>
                <w:szCs w:val="16"/>
                <w:color w:val="auto"/>
              </w:rPr>
              <w:t>Corporate and financing</w:t>
            </w:r>
          </w:p>
        </w:tc>
        <w:tc>
          <w:tcPr>
            <w:tcW w:w="4140" w:type="dxa"/>
            <w:vAlign w:val="bottom"/>
          </w:tcPr>
          <w:p>
            <w:pPr>
              <w:jc w:val="right"/>
              <w:ind w:right="478"/>
              <w:spacing w:after="0"/>
              <w:rPr>
                <w:sz w:val="20"/>
                <w:szCs w:val="20"/>
                <w:color w:val="auto"/>
              </w:rPr>
            </w:pPr>
            <w:r>
              <w:rPr>
                <w:rFonts w:ascii="Arial" w:cs="Arial" w:eastAsia="Arial" w:hAnsi="Arial"/>
                <w:sz w:val="16"/>
                <w:szCs w:val="16"/>
                <w:color w:val="auto"/>
              </w:rPr>
              <w:t>(2,388)</w:t>
            </w:r>
          </w:p>
        </w:tc>
        <w:tc>
          <w:tcPr>
            <w:tcW w:w="1020" w:type="dxa"/>
            <w:vAlign w:val="bottom"/>
          </w:tcPr>
          <w:p>
            <w:pPr>
              <w:jc w:val="right"/>
              <w:spacing w:after="0"/>
              <w:rPr>
                <w:sz w:val="20"/>
                <w:szCs w:val="20"/>
                <w:color w:val="auto"/>
              </w:rPr>
            </w:pPr>
            <w:r>
              <w:rPr>
                <w:rFonts w:ascii="Arial" w:cs="Arial" w:eastAsia="Arial" w:hAnsi="Arial"/>
                <w:sz w:val="16"/>
                <w:szCs w:val="16"/>
                <w:color w:val="auto"/>
              </w:rPr>
              <w:t>(1,538)</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2014</w:t>
      </w:r>
    </w:p>
    <w:p>
      <w:pPr>
        <w:spacing w:after="0" w:line="90"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Corporate and financing expenses were $2,388 million in 2014, up $850 million from 2013 due primarily to tax</w:t>
      </w:r>
      <w:r>
        <w:rPr>
          <w:rFonts w:ascii="MS PGothic" w:cs="MS PGothic" w:eastAsia="MS PGothic" w:hAnsi="MS PGothic"/>
          <w:sz w:val="16"/>
          <w:szCs w:val="16"/>
          <w:color w:val="auto"/>
        </w:rPr>
        <w:t>‑</w:t>
      </w:r>
      <w:r>
        <w:rPr>
          <w:rFonts w:ascii="Arial" w:cs="Arial" w:eastAsia="Arial" w:hAnsi="Arial"/>
          <w:sz w:val="16"/>
          <w:szCs w:val="16"/>
          <w:color w:val="auto"/>
        </w:rPr>
        <w:t>related items.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2013</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Corporate and financing expenses were $1,538 million, down $565 million from 2012, as favorable tax impacts were partially offset by the absence of the Japan restru gain.</w:t>
      </w:r>
    </w:p>
    <w:p>
      <w:pPr>
        <w:spacing w:after="0" w:line="272"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Sources and Uses of Cash</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100" w:type="dxa"/>
            <w:vAlign w:val="bottom"/>
          </w:tcPr>
          <w:p>
            <w:pPr>
              <w:spacing w:after="0"/>
              <w:rPr>
                <w:sz w:val="14"/>
                <w:szCs w:val="14"/>
                <w:color w:val="auto"/>
              </w:rPr>
            </w:pPr>
          </w:p>
        </w:tc>
        <w:tc>
          <w:tcPr>
            <w:tcW w:w="1280" w:type="dxa"/>
            <w:vAlign w:val="bottom"/>
          </w:tcPr>
          <w:p>
            <w:pPr>
              <w:jc w:val="right"/>
              <w:ind w:right="600"/>
              <w:spacing w:after="0"/>
              <w:rPr>
                <w:sz w:val="20"/>
                <w:szCs w:val="20"/>
                <w:color w:val="auto"/>
              </w:rPr>
            </w:pPr>
            <w:r>
              <w:rPr>
                <w:rFonts w:ascii="Arial" w:cs="Arial" w:eastAsia="Arial" w:hAnsi="Arial"/>
                <w:sz w:val="13"/>
                <w:szCs w:val="13"/>
                <w:b w:val="1"/>
                <w:bCs w:val="1"/>
                <w:color w:val="auto"/>
              </w:rPr>
              <w:t>2014</w:t>
            </w:r>
          </w:p>
        </w:tc>
        <w:tc>
          <w:tcPr>
            <w:tcW w:w="1940" w:type="dxa"/>
            <w:vAlign w:val="bottom"/>
          </w:tcPr>
          <w:p>
            <w:pPr>
              <w:jc w:val="center"/>
              <w:ind w:right="43"/>
              <w:spacing w:after="0"/>
              <w:rPr>
                <w:sz w:val="20"/>
                <w:szCs w:val="20"/>
                <w:color w:val="auto"/>
              </w:rPr>
            </w:pPr>
            <w:r>
              <w:rPr>
                <w:rFonts w:ascii="Arial" w:cs="Arial" w:eastAsia="Arial" w:hAnsi="Arial"/>
                <w:sz w:val="13"/>
                <w:szCs w:val="13"/>
                <w:b w:val="1"/>
                <w:bCs w:val="1"/>
                <w:color w:val="auto"/>
                <w:w w:val="89"/>
              </w:rPr>
              <w:t>2013</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2</w:t>
            </w:r>
          </w:p>
        </w:tc>
        <w:tc>
          <w:tcPr>
            <w:tcW w:w="0" w:type="dxa"/>
            <w:vAlign w:val="bottom"/>
          </w:tcPr>
          <w:p>
            <w:pPr>
              <w:spacing w:after="0"/>
              <w:rPr>
                <w:sz w:val="1"/>
                <w:szCs w:val="1"/>
                <w:color w:val="auto"/>
              </w:rPr>
            </w:pPr>
          </w:p>
        </w:tc>
      </w:tr>
      <w:tr>
        <w:trPr>
          <w:trHeight w:val="23"/>
        </w:trPr>
        <w:tc>
          <w:tcPr>
            <w:tcW w:w="7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100" w:type="dxa"/>
            <w:vAlign w:val="bottom"/>
            <w:vMerge w:val="restart"/>
          </w:tcPr>
          <w:p>
            <w:pPr>
              <w:spacing w:after="0"/>
              <w:rPr>
                <w:sz w:val="20"/>
                <w:szCs w:val="20"/>
                <w:color w:val="auto"/>
              </w:rPr>
            </w:pPr>
            <w:r>
              <w:rPr>
                <w:rFonts w:ascii="Arial" w:cs="Arial" w:eastAsia="Arial" w:hAnsi="Arial"/>
                <w:sz w:val="16"/>
                <w:szCs w:val="16"/>
                <w:color w:val="auto"/>
              </w:rPr>
              <w:t>Net cash provided by/(used in)</w:t>
            </w:r>
          </w:p>
        </w:tc>
        <w:tc>
          <w:tcPr>
            <w:tcW w:w="1280" w:type="dxa"/>
            <w:vAlign w:val="bottom"/>
          </w:tcPr>
          <w:p>
            <w:pPr>
              <w:spacing w:after="0"/>
              <w:rPr>
                <w:sz w:val="17"/>
                <w:szCs w:val="17"/>
                <w:color w:val="auto"/>
              </w:rPr>
            </w:pPr>
          </w:p>
        </w:tc>
        <w:tc>
          <w:tcPr>
            <w:tcW w:w="1940" w:type="dxa"/>
            <w:vAlign w:val="bottom"/>
          </w:tcPr>
          <w:p>
            <w:pPr>
              <w:jc w:val="center"/>
              <w:ind w:right="83"/>
              <w:spacing w:after="0"/>
              <w:rPr>
                <w:sz w:val="20"/>
                <w:szCs w:val="20"/>
                <w:color w:val="auto"/>
              </w:rPr>
            </w:pPr>
            <w:r>
              <w:rPr>
                <w:rFonts w:ascii="Arial" w:cs="Arial" w:eastAsia="Arial" w:hAnsi="Arial"/>
                <w:sz w:val="13"/>
                <w:szCs w:val="13"/>
                <w:i w:val="1"/>
                <w:iCs w:val="1"/>
                <w:color w:val="auto"/>
                <w:w w:val="97"/>
              </w:rPr>
              <w:t>(millions of dollars)</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71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100" w:type="dxa"/>
            <w:vAlign w:val="bottom"/>
          </w:tcPr>
          <w:p>
            <w:pPr>
              <w:ind w:left="340"/>
              <w:spacing w:after="0"/>
              <w:rPr>
                <w:sz w:val="20"/>
                <w:szCs w:val="20"/>
                <w:color w:val="auto"/>
              </w:rPr>
            </w:pPr>
            <w:r>
              <w:rPr>
                <w:rFonts w:ascii="Arial" w:cs="Arial" w:eastAsia="Arial" w:hAnsi="Arial"/>
                <w:sz w:val="16"/>
                <w:szCs w:val="16"/>
                <w:color w:val="auto"/>
              </w:rPr>
              <w:t>Operating activities</w:t>
            </w:r>
          </w:p>
        </w:tc>
        <w:tc>
          <w:tcPr>
            <w:tcW w:w="1280" w:type="dxa"/>
            <w:vAlign w:val="bottom"/>
          </w:tcPr>
          <w:p>
            <w:pPr>
              <w:jc w:val="right"/>
              <w:ind w:right="320"/>
              <w:spacing w:after="0"/>
              <w:rPr>
                <w:sz w:val="20"/>
                <w:szCs w:val="20"/>
                <w:color w:val="auto"/>
              </w:rPr>
            </w:pPr>
            <w:r>
              <w:rPr>
                <w:rFonts w:ascii="Arial" w:cs="Arial" w:eastAsia="Arial" w:hAnsi="Arial"/>
                <w:sz w:val="16"/>
                <w:szCs w:val="16"/>
                <w:color w:val="auto"/>
              </w:rPr>
              <w:t>45,116</w:t>
            </w:r>
          </w:p>
        </w:tc>
        <w:tc>
          <w:tcPr>
            <w:tcW w:w="1940" w:type="dxa"/>
            <w:vAlign w:val="bottom"/>
          </w:tcPr>
          <w:p>
            <w:pPr>
              <w:jc w:val="right"/>
              <w:ind w:right="563"/>
              <w:spacing w:after="0"/>
              <w:rPr>
                <w:sz w:val="20"/>
                <w:szCs w:val="20"/>
                <w:color w:val="auto"/>
              </w:rPr>
            </w:pPr>
            <w:r>
              <w:rPr>
                <w:rFonts w:ascii="Arial" w:cs="Arial" w:eastAsia="Arial" w:hAnsi="Arial"/>
                <w:sz w:val="16"/>
                <w:szCs w:val="16"/>
                <w:color w:val="auto"/>
              </w:rPr>
              <w:t>44,914</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00" w:type="dxa"/>
            <w:vAlign w:val="bottom"/>
          </w:tcPr>
          <w:p>
            <w:pPr>
              <w:ind w:left="340"/>
              <w:spacing w:after="0"/>
              <w:rPr>
                <w:sz w:val="20"/>
                <w:szCs w:val="20"/>
                <w:color w:val="auto"/>
              </w:rPr>
            </w:pPr>
            <w:r>
              <w:rPr>
                <w:rFonts w:ascii="Arial" w:cs="Arial" w:eastAsia="Arial" w:hAnsi="Arial"/>
                <w:sz w:val="16"/>
                <w:szCs w:val="16"/>
                <w:color w:val="auto"/>
              </w:rPr>
              <w:t>Investing activities</w:t>
            </w:r>
          </w:p>
        </w:tc>
        <w:tc>
          <w:tcPr>
            <w:tcW w:w="1280" w:type="dxa"/>
            <w:vAlign w:val="bottom"/>
          </w:tcPr>
          <w:p>
            <w:pPr>
              <w:jc w:val="right"/>
              <w:ind w:right="280"/>
              <w:spacing w:after="0"/>
              <w:rPr>
                <w:sz w:val="20"/>
                <w:szCs w:val="20"/>
                <w:color w:val="auto"/>
              </w:rPr>
            </w:pPr>
            <w:r>
              <w:rPr>
                <w:rFonts w:ascii="Arial" w:cs="Arial" w:eastAsia="Arial" w:hAnsi="Arial"/>
                <w:sz w:val="16"/>
                <w:szCs w:val="16"/>
                <w:color w:val="auto"/>
              </w:rPr>
              <w:t>(26,975)</w:t>
            </w:r>
          </w:p>
        </w:tc>
        <w:tc>
          <w:tcPr>
            <w:tcW w:w="1940" w:type="dxa"/>
            <w:vAlign w:val="bottom"/>
          </w:tcPr>
          <w:p>
            <w:pPr>
              <w:jc w:val="right"/>
              <w:ind w:right="503"/>
              <w:spacing w:after="0"/>
              <w:rPr>
                <w:sz w:val="20"/>
                <w:szCs w:val="20"/>
                <w:color w:val="auto"/>
              </w:rPr>
            </w:pPr>
            <w:r>
              <w:rPr>
                <w:rFonts w:ascii="Arial" w:cs="Arial" w:eastAsia="Arial" w:hAnsi="Arial"/>
                <w:sz w:val="16"/>
                <w:szCs w:val="16"/>
                <w:color w:val="auto"/>
              </w:rPr>
              <w:t>(34,201)</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7100" w:type="dxa"/>
            <w:vAlign w:val="bottom"/>
          </w:tcPr>
          <w:p>
            <w:pPr>
              <w:ind w:left="340"/>
              <w:spacing w:after="0"/>
              <w:rPr>
                <w:sz w:val="20"/>
                <w:szCs w:val="20"/>
                <w:color w:val="auto"/>
              </w:rPr>
            </w:pPr>
            <w:r>
              <w:rPr>
                <w:rFonts w:ascii="Arial" w:cs="Arial" w:eastAsia="Arial" w:hAnsi="Arial"/>
                <w:sz w:val="16"/>
                <w:szCs w:val="16"/>
                <w:color w:val="auto"/>
              </w:rPr>
              <w:t>Financing activities</w:t>
            </w:r>
          </w:p>
        </w:tc>
        <w:tc>
          <w:tcPr>
            <w:tcW w:w="1280" w:type="dxa"/>
            <w:vAlign w:val="bottom"/>
          </w:tcPr>
          <w:p>
            <w:pPr>
              <w:jc w:val="right"/>
              <w:ind w:right="280"/>
              <w:spacing w:after="0"/>
              <w:rPr>
                <w:sz w:val="20"/>
                <w:szCs w:val="20"/>
                <w:color w:val="auto"/>
              </w:rPr>
            </w:pPr>
            <w:r>
              <w:rPr>
                <w:rFonts w:ascii="Arial" w:cs="Arial" w:eastAsia="Arial" w:hAnsi="Arial"/>
                <w:sz w:val="16"/>
                <w:szCs w:val="16"/>
                <w:color w:val="auto"/>
              </w:rPr>
              <w:t>(17,888)</w:t>
            </w:r>
          </w:p>
        </w:tc>
        <w:tc>
          <w:tcPr>
            <w:tcW w:w="1940" w:type="dxa"/>
            <w:vAlign w:val="bottom"/>
          </w:tcPr>
          <w:p>
            <w:pPr>
              <w:jc w:val="right"/>
              <w:ind w:right="503"/>
              <w:spacing w:after="0"/>
              <w:rPr>
                <w:sz w:val="20"/>
                <w:szCs w:val="20"/>
                <w:color w:val="auto"/>
              </w:rPr>
            </w:pPr>
            <w:r>
              <w:rPr>
                <w:rFonts w:ascii="Arial" w:cs="Arial" w:eastAsia="Arial" w:hAnsi="Arial"/>
                <w:sz w:val="16"/>
                <w:szCs w:val="16"/>
                <w:color w:val="auto"/>
              </w:rPr>
              <w:t>(15,476)</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7100" w:type="dxa"/>
            <w:vAlign w:val="bottom"/>
          </w:tcPr>
          <w:p>
            <w:pPr>
              <w:spacing w:after="0"/>
              <w:rPr>
                <w:sz w:val="20"/>
                <w:szCs w:val="20"/>
                <w:color w:val="auto"/>
              </w:rPr>
            </w:pPr>
            <w:r>
              <w:rPr>
                <w:rFonts w:ascii="Arial" w:cs="Arial" w:eastAsia="Arial" w:hAnsi="Arial"/>
                <w:sz w:val="16"/>
                <w:szCs w:val="16"/>
                <w:color w:val="auto"/>
              </w:rPr>
              <w:t>Effect of exchange rate changes</w:t>
            </w:r>
          </w:p>
        </w:tc>
        <w:tc>
          <w:tcPr>
            <w:tcW w:w="12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(281)</w:t>
            </w:r>
          </w:p>
        </w:tc>
        <w:tc>
          <w:tcPr>
            <w:tcW w:w="1940" w:type="dxa"/>
            <w:vAlign w:val="bottom"/>
            <w:tcBorders>
              <w:bottom w:val="single" w:sz="8" w:color="auto"/>
            </w:tcBorders>
          </w:tcPr>
          <w:p>
            <w:pPr>
              <w:jc w:val="right"/>
              <w:ind w:right="503"/>
              <w:spacing w:after="0"/>
              <w:rPr>
                <w:sz w:val="20"/>
                <w:szCs w:val="20"/>
                <w:color w:val="auto"/>
              </w:rPr>
            </w:pPr>
            <w:r>
              <w:rPr>
                <w:rFonts w:ascii="Arial" w:cs="Arial" w:eastAsia="Arial" w:hAnsi="Arial"/>
                <w:sz w:val="16"/>
                <w:szCs w:val="16"/>
                <w:color w:val="auto"/>
              </w:rPr>
              <w:t>(175)</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100" w:type="dxa"/>
            <w:vAlign w:val="bottom"/>
          </w:tcPr>
          <w:p>
            <w:pPr>
              <w:spacing w:after="0"/>
              <w:rPr>
                <w:sz w:val="20"/>
                <w:szCs w:val="20"/>
                <w:color w:val="auto"/>
              </w:rPr>
            </w:pPr>
            <w:r>
              <w:rPr>
                <w:rFonts w:ascii="Arial" w:cs="Arial" w:eastAsia="Arial" w:hAnsi="Arial"/>
                <w:sz w:val="16"/>
                <w:szCs w:val="16"/>
                <w:color w:val="auto"/>
              </w:rPr>
              <w:t>Increase/(decrease) in cash and cash equivalents</w:t>
            </w:r>
          </w:p>
        </w:tc>
        <w:tc>
          <w:tcPr>
            <w:tcW w:w="12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(28)</w:t>
            </w:r>
          </w:p>
        </w:tc>
        <w:tc>
          <w:tcPr>
            <w:tcW w:w="1940" w:type="dxa"/>
            <w:vAlign w:val="bottom"/>
            <w:tcBorders>
              <w:bottom w:val="single" w:sz="8" w:color="auto"/>
            </w:tcBorders>
          </w:tcPr>
          <w:p>
            <w:pPr>
              <w:jc w:val="right"/>
              <w:ind w:right="503"/>
              <w:spacing w:after="0"/>
              <w:rPr>
                <w:sz w:val="20"/>
                <w:szCs w:val="20"/>
                <w:color w:val="auto"/>
              </w:rPr>
            </w:pPr>
            <w:r>
              <w:rPr>
                <w:rFonts w:ascii="Arial" w:cs="Arial" w:eastAsia="Arial" w:hAnsi="Arial"/>
                <w:sz w:val="16"/>
                <w:szCs w:val="16"/>
                <w:color w:val="auto"/>
              </w:rPr>
              <w:t>(4,938)</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7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40" w:type="dxa"/>
            <w:vAlign w:val="bottom"/>
          </w:tcPr>
          <w:p>
            <w:pPr>
              <w:jc w:val="center"/>
              <w:ind w:right="83"/>
              <w:spacing w:after="0"/>
              <w:rPr>
                <w:sz w:val="20"/>
                <w:szCs w:val="20"/>
                <w:color w:val="auto"/>
              </w:rPr>
            </w:pPr>
            <w:r>
              <w:rPr>
                <w:rFonts w:ascii="Arial" w:cs="Arial" w:eastAsia="Arial" w:hAnsi="Arial"/>
                <w:sz w:val="13"/>
                <w:szCs w:val="13"/>
                <w:b w:val="1"/>
                <w:bCs w:val="1"/>
                <w:color w:val="auto"/>
                <w:w w:val="91"/>
              </w:rPr>
              <w:t>(December 31)</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1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280" w:type="dxa"/>
            <w:vAlign w:val="bottom"/>
          </w:tcPr>
          <w:p>
            <w:pPr>
              <w:jc w:val="right"/>
              <w:ind w:right="320"/>
              <w:spacing w:after="0"/>
              <w:rPr>
                <w:sz w:val="20"/>
                <w:szCs w:val="20"/>
                <w:color w:val="auto"/>
              </w:rPr>
            </w:pPr>
            <w:r>
              <w:rPr>
                <w:rFonts w:ascii="Arial" w:cs="Arial" w:eastAsia="Arial" w:hAnsi="Arial"/>
                <w:sz w:val="16"/>
                <w:szCs w:val="16"/>
                <w:color w:val="auto"/>
              </w:rPr>
              <w:t>4,616</w:t>
            </w:r>
          </w:p>
        </w:tc>
        <w:tc>
          <w:tcPr>
            <w:tcW w:w="1940" w:type="dxa"/>
            <w:vAlign w:val="bottom"/>
          </w:tcPr>
          <w:p>
            <w:pPr>
              <w:jc w:val="right"/>
              <w:ind w:right="563"/>
              <w:spacing w:after="0"/>
              <w:rPr>
                <w:sz w:val="20"/>
                <w:szCs w:val="20"/>
                <w:color w:val="auto"/>
              </w:rPr>
            </w:pPr>
            <w:r>
              <w:rPr>
                <w:rFonts w:ascii="Arial" w:cs="Arial" w:eastAsia="Arial" w:hAnsi="Arial"/>
                <w:sz w:val="16"/>
                <w:szCs w:val="16"/>
                <w:color w:val="auto"/>
              </w:rPr>
              <w:t>4,644</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100" w:type="dxa"/>
            <w:vAlign w:val="bottom"/>
          </w:tcPr>
          <w:p>
            <w:pPr>
              <w:spacing w:after="0"/>
              <w:rPr>
                <w:sz w:val="20"/>
                <w:szCs w:val="20"/>
                <w:color w:val="auto"/>
              </w:rPr>
            </w:pPr>
            <w:r>
              <w:rPr>
                <w:rFonts w:ascii="Arial" w:cs="Arial" w:eastAsia="Arial" w:hAnsi="Arial"/>
                <w:sz w:val="16"/>
                <w:szCs w:val="16"/>
                <w:color w:val="auto"/>
              </w:rPr>
              <w:t>Cash and cash equivalents - restricted</w:t>
            </w:r>
          </w:p>
        </w:tc>
        <w:tc>
          <w:tcPr>
            <w:tcW w:w="12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42</w:t>
            </w:r>
          </w:p>
        </w:tc>
        <w:tc>
          <w:tcPr>
            <w:tcW w:w="1940" w:type="dxa"/>
            <w:vAlign w:val="bottom"/>
            <w:tcBorders>
              <w:bottom w:val="single" w:sz="8" w:color="auto"/>
            </w:tcBorders>
          </w:tcPr>
          <w:p>
            <w:pPr>
              <w:jc w:val="right"/>
              <w:ind w:right="563"/>
              <w:spacing w:after="0"/>
              <w:rPr>
                <w:sz w:val="20"/>
                <w:szCs w:val="20"/>
                <w:color w:val="auto"/>
              </w:rPr>
            </w:pPr>
            <w:r>
              <w:rPr>
                <w:rFonts w:ascii="Arial" w:cs="Arial" w:eastAsia="Arial" w:hAnsi="Arial"/>
                <w:sz w:val="16"/>
                <w:szCs w:val="16"/>
                <w:color w:val="auto"/>
              </w:rPr>
              <w:t>269</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100" w:type="dxa"/>
            <w:vAlign w:val="bottom"/>
          </w:tcPr>
          <w:p>
            <w:pPr>
              <w:spacing w:after="0"/>
              <w:rPr>
                <w:sz w:val="20"/>
                <w:szCs w:val="20"/>
                <w:color w:val="auto"/>
              </w:rPr>
            </w:pPr>
            <w:r>
              <w:rPr>
                <w:rFonts w:ascii="Arial" w:cs="Arial" w:eastAsia="Arial" w:hAnsi="Arial"/>
                <w:sz w:val="16"/>
                <w:szCs w:val="16"/>
                <w:color w:val="auto"/>
              </w:rPr>
              <w:t>Total cash and cash equivalents</w:t>
            </w:r>
          </w:p>
        </w:tc>
        <w:tc>
          <w:tcPr>
            <w:tcW w:w="12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4,658</w:t>
            </w:r>
          </w:p>
        </w:tc>
        <w:tc>
          <w:tcPr>
            <w:tcW w:w="1940" w:type="dxa"/>
            <w:vAlign w:val="bottom"/>
            <w:tcBorders>
              <w:bottom w:val="single" w:sz="8" w:color="auto"/>
            </w:tcBorders>
          </w:tcPr>
          <w:p>
            <w:pPr>
              <w:jc w:val="right"/>
              <w:ind w:right="563"/>
              <w:spacing w:after="0"/>
              <w:rPr>
                <w:sz w:val="20"/>
                <w:szCs w:val="20"/>
                <w:color w:val="auto"/>
              </w:rPr>
            </w:pPr>
            <w:r>
              <w:rPr>
                <w:rFonts w:ascii="Arial" w:cs="Arial" w:eastAsia="Arial" w:hAnsi="Arial"/>
                <w:sz w:val="16"/>
                <w:szCs w:val="16"/>
                <w:color w:val="auto"/>
              </w:rPr>
              <w:t>4,913</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Total cash and cash equivalents were $4.7 billion at the end of 2014, $0.3 billion lower than the prior year. The major sources of funds in 2014 were net income in noncontrolling interests of $33.6 billion, the adjustment for the noncash provision of $17.3 billion for depreciation and depletion, a net debt increase of $7.0 bill collection of advances of $3.3 billion. The major uses of funds included spending for additions to property, plant and equipment of $33.0 billion, the purchase of sh ExxonMobil stock of $13.2 billion, dividends to shareholders of $11.6 billion and a change in working capital, excluding cash and debt, of $4.9 billion. Included in to and cash equivalents at year-end 2014 was $42 million of restricted cash.</w:t>
      </w:r>
    </w:p>
    <w:p>
      <w:pPr>
        <w:spacing w:after="0" w:line="46" w:lineRule="exact"/>
        <w:rPr>
          <w:sz w:val="20"/>
          <w:szCs w:val="20"/>
          <w:color w:val="auto"/>
        </w:rPr>
      </w:pPr>
    </w:p>
    <w:p>
      <w:pPr>
        <w:jc w:val="both"/>
        <w:ind w:firstLine="200"/>
        <w:spacing w:after="0" w:line="263" w:lineRule="auto"/>
        <w:rPr>
          <w:sz w:val="20"/>
          <w:szCs w:val="20"/>
          <w:color w:val="auto"/>
        </w:rPr>
      </w:pPr>
      <w:r>
        <w:rPr>
          <w:rFonts w:ascii="Arial" w:cs="Arial" w:eastAsia="Arial" w:hAnsi="Arial"/>
          <w:sz w:val="16"/>
          <w:szCs w:val="16"/>
          <w:color w:val="auto"/>
        </w:rPr>
        <w:t>Total cash and cash equivalents were $4.9 billion at the end of 2013, $5.0 billion lower than the prior year. The major sources of funds in 2013 were net income in noncontrolling interests of $33.4 billion, the adjustment for the noncash provision of $17.2 billion for depreciation and depletion, and a net debt increase of $11.6 billi major uses of funds included spending for additions to property, plant and equipment of $33.7 billion, the purchase of ExxonMobil stock of $16.0 billion, divid shareholders of $10.9 billion and a change in working capital, excluding cash and debt, of $4.7 billion. Included in total cash and cash equivalents at year-end 2013 w billion of restricted cash. For additional details, see the Consolidated Statement of Cash Flows.</w:t>
      </w:r>
    </w:p>
    <w:p>
      <w:pPr>
        <w:spacing w:after="0" w:line="46" w:lineRule="exact"/>
        <w:rPr>
          <w:sz w:val="20"/>
          <w:szCs w:val="20"/>
          <w:color w:val="auto"/>
        </w:rPr>
      </w:pPr>
    </w:p>
    <w:p>
      <w:pPr>
        <w:jc w:val="both"/>
        <w:ind w:firstLine="200"/>
        <w:spacing w:after="0" w:line="315" w:lineRule="auto"/>
        <w:rPr>
          <w:sz w:val="20"/>
          <w:szCs w:val="20"/>
          <w:color w:val="auto"/>
        </w:rPr>
      </w:pPr>
      <w:r>
        <w:rPr>
          <w:rFonts w:ascii="Arial" w:cs="Arial" w:eastAsia="Arial" w:hAnsi="Arial"/>
          <w:sz w:val="14"/>
          <w:szCs w:val="14"/>
          <w:color w:val="auto"/>
        </w:rPr>
        <w:t>The Corporation has access to significant capacity of long-term and short-term liquidity. Internally generated funds are expected to cover the majority of fi requirements, supplemented by long-term and short-term debt. On December 31, 2014, the Corporation had unused committed short-term lines of credit of $6.3 bill unused committed long-term lines of credit of $0.5 billion. Cash that may be temporarily available as surplus to the Corporation’s immediate needs is carefully m through counterparty quality and investment guidelines to ensure it is secure and readily available to meet the Corporation’s cash requirements and to optimize returns.</w:t>
      </w:r>
    </w:p>
    <w:p>
      <w:pPr>
        <w:spacing w:after="0" w:line="12" w:lineRule="exact"/>
        <w:rPr>
          <w:sz w:val="20"/>
          <w:szCs w:val="20"/>
          <w:color w:val="auto"/>
        </w:rPr>
      </w:pPr>
    </w:p>
    <w:p>
      <w:pPr>
        <w:jc w:val="both"/>
        <w:ind w:firstLine="200"/>
        <w:spacing w:after="0" w:line="282" w:lineRule="auto"/>
        <w:rPr>
          <w:sz w:val="20"/>
          <w:szCs w:val="20"/>
          <w:color w:val="auto"/>
        </w:rPr>
      </w:pPr>
      <w:r>
        <w:rPr>
          <w:rFonts w:ascii="Arial" w:cs="Arial" w:eastAsia="Arial" w:hAnsi="Arial"/>
          <w:sz w:val="15"/>
          <w:szCs w:val="15"/>
          <w:color w:val="auto"/>
        </w:rPr>
        <w:t>To support cash flows in future periods the Corporation will need to continually find and develop new fields, and continue to develop and apply new technolog recovery processes to existing fields, in order to maintain or increase production. After a period of production at plateau rates, it is the nature of oil and gas fields event produce at declining rates for the remainder of their economic life. Averaged over all the Corporation’s existing oil and gas fields and without new projects, Exxon production is expected to decline at an average of approximately 3 percent per year over the next few years. Decline rates can vary widely by individual field due to a of factors, including, but not limited to, the type of reservoir, fluid properties, recovery mechanisms, work activity, and age of the field. Furthermore, the Corporati interest in production for individual fields can vary with price and the impact of fiscal and commercial terms.</w:t>
      </w:r>
    </w:p>
    <w:p>
      <w:pPr>
        <w:spacing w:after="0" w:line="34" w:lineRule="exact"/>
        <w:rPr>
          <w:sz w:val="20"/>
          <w:szCs w:val="20"/>
          <w:color w:val="auto"/>
        </w:rPr>
      </w:pPr>
    </w:p>
    <w:p>
      <w:pPr>
        <w:jc w:val="both"/>
        <w:ind w:firstLine="200"/>
        <w:spacing w:after="0" w:line="284" w:lineRule="auto"/>
        <w:rPr>
          <w:sz w:val="20"/>
          <w:szCs w:val="20"/>
          <w:color w:val="auto"/>
        </w:rPr>
      </w:pPr>
      <w:r>
        <w:rPr>
          <w:rFonts w:ascii="Arial" w:cs="Arial" w:eastAsia="Arial" w:hAnsi="Arial"/>
          <w:sz w:val="15"/>
          <w:szCs w:val="15"/>
          <w:color w:val="auto"/>
        </w:rPr>
        <w:t>The Corporation has long been successful at offsetting the effects of natural field decline through disciplined investments in quality opportunities and project ex Over the last decade, this has resulted in net annual additions to proved reserves that have exceeded the amount produced. Projects are in progress or planned to i production capacity. However, these volume increases are subject to a variety of risks including project start-up timing, operational outages, reservoir performance, the of fiscal and commercial terms, crude oil and natural gas prices, weather events, and regulatory changes. The Corporation’s cash flows are also highly dependent on c and natural gas prices. Please refer to Item 1A. Risk Factors for a more complete discussion of risks.</w:t>
      </w:r>
    </w:p>
    <w:p>
      <w:pPr>
        <w:spacing w:after="0" w:line="33" w:lineRule="exact"/>
        <w:rPr>
          <w:sz w:val="20"/>
          <w:szCs w:val="20"/>
          <w:color w:val="auto"/>
        </w:rPr>
      </w:pPr>
    </w:p>
    <w:p>
      <w:pPr>
        <w:jc w:val="both"/>
        <w:ind w:firstLine="200"/>
        <w:spacing w:after="0" w:line="297" w:lineRule="auto"/>
        <w:rPr>
          <w:sz w:val="20"/>
          <w:szCs w:val="20"/>
          <w:color w:val="auto"/>
        </w:rPr>
      </w:pPr>
      <w:r>
        <w:rPr>
          <w:rFonts w:ascii="Arial" w:cs="Arial" w:eastAsia="Arial" w:hAnsi="Arial"/>
          <w:sz w:val="15"/>
          <w:szCs w:val="15"/>
          <w:color w:val="auto"/>
        </w:rPr>
        <w:t>The Corporation’s financial strength enables it to make large, long-term capital expenditures. Capital and exploration expenditures in 2014 were $38.5 billion, re the Corporation’s continued active investment program. The Corporation anticipates an average investment profile of about $34 billion per year for the next few years. spending could vary depending on the progress of individual projects and property acquisitions. The Corporation has a large and diverse portfolio of</w:t>
      </w:r>
    </w:p>
    <w:p>
      <w:pPr>
        <w:spacing w:after="0" w:line="46"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development projects and exploration opportunities, which helps mitigate the overall political and technical risks of the Corporation’s Upstream segment and associat flow. Further, due to its financial strength, debt capacity and diverse portfolio of opportunities, the risk associated with failure or delay of any single project would no significant impact on the Corporation’s liquidity or ability to generate sufficient cash flows for operations and its fixed commitments. The purchase and sale of oil properties have not had a significant impact on the amount or timing of cash flows from operating activities.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from Operating Activities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2014</w:t>
      </w:r>
    </w:p>
    <w:p>
      <w:pPr>
        <w:spacing w:after="0" w:line="9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Cash provided by operating activities totaled $45.1 billion in 2014, $0.2 billion higher than 2013. The major source of funds was net income including noncontrolling i of $33.6 billion, an increase of $0.2 billion. The noncash provision for depreciation and depletion was $17.3 billion, up $0.1 billion from the prior year. The adjustment gains on asset sales was $3.2 billion compared to an adjustment of $1.8 billion in 2013. Changes in operational working capital, excluding cash and debt, decreased 2014 by $4.9 billion.</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2013</w:t>
      </w:r>
    </w:p>
    <w:p>
      <w:pPr>
        <w:spacing w:after="0" w:line="9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Cash provided by operating activities totaled $44.9 billion in 2013, $11.3 billion lower than 2012. The major source of funds was net income including noncon interests of $33.4 billion, a decrease of $14.2 billion. The noncash provision of $17.2 billion for depreciation and depletion was higher than 2012. The adjustment for n on asset sales was $1.8 billion compared to an adjustment of $13.0 billion in 2012. Changes in operational working capital, excluding cash and debt, decreased cash by $4.7 billion.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from Investing Activities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2014</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Cash used in investment activities netted to $27.0 billion in 2014, $7.2 billion lower than 2013. Spending for property, plant and equipment of $33.0 billion decreas billion from 2013. Proceeds associated with sales of subsidiaries, property, plant and equipment, and sales and returns of investments of $4.0 billion compared to $2.7 in 2013. Additional investments and advances were $2.8 billion lower in 2014, while collection of advances was $2.2 billion higher in 2014.</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2013</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Cash used in investment activities netted to $34.2 billion in 2013, $8.6 billion higher than 2012. Spending for property, plant and equipment of $33.7 billion decreas billion from 2012. Proceeds associated with sales of subsidiaries, property, plant and equipment, and sales and returns of investments of $2.7 billion compared to $7.7 in 2012. Additional investments and advances were $3.8 billion higher in 2013.</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from Financing Activities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2014</w:t>
      </w:r>
    </w:p>
    <w:p>
      <w:pPr>
        <w:spacing w:after="0" w:line="90" w:lineRule="exact"/>
        <w:rPr>
          <w:sz w:val="20"/>
          <w:szCs w:val="20"/>
          <w:color w:val="auto"/>
        </w:rPr>
      </w:pPr>
    </w:p>
    <w:p>
      <w:pPr>
        <w:jc w:val="both"/>
        <w:spacing w:after="0" w:line="200" w:lineRule="exact"/>
        <w:rPr>
          <w:sz w:val="20"/>
          <w:szCs w:val="20"/>
          <w:color w:val="auto"/>
        </w:rPr>
      </w:pPr>
      <w:r>
        <w:rPr>
          <w:rFonts w:ascii="Arial" w:cs="Arial" w:eastAsia="Arial" w:hAnsi="Arial"/>
          <w:sz w:val="16"/>
          <w:szCs w:val="16"/>
          <w:color w:val="auto"/>
        </w:rPr>
        <w:t>Cash used in financing activities was $17.9 billion in 2014, $2.4 billion higher than 2013. Dividend payments on common shares increased to $2.70 per share from $2 share and totaled $11.6 billion, a pay-out of 36 percent of net income. During the first quarter of 2014, the Corporation issued $5.5 billion of long-term debt. To increased $6.4 billion to $29.1 billion at year</w:t>
      </w:r>
      <w:r>
        <w:rPr>
          <w:rFonts w:ascii="MS PGothic" w:cs="MS PGothic" w:eastAsia="MS PGothic" w:hAnsi="MS PGothic"/>
          <w:sz w:val="16"/>
          <w:szCs w:val="16"/>
          <w:color w:val="auto"/>
        </w:rPr>
        <w:t>‑</w:t>
      </w:r>
      <w:r>
        <w:rPr>
          <w:rFonts w:ascii="Arial" w:cs="Arial" w:eastAsia="Arial" w:hAnsi="Arial"/>
          <w:sz w:val="16"/>
          <w:szCs w:val="16"/>
          <w:color w:val="auto"/>
        </w:rPr>
        <w:t>end.</w:t>
      </w:r>
    </w:p>
    <w:p>
      <w:pPr>
        <w:spacing w:after="0" w:line="64" w:lineRule="exact"/>
        <w:rPr>
          <w:sz w:val="20"/>
          <w:szCs w:val="20"/>
          <w:color w:val="auto"/>
        </w:rPr>
      </w:pPr>
    </w:p>
    <w:p>
      <w:pPr>
        <w:jc w:val="both"/>
        <w:ind w:firstLine="200"/>
        <w:spacing w:after="0" w:line="265" w:lineRule="auto"/>
        <w:rPr>
          <w:sz w:val="20"/>
          <w:szCs w:val="20"/>
          <w:color w:val="auto"/>
        </w:rPr>
      </w:pPr>
      <w:r>
        <w:rPr>
          <w:rFonts w:ascii="Arial" w:cs="Arial" w:eastAsia="Arial" w:hAnsi="Arial"/>
          <w:sz w:val="16"/>
          <w:szCs w:val="16"/>
          <w:color w:val="auto"/>
        </w:rPr>
        <w:t>ExxonMobil share of equity increased $0.4 billion to $174.4 billion. The addition to equity for earnings was $32.5 billion. This was offset by reductions for distribu ExxonMobil shareholders of $23.6 billion, composed of $11.6 billion in dividends and $12.0 billion of share purchases of ExxonMobil stock to reduce shares outst Foreign exchange translation effects of $5.1 billion for the stronger U.S. currency and a $3.1 billion change in the funded status of the postretirement benefits reser reduced equity.</w:t>
      </w:r>
    </w:p>
    <w:p>
      <w:pPr>
        <w:spacing w:after="0" w:line="45" w:lineRule="exact"/>
        <w:rPr>
          <w:sz w:val="20"/>
          <w:szCs w:val="20"/>
          <w:color w:val="auto"/>
        </w:rPr>
      </w:pPr>
    </w:p>
    <w:p>
      <w:pPr>
        <w:jc w:val="both"/>
        <w:ind w:firstLine="200"/>
        <w:spacing w:after="0" w:line="263" w:lineRule="auto"/>
        <w:rPr>
          <w:sz w:val="20"/>
          <w:szCs w:val="20"/>
          <w:color w:val="auto"/>
        </w:rPr>
      </w:pPr>
      <w:r>
        <w:rPr>
          <w:rFonts w:ascii="Arial" w:cs="Arial" w:eastAsia="Arial" w:hAnsi="Arial"/>
          <w:sz w:val="16"/>
          <w:szCs w:val="16"/>
          <w:color w:val="auto"/>
        </w:rPr>
        <w:t>During 2014, Exxon Mobil Corporation purchased 136 million shares of its common stock for the treasury at a gross cost of $13.2 billion. These purchases were to the number of shares outstanding and to offset shares issued in conjunction with company benefit plans and programs. Shares outstanding were reduced by 3.1 perce 4,335 million to 4,201 million at the end of 2014. Purchases were made in both the open market and through negotiated transactions. Purchases may be increased, de or discontinued at any time without prior notice.</w:t>
      </w:r>
    </w:p>
    <w:p>
      <w:pPr>
        <w:spacing w:after="0" w:line="2"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2013</w:t>
      </w:r>
    </w:p>
    <w:p>
      <w:pPr>
        <w:spacing w:after="0" w:line="90" w:lineRule="exact"/>
        <w:rPr>
          <w:sz w:val="20"/>
          <w:szCs w:val="20"/>
          <w:color w:val="auto"/>
        </w:rPr>
      </w:pPr>
    </w:p>
    <w:p>
      <w:pPr>
        <w:jc w:val="both"/>
        <w:spacing w:after="0" w:line="202" w:lineRule="exact"/>
        <w:rPr>
          <w:sz w:val="20"/>
          <w:szCs w:val="20"/>
          <w:color w:val="auto"/>
        </w:rPr>
      </w:pPr>
      <w:r>
        <w:rPr>
          <w:rFonts w:ascii="Arial" w:cs="Arial" w:eastAsia="Arial" w:hAnsi="Arial"/>
          <w:sz w:val="16"/>
          <w:szCs w:val="16"/>
          <w:color w:val="auto"/>
        </w:rPr>
        <w:t>Cash used in financing activities was $15.5 billion in 2013, $18.4 billion lower than 2012. Dividend payments on common shares increased to $2.46 per share from $2 share and totaled $10.9 billion, a pay-out of 33 percent of net income. Total debt increased $11.1 billion to $22.7 billion at year</w:t>
      </w:r>
      <w:r>
        <w:rPr>
          <w:rFonts w:ascii="MS PGothic" w:cs="MS PGothic" w:eastAsia="MS PGothic" w:hAnsi="MS PGothic"/>
          <w:sz w:val="16"/>
          <w:szCs w:val="16"/>
          <w:color w:val="auto"/>
        </w:rPr>
        <w:t>‑</w:t>
      </w:r>
      <w:r>
        <w:rPr>
          <w:rFonts w:ascii="Arial" w:cs="Arial" w:eastAsia="Arial" w:hAnsi="Arial"/>
          <w:sz w:val="16"/>
          <w:szCs w:val="16"/>
          <w:color w:val="auto"/>
        </w:rPr>
        <w:t>end.</w:t>
      </w:r>
    </w:p>
    <w:p>
      <w:pPr>
        <w:spacing w:after="0" w:line="62" w:lineRule="exact"/>
        <w:rPr>
          <w:sz w:val="20"/>
          <w:szCs w:val="20"/>
          <w:color w:val="auto"/>
        </w:rPr>
      </w:pPr>
    </w:p>
    <w:p>
      <w:pPr>
        <w:jc w:val="both"/>
        <w:ind w:firstLine="200"/>
        <w:spacing w:after="0" w:line="321" w:lineRule="auto"/>
        <w:rPr>
          <w:sz w:val="20"/>
          <w:szCs w:val="20"/>
          <w:color w:val="auto"/>
        </w:rPr>
      </w:pPr>
      <w:r>
        <w:rPr>
          <w:rFonts w:ascii="Arial" w:cs="Arial" w:eastAsia="Arial" w:hAnsi="Arial"/>
          <w:sz w:val="15"/>
          <w:szCs w:val="15"/>
          <w:color w:val="auto"/>
        </w:rPr>
        <w:t>ExxonMobil share of equity increased $8.1 billion to $174.0 billion. The addition to equity for earnings of $32.6 billion was partially offset by reductions for distri to ExxonMobil shareholders of $10.9 billion of dividends and $15.0 billion of purchases of shares of ExxonMobil stock to reduce shares outstanding.</w:t>
      </w:r>
    </w:p>
    <w:p>
      <w:pPr>
        <w:spacing w:after="0" w:line="4" w:lineRule="exact"/>
        <w:rPr>
          <w:sz w:val="20"/>
          <w:szCs w:val="20"/>
          <w:color w:val="auto"/>
        </w:rPr>
      </w:pPr>
    </w:p>
    <w:p>
      <w:pPr>
        <w:jc w:val="both"/>
        <w:ind w:firstLine="200"/>
        <w:spacing w:after="0" w:line="284" w:lineRule="auto"/>
        <w:rPr>
          <w:sz w:val="20"/>
          <w:szCs w:val="20"/>
          <w:color w:val="auto"/>
        </w:rPr>
      </w:pPr>
      <w:r>
        <w:rPr>
          <w:rFonts w:ascii="Arial" w:cs="Arial" w:eastAsia="Arial" w:hAnsi="Arial"/>
          <w:sz w:val="15"/>
          <w:szCs w:val="15"/>
          <w:color w:val="auto"/>
        </w:rPr>
        <w:t>During 2013, Exxon Mobil Corporation purchased 177 million shares of its common stock for the treasury at a gross cost of $16.0 billion. These purchases were to the number of shares outstanding and to offset shares issued in conjunction with company benefit plans and programs. Shares outstanding were reduced by 3.7 perce 4,502 million to 4,335 million at the end of 2013. Purchases were made in both the open market and through negotiated transactions.</w:t>
      </w:r>
    </w:p>
    <w:p>
      <w:pPr>
        <w:jc w:val="center"/>
        <w:ind w:left="114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Commitments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Set forth below is information about the outstanding commitments of the Corporation’s consolidated subsidiaries at December 31, 2014. It combines data fr Consolidated Balance Sheet and from individual notes to the Consolidated Financial Statements.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80" w:type="dxa"/>
            <w:vAlign w:val="bottom"/>
          </w:tcPr>
          <w:p>
            <w:pPr>
              <w:jc w:val="right"/>
              <w:ind w:right="284"/>
              <w:spacing w:after="0"/>
              <w:rPr>
                <w:sz w:val="20"/>
                <w:szCs w:val="20"/>
                <w:color w:val="auto"/>
              </w:rPr>
            </w:pPr>
            <w:r>
              <w:rPr>
                <w:rFonts w:ascii="Arial" w:cs="Arial" w:eastAsia="Arial" w:hAnsi="Arial"/>
                <w:sz w:val="13"/>
                <w:szCs w:val="13"/>
                <w:b w:val="1"/>
                <w:bCs w:val="1"/>
                <w:color w:val="auto"/>
              </w:rPr>
              <w:t>Payments Due by Period</w:t>
            </w:r>
          </w:p>
        </w:tc>
        <w:tc>
          <w:tcPr>
            <w:tcW w:w="15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3"/>
        </w:trPr>
        <w:tc>
          <w:tcPr>
            <w:tcW w:w="4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65"/>
        </w:trPr>
        <w:tc>
          <w:tcPr>
            <w:tcW w:w="4120" w:type="dxa"/>
            <w:vAlign w:val="bottom"/>
          </w:tcPr>
          <w:p>
            <w:pPr>
              <w:spacing w:after="0"/>
              <w:rPr>
                <w:sz w:val="14"/>
                <w:szCs w:val="14"/>
                <w:color w:val="auto"/>
              </w:rPr>
            </w:pPr>
          </w:p>
        </w:tc>
        <w:tc>
          <w:tcPr>
            <w:tcW w:w="1360" w:type="dxa"/>
            <w:vAlign w:val="bottom"/>
          </w:tcPr>
          <w:p>
            <w:pPr>
              <w:jc w:val="center"/>
              <w:ind w:right="264"/>
              <w:spacing w:after="0"/>
              <w:rPr>
                <w:sz w:val="20"/>
                <w:szCs w:val="20"/>
                <w:color w:val="auto"/>
              </w:rPr>
            </w:pPr>
            <w:r>
              <w:rPr>
                <w:rFonts w:ascii="Arial" w:cs="Arial" w:eastAsia="Arial" w:hAnsi="Arial"/>
                <w:sz w:val="13"/>
                <w:szCs w:val="13"/>
                <w:b w:val="1"/>
                <w:bCs w:val="1"/>
                <w:color w:val="auto"/>
                <w:w w:val="89"/>
              </w:rPr>
              <w:t>Note</w:t>
            </w:r>
          </w:p>
        </w:tc>
        <w:tc>
          <w:tcPr>
            <w:tcW w:w="1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00" w:type="dxa"/>
            <w:vAlign w:val="bottom"/>
          </w:tcPr>
          <w:p>
            <w:pPr>
              <w:jc w:val="center"/>
              <w:ind w:right="283"/>
              <w:spacing w:after="0"/>
              <w:rPr>
                <w:sz w:val="20"/>
                <w:szCs w:val="20"/>
                <w:color w:val="auto"/>
              </w:rPr>
            </w:pPr>
            <w:r>
              <w:rPr>
                <w:rFonts w:ascii="Arial" w:cs="Arial" w:eastAsia="Arial" w:hAnsi="Arial"/>
                <w:sz w:val="13"/>
                <w:szCs w:val="13"/>
                <w:b w:val="1"/>
                <w:bCs w:val="1"/>
                <w:color w:val="auto"/>
                <w:w w:val="89"/>
              </w:rPr>
              <w:t>2020</w:t>
            </w:r>
          </w:p>
        </w:tc>
        <w:tc>
          <w:tcPr>
            <w:tcW w:w="620" w:type="dxa"/>
            <w:vAlign w:val="bottom"/>
          </w:tcPr>
          <w:p>
            <w:pPr>
              <w:spacing w:after="0"/>
              <w:rPr>
                <w:sz w:val="14"/>
                <w:szCs w:val="14"/>
                <w:color w:val="auto"/>
              </w:rPr>
            </w:pPr>
          </w:p>
        </w:tc>
      </w:tr>
      <w:tr>
        <w:trPr>
          <w:trHeight w:val="184"/>
        </w:trPr>
        <w:tc>
          <w:tcPr>
            <w:tcW w:w="4120" w:type="dxa"/>
            <w:vAlign w:val="bottom"/>
          </w:tcPr>
          <w:p>
            <w:pPr>
              <w:spacing w:after="0"/>
              <w:rPr>
                <w:sz w:val="15"/>
                <w:szCs w:val="15"/>
                <w:color w:val="auto"/>
              </w:rPr>
            </w:pPr>
          </w:p>
        </w:tc>
        <w:tc>
          <w:tcPr>
            <w:tcW w:w="1360" w:type="dxa"/>
            <w:vAlign w:val="bottom"/>
          </w:tcPr>
          <w:p>
            <w:pPr>
              <w:jc w:val="center"/>
              <w:ind w:right="244"/>
              <w:spacing w:after="0"/>
              <w:rPr>
                <w:sz w:val="20"/>
                <w:szCs w:val="20"/>
                <w:color w:val="auto"/>
              </w:rPr>
            </w:pPr>
            <w:r>
              <w:rPr>
                <w:rFonts w:ascii="Arial" w:cs="Arial" w:eastAsia="Arial" w:hAnsi="Arial"/>
                <w:sz w:val="13"/>
                <w:szCs w:val="13"/>
                <w:b w:val="1"/>
                <w:bCs w:val="1"/>
                <w:color w:val="auto"/>
                <w:w w:val="89"/>
              </w:rPr>
              <w:t>Reference</w:t>
            </w:r>
          </w:p>
        </w:tc>
        <w:tc>
          <w:tcPr>
            <w:tcW w:w="1360" w:type="dxa"/>
            <w:vAlign w:val="bottom"/>
          </w:tcPr>
          <w:p>
            <w:pPr>
              <w:spacing w:after="0"/>
              <w:rPr>
                <w:sz w:val="15"/>
                <w:szCs w:val="15"/>
                <w:color w:val="auto"/>
              </w:rPr>
            </w:pPr>
          </w:p>
        </w:tc>
        <w:tc>
          <w:tcPr>
            <w:tcW w:w="1980" w:type="dxa"/>
            <w:vAlign w:val="bottom"/>
          </w:tcPr>
          <w:p>
            <w:pPr>
              <w:jc w:val="right"/>
              <w:ind w:right="804"/>
              <w:spacing w:after="0"/>
              <w:rPr>
                <w:sz w:val="20"/>
                <w:szCs w:val="20"/>
                <w:color w:val="auto"/>
              </w:rPr>
            </w:pPr>
            <w:r>
              <w:rPr>
                <w:rFonts w:ascii="Arial" w:cs="Arial" w:eastAsia="Arial" w:hAnsi="Arial"/>
                <w:sz w:val="13"/>
                <w:szCs w:val="13"/>
                <w:b w:val="1"/>
                <w:bCs w:val="1"/>
                <w:color w:val="auto"/>
              </w:rPr>
              <w:t>2016-</w:t>
            </w:r>
          </w:p>
        </w:tc>
        <w:tc>
          <w:tcPr>
            <w:tcW w:w="1500" w:type="dxa"/>
            <w:vAlign w:val="bottom"/>
          </w:tcPr>
          <w:p>
            <w:pPr>
              <w:jc w:val="center"/>
              <w:ind w:right="263"/>
              <w:spacing w:after="0"/>
              <w:rPr>
                <w:sz w:val="20"/>
                <w:szCs w:val="20"/>
                <w:color w:val="auto"/>
              </w:rPr>
            </w:pPr>
            <w:r>
              <w:rPr>
                <w:rFonts w:ascii="Arial" w:cs="Arial" w:eastAsia="Arial" w:hAnsi="Arial"/>
                <w:sz w:val="13"/>
                <w:szCs w:val="13"/>
                <w:b w:val="1"/>
                <w:bCs w:val="1"/>
                <w:color w:val="auto"/>
                <w:w w:val="86"/>
              </w:rPr>
              <w:t>and</w:t>
            </w:r>
          </w:p>
        </w:tc>
        <w:tc>
          <w:tcPr>
            <w:tcW w:w="620" w:type="dxa"/>
            <w:vAlign w:val="bottom"/>
          </w:tcPr>
          <w:p>
            <w:pPr>
              <w:spacing w:after="0"/>
              <w:rPr>
                <w:sz w:val="15"/>
                <w:szCs w:val="15"/>
                <w:color w:val="auto"/>
              </w:rPr>
            </w:pPr>
          </w:p>
        </w:tc>
      </w:tr>
      <w:tr>
        <w:trPr>
          <w:trHeight w:val="219"/>
        </w:trPr>
        <w:tc>
          <w:tcPr>
            <w:tcW w:w="4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Commitments</w:t>
            </w:r>
          </w:p>
        </w:tc>
        <w:tc>
          <w:tcPr>
            <w:tcW w:w="1360" w:type="dxa"/>
            <w:vAlign w:val="bottom"/>
            <w:tcBorders>
              <w:bottom w:val="single" w:sz="8" w:color="auto"/>
            </w:tcBorders>
          </w:tcPr>
          <w:p>
            <w:pPr>
              <w:jc w:val="center"/>
              <w:ind w:right="244"/>
              <w:spacing w:after="0"/>
              <w:rPr>
                <w:sz w:val="20"/>
                <w:szCs w:val="20"/>
                <w:color w:val="auto"/>
              </w:rPr>
            </w:pPr>
            <w:r>
              <w:rPr>
                <w:rFonts w:ascii="Arial" w:cs="Arial" w:eastAsia="Arial" w:hAnsi="Arial"/>
                <w:sz w:val="13"/>
                <w:szCs w:val="13"/>
                <w:b w:val="1"/>
                <w:bCs w:val="1"/>
                <w:color w:val="auto"/>
                <w:w w:val="97"/>
              </w:rPr>
              <w:t>Number</w:t>
            </w:r>
          </w:p>
        </w:tc>
        <w:tc>
          <w:tcPr>
            <w:tcW w:w="136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2015</w:t>
            </w:r>
          </w:p>
        </w:tc>
        <w:tc>
          <w:tcPr>
            <w:tcW w:w="1980" w:type="dxa"/>
            <w:vAlign w:val="bottom"/>
            <w:tcBorders>
              <w:bottom w:val="single" w:sz="8" w:color="auto"/>
            </w:tcBorders>
          </w:tcPr>
          <w:p>
            <w:pPr>
              <w:jc w:val="right"/>
              <w:ind w:right="824"/>
              <w:spacing w:after="0"/>
              <w:rPr>
                <w:sz w:val="20"/>
                <w:szCs w:val="20"/>
                <w:color w:val="auto"/>
              </w:rPr>
            </w:pPr>
            <w:r>
              <w:rPr>
                <w:rFonts w:ascii="Arial" w:cs="Arial" w:eastAsia="Arial" w:hAnsi="Arial"/>
                <w:sz w:val="13"/>
                <w:szCs w:val="13"/>
                <w:b w:val="1"/>
                <w:bCs w:val="1"/>
                <w:color w:val="auto"/>
              </w:rPr>
              <w:t>2019</w:t>
            </w:r>
          </w:p>
        </w:tc>
        <w:tc>
          <w:tcPr>
            <w:tcW w:w="1500" w:type="dxa"/>
            <w:vAlign w:val="bottom"/>
            <w:tcBorders>
              <w:bottom w:val="single" w:sz="8" w:color="auto"/>
            </w:tcBorders>
          </w:tcPr>
          <w:p>
            <w:pPr>
              <w:jc w:val="center"/>
              <w:ind w:right="283"/>
              <w:spacing w:after="0"/>
              <w:rPr>
                <w:sz w:val="20"/>
                <w:szCs w:val="20"/>
                <w:color w:val="auto"/>
              </w:rPr>
            </w:pPr>
            <w:r>
              <w:rPr>
                <w:rFonts w:ascii="Arial" w:cs="Arial" w:eastAsia="Arial" w:hAnsi="Arial"/>
                <w:sz w:val="13"/>
                <w:szCs w:val="13"/>
                <w:b w:val="1"/>
                <w:bCs w:val="1"/>
                <w:color w:val="auto"/>
                <w:w w:val="88"/>
              </w:rPr>
              <w:t>Beyond</w:t>
            </w:r>
          </w:p>
        </w:tc>
        <w:tc>
          <w:tcPr>
            <w:tcW w:w="620" w:type="dxa"/>
            <w:vAlign w:val="bottom"/>
            <w:tcBorders>
              <w:bottom w:val="single" w:sz="8" w:color="auto"/>
            </w:tcBorders>
          </w:tcPr>
          <w:p>
            <w:pPr>
              <w:ind w:left="520"/>
              <w:spacing w:after="0"/>
              <w:rPr>
                <w:sz w:val="20"/>
                <w:szCs w:val="20"/>
                <w:color w:val="auto"/>
              </w:rPr>
            </w:pPr>
            <w:r>
              <w:rPr>
                <w:rFonts w:ascii="Arial" w:cs="Arial" w:eastAsia="Arial" w:hAnsi="Arial"/>
                <w:sz w:val="13"/>
                <w:szCs w:val="13"/>
                <w:b w:val="1"/>
                <w:bCs w:val="1"/>
                <w:color w:val="auto"/>
              </w:rPr>
              <w:t>T</w:t>
            </w:r>
          </w:p>
        </w:tc>
      </w:tr>
      <w:tr>
        <w:trPr>
          <w:trHeight w:val="166"/>
        </w:trPr>
        <w:tc>
          <w:tcPr>
            <w:tcW w:w="4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80" w:type="dxa"/>
            <w:vAlign w:val="bottom"/>
          </w:tcPr>
          <w:p>
            <w:pPr>
              <w:jc w:val="right"/>
              <w:ind w:right="444"/>
              <w:spacing w:after="0"/>
              <w:rPr>
                <w:sz w:val="20"/>
                <w:szCs w:val="20"/>
                <w:color w:val="auto"/>
              </w:rPr>
            </w:pPr>
            <w:r>
              <w:rPr>
                <w:rFonts w:ascii="Arial" w:cs="Arial" w:eastAsia="Arial" w:hAnsi="Arial"/>
                <w:sz w:val="13"/>
                <w:szCs w:val="13"/>
                <w:i w:val="1"/>
                <w:iCs w:val="1"/>
                <w:color w:val="auto"/>
              </w:rPr>
              <w:t>(millions of dollars)</w:t>
            </w:r>
          </w:p>
        </w:tc>
        <w:tc>
          <w:tcPr>
            <w:tcW w:w="15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403"/>
        </w:trPr>
        <w:tc>
          <w:tcPr>
            <w:tcW w:w="4120" w:type="dxa"/>
            <w:vAlign w:val="bottom"/>
          </w:tcPr>
          <w:p>
            <w:pPr>
              <w:spacing w:after="0"/>
              <w:rPr>
                <w:sz w:val="20"/>
                <w:szCs w:val="20"/>
                <w:color w:val="auto"/>
              </w:rPr>
            </w:pPr>
            <w:r>
              <w:rPr>
                <w:rFonts w:ascii="Arial" w:cs="Arial" w:eastAsia="Arial" w:hAnsi="Arial"/>
                <w:sz w:val="16"/>
                <w:szCs w:val="16"/>
                <w:color w:val="auto"/>
              </w:rPr>
              <w:t xml:space="preserve">Long-term debt </w:t>
            </w:r>
            <w:r>
              <w:rPr>
                <w:rFonts w:ascii="Arial" w:cs="Arial" w:eastAsia="Arial" w:hAnsi="Arial"/>
                <w:sz w:val="14"/>
                <w:szCs w:val="14"/>
                <w:i w:val="1"/>
                <w:iCs w:val="1"/>
                <w:color w:val="auto"/>
              </w:rPr>
              <w:t>(1)</w:t>
            </w:r>
          </w:p>
        </w:tc>
        <w:tc>
          <w:tcPr>
            <w:tcW w:w="1360" w:type="dxa"/>
            <w:vAlign w:val="bottom"/>
          </w:tcPr>
          <w:p>
            <w:pPr>
              <w:jc w:val="center"/>
              <w:ind w:right="244"/>
              <w:spacing w:after="0"/>
              <w:rPr>
                <w:sz w:val="20"/>
                <w:szCs w:val="20"/>
                <w:color w:val="auto"/>
              </w:rPr>
            </w:pPr>
            <w:r>
              <w:rPr>
                <w:rFonts w:ascii="Arial" w:cs="Arial" w:eastAsia="Arial" w:hAnsi="Arial"/>
                <w:sz w:val="16"/>
                <w:szCs w:val="16"/>
                <w:color w:val="auto"/>
                <w:w w:val="89"/>
              </w:rPr>
              <w:t>14</w:t>
            </w:r>
          </w:p>
        </w:tc>
        <w:tc>
          <w:tcPr>
            <w:tcW w:w="1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544"/>
              <w:spacing w:after="0"/>
              <w:rPr>
                <w:sz w:val="20"/>
                <w:szCs w:val="20"/>
                <w:color w:val="auto"/>
              </w:rPr>
            </w:pPr>
            <w:r>
              <w:rPr>
                <w:rFonts w:ascii="Arial" w:cs="Arial" w:eastAsia="Arial" w:hAnsi="Arial"/>
                <w:sz w:val="16"/>
                <w:szCs w:val="16"/>
                <w:color w:val="auto"/>
              </w:rPr>
              <w:t>6,755</w:t>
            </w:r>
          </w:p>
        </w:tc>
        <w:tc>
          <w:tcPr>
            <w:tcW w:w="1500" w:type="dxa"/>
            <w:vAlign w:val="bottom"/>
          </w:tcPr>
          <w:p>
            <w:pPr>
              <w:jc w:val="right"/>
              <w:ind w:right="443"/>
              <w:spacing w:after="0"/>
              <w:rPr>
                <w:sz w:val="20"/>
                <w:szCs w:val="20"/>
                <w:color w:val="auto"/>
              </w:rPr>
            </w:pPr>
            <w:r>
              <w:rPr>
                <w:rFonts w:ascii="Arial" w:cs="Arial" w:eastAsia="Arial" w:hAnsi="Arial"/>
                <w:sz w:val="16"/>
                <w:szCs w:val="16"/>
                <w:color w:val="auto"/>
              </w:rPr>
              <w:t>4,898</w:t>
            </w:r>
          </w:p>
        </w:tc>
        <w:tc>
          <w:tcPr>
            <w:tcW w:w="620" w:type="dxa"/>
            <w:vAlign w:val="bottom"/>
          </w:tcPr>
          <w:p>
            <w:pPr>
              <w:spacing w:after="0"/>
              <w:rPr>
                <w:sz w:val="24"/>
                <w:szCs w:val="24"/>
                <w:color w:val="auto"/>
              </w:rPr>
            </w:pPr>
          </w:p>
        </w:tc>
      </w:tr>
      <w:tr>
        <w:trPr>
          <w:trHeight w:val="196"/>
        </w:trPr>
        <w:tc>
          <w:tcPr>
            <w:tcW w:w="4120" w:type="dxa"/>
            <w:vAlign w:val="bottom"/>
          </w:tcPr>
          <w:p>
            <w:pPr>
              <w:ind w:left="400"/>
              <w:spacing w:after="0"/>
              <w:rPr>
                <w:sz w:val="20"/>
                <w:szCs w:val="20"/>
                <w:color w:val="auto"/>
              </w:rPr>
            </w:pPr>
            <w:r>
              <w:rPr>
                <w:rFonts w:ascii="Arial" w:cs="Arial" w:eastAsia="Arial" w:hAnsi="Arial"/>
                <w:sz w:val="16"/>
                <w:szCs w:val="16"/>
                <w:color w:val="auto"/>
              </w:rPr>
              <w:t xml:space="preserve">– Due in one year </w:t>
            </w:r>
            <w:r>
              <w:rPr>
                <w:rFonts w:ascii="Arial" w:cs="Arial" w:eastAsia="Arial" w:hAnsi="Arial"/>
                <w:sz w:val="14"/>
                <w:szCs w:val="14"/>
                <w:i w:val="1"/>
                <w:iCs w:val="1"/>
                <w:color w:val="auto"/>
              </w:rPr>
              <w:t>(2)</w:t>
            </w:r>
          </w:p>
        </w:tc>
        <w:tc>
          <w:tcPr>
            <w:tcW w:w="1360" w:type="dxa"/>
            <w:vAlign w:val="bottom"/>
          </w:tcPr>
          <w:p>
            <w:pPr>
              <w:jc w:val="center"/>
              <w:ind w:right="244"/>
              <w:spacing w:after="0"/>
              <w:rPr>
                <w:sz w:val="20"/>
                <w:szCs w:val="20"/>
                <w:color w:val="auto"/>
              </w:rPr>
            </w:pPr>
            <w:r>
              <w:rPr>
                <w:rFonts w:ascii="Arial" w:cs="Arial" w:eastAsia="Arial" w:hAnsi="Arial"/>
                <w:sz w:val="16"/>
                <w:szCs w:val="16"/>
                <w:color w:val="auto"/>
                <w:w w:val="89"/>
              </w:rPr>
              <w:t>6</w:t>
            </w:r>
          </w:p>
        </w:tc>
        <w:tc>
          <w:tcPr>
            <w:tcW w:w="1360" w:type="dxa"/>
            <w:vAlign w:val="bottom"/>
          </w:tcPr>
          <w:p>
            <w:pPr>
              <w:jc w:val="right"/>
              <w:ind w:right="160"/>
              <w:spacing w:after="0"/>
              <w:rPr>
                <w:sz w:val="20"/>
                <w:szCs w:val="20"/>
                <w:color w:val="auto"/>
              </w:rPr>
            </w:pPr>
            <w:r>
              <w:rPr>
                <w:rFonts w:ascii="Arial" w:cs="Arial" w:eastAsia="Arial" w:hAnsi="Arial"/>
                <w:sz w:val="16"/>
                <w:szCs w:val="16"/>
                <w:color w:val="auto"/>
              </w:rPr>
              <w:t>770</w:t>
            </w:r>
          </w:p>
        </w:tc>
        <w:tc>
          <w:tcPr>
            <w:tcW w:w="1980" w:type="dxa"/>
            <w:vAlign w:val="bottom"/>
          </w:tcPr>
          <w:p>
            <w:pPr>
              <w:jc w:val="right"/>
              <w:ind w:right="544"/>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443"/>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7"/>
                <w:szCs w:val="17"/>
                <w:color w:val="auto"/>
              </w:rPr>
            </w:pPr>
          </w:p>
        </w:tc>
      </w:tr>
      <w:tr>
        <w:trPr>
          <w:trHeight w:val="196"/>
        </w:trPr>
        <w:tc>
          <w:tcPr>
            <w:tcW w:w="4120" w:type="dxa"/>
            <w:vAlign w:val="bottom"/>
          </w:tcPr>
          <w:p>
            <w:pPr>
              <w:spacing w:after="0"/>
              <w:rPr>
                <w:sz w:val="20"/>
                <w:szCs w:val="20"/>
                <w:color w:val="auto"/>
              </w:rPr>
            </w:pPr>
            <w:r>
              <w:rPr>
                <w:rFonts w:ascii="Arial" w:cs="Arial" w:eastAsia="Arial" w:hAnsi="Arial"/>
                <w:sz w:val="16"/>
                <w:szCs w:val="16"/>
                <w:color w:val="auto"/>
              </w:rPr>
              <w:t xml:space="preserve">Asset retirement obligations </w:t>
            </w:r>
            <w:r>
              <w:rPr>
                <w:rFonts w:ascii="Arial" w:cs="Arial" w:eastAsia="Arial" w:hAnsi="Arial"/>
                <w:sz w:val="14"/>
                <w:szCs w:val="14"/>
                <w:i w:val="1"/>
                <w:iCs w:val="1"/>
                <w:color w:val="auto"/>
              </w:rPr>
              <w:t>(3)</w:t>
            </w:r>
          </w:p>
        </w:tc>
        <w:tc>
          <w:tcPr>
            <w:tcW w:w="1360" w:type="dxa"/>
            <w:vAlign w:val="bottom"/>
          </w:tcPr>
          <w:p>
            <w:pPr>
              <w:jc w:val="center"/>
              <w:ind w:right="244"/>
              <w:spacing w:after="0"/>
              <w:rPr>
                <w:sz w:val="20"/>
                <w:szCs w:val="20"/>
                <w:color w:val="auto"/>
              </w:rPr>
            </w:pPr>
            <w:r>
              <w:rPr>
                <w:rFonts w:ascii="Arial" w:cs="Arial" w:eastAsia="Arial" w:hAnsi="Arial"/>
                <w:sz w:val="16"/>
                <w:szCs w:val="16"/>
                <w:color w:val="auto"/>
                <w:w w:val="89"/>
              </w:rPr>
              <w:t>9</w:t>
            </w:r>
          </w:p>
        </w:tc>
        <w:tc>
          <w:tcPr>
            <w:tcW w:w="1360" w:type="dxa"/>
            <w:vAlign w:val="bottom"/>
          </w:tcPr>
          <w:p>
            <w:pPr>
              <w:jc w:val="right"/>
              <w:ind w:right="160"/>
              <w:spacing w:after="0"/>
              <w:rPr>
                <w:sz w:val="20"/>
                <w:szCs w:val="20"/>
                <w:color w:val="auto"/>
              </w:rPr>
            </w:pPr>
            <w:r>
              <w:rPr>
                <w:rFonts w:ascii="Arial" w:cs="Arial" w:eastAsia="Arial" w:hAnsi="Arial"/>
                <w:sz w:val="16"/>
                <w:szCs w:val="16"/>
                <w:color w:val="auto"/>
              </w:rPr>
              <w:t>1,055</w:t>
            </w:r>
          </w:p>
        </w:tc>
        <w:tc>
          <w:tcPr>
            <w:tcW w:w="1980" w:type="dxa"/>
            <w:vAlign w:val="bottom"/>
          </w:tcPr>
          <w:p>
            <w:pPr>
              <w:jc w:val="right"/>
              <w:ind w:right="544"/>
              <w:spacing w:after="0"/>
              <w:rPr>
                <w:sz w:val="20"/>
                <w:szCs w:val="20"/>
                <w:color w:val="auto"/>
              </w:rPr>
            </w:pPr>
            <w:r>
              <w:rPr>
                <w:rFonts w:ascii="Arial" w:cs="Arial" w:eastAsia="Arial" w:hAnsi="Arial"/>
                <w:sz w:val="16"/>
                <w:szCs w:val="16"/>
                <w:color w:val="auto"/>
              </w:rPr>
              <w:t>2,763</w:t>
            </w:r>
          </w:p>
        </w:tc>
        <w:tc>
          <w:tcPr>
            <w:tcW w:w="1500" w:type="dxa"/>
            <w:vAlign w:val="bottom"/>
          </w:tcPr>
          <w:p>
            <w:pPr>
              <w:jc w:val="right"/>
              <w:ind w:right="443"/>
              <w:spacing w:after="0"/>
              <w:rPr>
                <w:sz w:val="20"/>
                <w:szCs w:val="20"/>
                <w:color w:val="auto"/>
              </w:rPr>
            </w:pPr>
            <w:r>
              <w:rPr>
                <w:rFonts w:ascii="Arial" w:cs="Arial" w:eastAsia="Arial" w:hAnsi="Arial"/>
                <w:sz w:val="16"/>
                <w:szCs w:val="16"/>
                <w:color w:val="auto"/>
              </w:rPr>
              <w:t>9,606</w:t>
            </w:r>
          </w:p>
        </w:tc>
        <w:tc>
          <w:tcPr>
            <w:tcW w:w="620" w:type="dxa"/>
            <w:vAlign w:val="bottom"/>
          </w:tcPr>
          <w:p>
            <w:pPr>
              <w:spacing w:after="0"/>
              <w:rPr>
                <w:sz w:val="17"/>
                <w:szCs w:val="17"/>
                <w:color w:val="auto"/>
              </w:rPr>
            </w:pPr>
          </w:p>
        </w:tc>
      </w:tr>
      <w:tr>
        <w:trPr>
          <w:trHeight w:val="196"/>
        </w:trPr>
        <w:tc>
          <w:tcPr>
            <w:tcW w:w="4120" w:type="dxa"/>
            <w:vAlign w:val="bottom"/>
          </w:tcPr>
          <w:p>
            <w:pPr>
              <w:spacing w:after="0"/>
              <w:rPr>
                <w:sz w:val="20"/>
                <w:szCs w:val="20"/>
                <w:color w:val="auto"/>
              </w:rPr>
            </w:pPr>
            <w:r>
              <w:rPr>
                <w:rFonts w:ascii="Arial" w:cs="Arial" w:eastAsia="Arial" w:hAnsi="Arial"/>
                <w:sz w:val="16"/>
                <w:szCs w:val="16"/>
                <w:color w:val="auto"/>
              </w:rPr>
              <w:t xml:space="preserve">Pension and other postretirement obligations </w:t>
            </w:r>
            <w:r>
              <w:rPr>
                <w:rFonts w:ascii="Arial" w:cs="Arial" w:eastAsia="Arial" w:hAnsi="Arial"/>
                <w:sz w:val="14"/>
                <w:szCs w:val="14"/>
                <w:i w:val="1"/>
                <w:iCs w:val="1"/>
                <w:color w:val="auto"/>
              </w:rPr>
              <w:t>(4)</w:t>
            </w:r>
          </w:p>
        </w:tc>
        <w:tc>
          <w:tcPr>
            <w:tcW w:w="1360" w:type="dxa"/>
            <w:vAlign w:val="bottom"/>
          </w:tcPr>
          <w:p>
            <w:pPr>
              <w:jc w:val="center"/>
              <w:ind w:right="244"/>
              <w:spacing w:after="0"/>
              <w:rPr>
                <w:sz w:val="20"/>
                <w:szCs w:val="20"/>
                <w:color w:val="auto"/>
              </w:rPr>
            </w:pPr>
            <w:r>
              <w:rPr>
                <w:rFonts w:ascii="Arial" w:cs="Arial" w:eastAsia="Arial" w:hAnsi="Arial"/>
                <w:sz w:val="16"/>
                <w:szCs w:val="16"/>
                <w:color w:val="auto"/>
                <w:w w:val="89"/>
              </w:rPr>
              <w:t>17</w:t>
            </w:r>
          </w:p>
        </w:tc>
        <w:tc>
          <w:tcPr>
            <w:tcW w:w="1360" w:type="dxa"/>
            <w:vAlign w:val="bottom"/>
          </w:tcPr>
          <w:p>
            <w:pPr>
              <w:jc w:val="right"/>
              <w:ind w:right="160"/>
              <w:spacing w:after="0"/>
              <w:rPr>
                <w:sz w:val="20"/>
                <w:szCs w:val="20"/>
                <w:color w:val="auto"/>
              </w:rPr>
            </w:pPr>
            <w:r>
              <w:rPr>
                <w:rFonts w:ascii="Arial" w:cs="Arial" w:eastAsia="Arial" w:hAnsi="Arial"/>
                <w:sz w:val="16"/>
                <w:szCs w:val="16"/>
                <w:color w:val="auto"/>
              </w:rPr>
              <w:t>1,524</w:t>
            </w:r>
          </w:p>
        </w:tc>
        <w:tc>
          <w:tcPr>
            <w:tcW w:w="1980" w:type="dxa"/>
            <w:vAlign w:val="bottom"/>
          </w:tcPr>
          <w:p>
            <w:pPr>
              <w:jc w:val="right"/>
              <w:ind w:right="544"/>
              <w:spacing w:after="0"/>
              <w:rPr>
                <w:sz w:val="20"/>
                <w:szCs w:val="20"/>
                <w:color w:val="auto"/>
              </w:rPr>
            </w:pPr>
            <w:r>
              <w:rPr>
                <w:rFonts w:ascii="Arial" w:cs="Arial" w:eastAsia="Arial" w:hAnsi="Arial"/>
                <w:sz w:val="16"/>
                <w:szCs w:val="16"/>
                <w:color w:val="auto"/>
              </w:rPr>
              <w:t>4,346</w:t>
            </w:r>
          </w:p>
        </w:tc>
        <w:tc>
          <w:tcPr>
            <w:tcW w:w="1500" w:type="dxa"/>
            <w:vAlign w:val="bottom"/>
          </w:tcPr>
          <w:p>
            <w:pPr>
              <w:jc w:val="right"/>
              <w:ind w:right="443"/>
              <w:spacing w:after="0"/>
              <w:rPr>
                <w:sz w:val="20"/>
                <w:szCs w:val="20"/>
                <w:color w:val="auto"/>
              </w:rPr>
            </w:pPr>
            <w:r>
              <w:rPr>
                <w:rFonts w:ascii="Arial" w:cs="Arial" w:eastAsia="Arial" w:hAnsi="Arial"/>
                <w:sz w:val="16"/>
                <w:szCs w:val="16"/>
                <w:color w:val="auto"/>
              </w:rPr>
              <w:t>20,664</w:t>
            </w:r>
          </w:p>
        </w:tc>
        <w:tc>
          <w:tcPr>
            <w:tcW w:w="620" w:type="dxa"/>
            <w:vAlign w:val="bottom"/>
          </w:tcPr>
          <w:p>
            <w:pPr>
              <w:spacing w:after="0"/>
              <w:rPr>
                <w:sz w:val="17"/>
                <w:szCs w:val="17"/>
                <w:color w:val="auto"/>
              </w:rPr>
            </w:pPr>
          </w:p>
        </w:tc>
      </w:tr>
      <w:tr>
        <w:trPr>
          <w:trHeight w:val="196"/>
        </w:trPr>
        <w:tc>
          <w:tcPr>
            <w:tcW w:w="4120" w:type="dxa"/>
            <w:vAlign w:val="bottom"/>
          </w:tcPr>
          <w:p>
            <w:pPr>
              <w:spacing w:after="0"/>
              <w:rPr>
                <w:sz w:val="20"/>
                <w:szCs w:val="20"/>
                <w:color w:val="auto"/>
              </w:rPr>
            </w:pPr>
            <w:r>
              <w:rPr>
                <w:rFonts w:ascii="Arial" w:cs="Arial" w:eastAsia="Arial" w:hAnsi="Arial"/>
                <w:sz w:val="16"/>
                <w:szCs w:val="16"/>
                <w:color w:val="auto"/>
              </w:rPr>
              <w:t xml:space="preserve">Operating leases </w:t>
            </w:r>
            <w:r>
              <w:rPr>
                <w:rFonts w:ascii="Arial" w:cs="Arial" w:eastAsia="Arial" w:hAnsi="Arial"/>
                <w:sz w:val="14"/>
                <w:szCs w:val="14"/>
                <w:i w:val="1"/>
                <w:iCs w:val="1"/>
                <w:color w:val="auto"/>
              </w:rPr>
              <w:t>(5)</w:t>
            </w:r>
          </w:p>
        </w:tc>
        <w:tc>
          <w:tcPr>
            <w:tcW w:w="1360" w:type="dxa"/>
            <w:vAlign w:val="bottom"/>
          </w:tcPr>
          <w:p>
            <w:pPr>
              <w:jc w:val="center"/>
              <w:ind w:right="244"/>
              <w:spacing w:after="0"/>
              <w:rPr>
                <w:sz w:val="20"/>
                <w:szCs w:val="20"/>
                <w:color w:val="auto"/>
              </w:rPr>
            </w:pPr>
            <w:r>
              <w:rPr>
                <w:rFonts w:ascii="Arial" w:cs="Arial" w:eastAsia="Arial" w:hAnsi="Arial"/>
                <w:sz w:val="16"/>
                <w:szCs w:val="16"/>
                <w:color w:val="auto"/>
                <w:w w:val="89"/>
              </w:rPr>
              <w:t>11</w:t>
            </w:r>
          </w:p>
        </w:tc>
        <w:tc>
          <w:tcPr>
            <w:tcW w:w="1360" w:type="dxa"/>
            <w:vAlign w:val="bottom"/>
          </w:tcPr>
          <w:p>
            <w:pPr>
              <w:jc w:val="right"/>
              <w:ind w:right="160"/>
              <w:spacing w:after="0"/>
              <w:rPr>
                <w:sz w:val="20"/>
                <w:szCs w:val="20"/>
                <w:color w:val="auto"/>
              </w:rPr>
            </w:pPr>
            <w:r>
              <w:rPr>
                <w:rFonts w:ascii="Arial" w:cs="Arial" w:eastAsia="Arial" w:hAnsi="Arial"/>
                <w:sz w:val="16"/>
                <w:szCs w:val="16"/>
                <w:color w:val="auto"/>
              </w:rPr>
              <w:t>2,034</w:t>
            </w:r>
          </w:p>
        </w:tc>
        <w:tc>
          <w:tcPr>
            <w:tcW w:w="1980" w:type="dxa"/>
            <w:vAlign w:val="bottom"/>
          </w:tcPr>
          <w:p>
            <w:pPr>
              <w:jc w:val="right"/>
              <w:ind w:right="544"/>
              <w:spacing w:after="0"/>
              <w:rPr>
                <w:sz w:val="20"/>
                <w:szCs w:val="20"/>
                <w:color w:val="auto"/>
              </w:rPr>
            </w:pPr>
            <w:r>
              <w:rPr>
                <w:rFonts w:ascii="Arial" w:cs="Arial" w:eastAsia="Arial" w:hAnsi="Arial"/>
                <w:sz w:val="16"/>
                <w:szCs w:val="16"/>
                <w:color w:val="auto"/>
              </w:rPr>
              <w:t>2,883</w:t>
            </w:r>
          </w:p>
        </w:tc>
        <w:tc>
          <w:tcPr>
            <w:tcW w:w="1500" w:type="dxa"/>
            <w:vAlign w:val="bottom"/>
          </w:tcPr>
          <w:p>
            <w:pPr>
              <w:jc w:val="right"/>
              <w:ind w:right="443"/>
              <w:spacing w:after="0"/>
              <w:rPr>
                <w:sz w:val="20"/>
                <w:szCs w:val="20"/>
                <w:color w:val="auto"/>
              </w:rPr>
            </w:pPr>
            <w:r>
              <w:rPr>
                <w:rFonts w:ascii="Arial" w:cs="Arial" w:eastAsia="Arial" w:hAnsi="Arial"/>
                <w:sz w:val="16"/>
                <w:szCs w:val="16"/>
                <w:color w:val="auto"/>
              </w:rPr>
              <w:t>1,296</w:t>
            </w:r>
          </w:p>
        </w:tc>
        <w:tc>
          <w:tcPr>
            <w:tcW w:w="620" w:type="dxa"/>
            <w:vAlign w:val="bottom"/>
          </w:tcPr>
          <w:p>
            <w:pPr>
              <w:spacing w:after="0"/>
              <w:rPr>
                <w:sz w:val="17"/>
                <w:szCs w:val="17"/>
                <w:color w:val="auto"/>
              </w:rPr>
            </w:pPr>
          </w:p>
        </w:tc>
      </w:tr>
      <w:tr>
        <w:trPr>
          <w:trHeight w:val="196"/>
        </w:trPr>
        <w:tc>
          <w:tcPr>
            <w:tcW w:w="4120" w:type="dxa"/>
            <w:vAlign w:val="bottom"/>
          </w:tcPr>
          <w:p>
            <w:pPr>
              <w:spacing w:after="0"/>
              <w:rPr>
                <w:sz w:val="20"/>
                <w:szCs w:val="20"/>
                <w:color w:val="auto"/>
              </w:rPr>
            </w:pPr>
            <w:r>
              <w:rPr>
                <w:rFonts w:ascii="Arial" w:cs="Arial" w:eastAsia="Arial" w:hAnsi="Arial"/>
                <w:sz w:val="16"/>
                <w:szCs w:val="16"/>
                <w:color w:val="auto"/>
              </w:rPr>
              <w:t xml:space="preserve">Unconditional purchase obligations </w:t>
            </w:r>
            <w:r>
              <w:rPr>
                <w:rFonts w:ascii="Arial" w:cs="Arial" w:eastAsia="Arial" w:hAnsi="Arial"/>
                <w:sz w:val="14"/>
                <w:szCs w:val="14"/>
                <w:i w:val="1"/>
                <w:iCs w:val="1"/>
                <w:color w:val="auto"/>
              </w:rPr>
              <w:t>(6)</w:t>
            </w:r>
          </w:p>
        </w:tc>
        <w:tc>
          <w:tcPr>
            <w:tcW w:w="1360" w:type="dxa"/>
            <w:vAlign w:val="bottom"/>
          </w:tcPr>
          <w:p>
            <w:pPr>
              <w:jc w:val="center"/>
              <w:ind w:right="244"/>
              <w:spacing w:after="0"/>
              <w:rPr>
                <w:sz w:val="20"/>
                <w:szCs w:val="20"/>
                <w:color w:val="auto"/>
              </w:rPr>
            </w:pPr>
            <w:r>
              <w:rPr>
                <w:rFonts w:ascii="Arial" w:cs="Arial" w:eastAsia="Arial" w:hAnsi="Arial"/>
                <w:sz w:val="16"/>
                <w:szCs w:val="16"/>
                <w:color w:val="auto"/>
                <w:w w:val="89"/>
              </w:rPr>
              <w:t>16</w:t>
            </w:r>
          </w:p>
        </w:tc>
        <w:tc>
          <w:tcPr>
            <w:tcW w:w="1360" w:type="dxa"/>
            <w:vAlign w:val="bottom"/>
          </w:tcPr>
          <w:p>
            <w:pPr>
              <w:jc w:val="right"/>
              <w:ind w:right="160"/>
              <w:spacing w:after="0"/>
              <w:rPr>
                <w:sz w:val="20"/>
                <w:szCs w:val="20"/>
                <w:color w:val="auto"/>
              </w:rPr>
            </w:pPr>
            <w:r>
              <w:rPr>
                <w:rFonts w:ascii="Arial" w:cs="Arial" w:eastAsia="Arial" w:hAnsi="Arial"/>
                <w:sz w:val="16"/>
                <w:szCs w:val="16"/>
                <w:color w:val="auto"/>
              </w:rPr>
              <w:t>150</w:t>
            </w:r>
          </w:p>
        </w:tc>
        <w:tc>
          <w:tcPr>
            <w:tcW w:w="1980" w:type="dxa"/>
            <w:vAlign w:val="bottom"/>
          </w:tcPr>
          <w:p>
            <w:pPr>
              <w:jc w:val="right"/>
              <w:ind w:right="544"/>
              <w:spacing w:after="0"/>
              <w:rPr>
                <w:sz w:val="20"/>
                <w:szCs w:val="20"/>
                <w:color w:val="auto"/>
              </w:rPr>
            </w:pPr>
            <w:r>
              <w:rPr>
                <w:rFonts w:ascii="Arial" w:cs="Arial" w:eastAsia="Arial" w:hAnsi="Arial"/>
                <w:sz w:val="16"/>
                <w:szCs w:val="16"/>
                <w:color w:val="auto"/>
              </w:rPr>
              <w:t>608</w:t>
            </w:r>
          </w:p>
        </w:tc>
        <w:tc>
          <w:tcPr>
            <w:tcW w:w="1500" w:type="dxa"/>
            <w:vAlign w:val="bottom"/>
          </w:tcPr>
          <w:p>
            <w:pPr>
              <w:jc w:val="right"/>
              <w:ind w:right="443"/>
              <w:spacing w:after="0"/>
              <w:rPr>
                <w:sz w:val="20"/>
                <w:szCs w:val="20"/>
                <w:color w:val="auto"/>
              </w:rPr>
            </w:pPr>
            <w:r>
              <w:rPr>
                <w:rFonts w:ascii="Arial" w:cs="Arial" w:eastAsia="Arial" w:hAnsi="Arial"/>
                <w:sz w:val="16"/>
                <w:szCs w:val="16"/>
                <w:color w:val="auto"/>
              </w:rPr>
              <w:t>337</w:t>
            </w:r>
          </w:p>
        </w:tc>
        <w:tc>
          <w:tcPr>
            <w:tcW w:w="620" w:type="dxa"/>
            <w:vAlign w:val="bottom"/>
          </w:tcPr>
          <w:p>
            <w:pPr>
              <w:spacing w:after="0"/>
              <w:rPr>
                <w:sz w:val="17"/>
                <w:szCs w:val="17"/>
                <w:color w:val="auto"/>
              </w:rPr>
            </w:pPr>
          </w:p>
        </w:tc>
      </w:tr>
      <w:tr>
        <w:trPr>
          <w:trHeight w:val="196"/>
        </w:trPr>
        <w:tc>
          <w:tcPr>
            <w:tcW w:w="4120" w:type="dxa"/>
            <w:vAlign w:val="bottom"/>
          </w:tcPr>
          <w:p>
            <w:pPr>
              <w:spacing w:after="0"/>
              <w:rPr>
                <w:sz w:val="20"/>
                <w:szCs w:val="20"/>
                <w:color w:val="auto"/>
              </w:rPr>
            </w:pPr>
            <w:r>
              <w:rPr>
                <w:rFonts w:ascii="Arial" w:cs="Arial" w:eastAsia="Arial" w:hAnsi="Arial"/>
                <w:sz w:val="16"/>
                <w:szCs w:val="16"/>
                <w:color w:val="auto"/>
              </w:rPr>
              <w:t xml:space="preserve">Take-or-pay obligations </w:t>
            </w:r>
            <w:r>
              <w:rPr>
                <w:rFonts w:ascii="Arial" w:cs="Arial" w:eastAsia="Arial" w:hAnsi="Arial"/>
                <w:sz w:val="14"/>
                <w:szCs w:val="14"/>
                <w:i w:val="1"/>
                <w:iCs w:val="1"/>
                <w:color w:val="auto"/>
              </w:rPr>
              <w:t>(7)</w:t>
            </w:r>
          </w:p>
        </w:tc>
        <w:tc>
          <w:tcPr>
            <w:tcW w:w="1360" w:type="dxa"/>
            <w:vAlign w:val="bottom"/>
          </w:tcPr>
          <w:p>
            <w:pPr>
              <w:spacing w:after="0"/>
              <w:rPr>
                <w:sz w:val="17"/>
                <w:szCs w:val="17"/>
                <w:color w:val="auto"/>
              </w:rPr>
            </w:pPr>
          </w:p>
        </w:tc>
        <w:tc>
          <w:tcPr>
            <w:tcW w:w="1360" w:type="dxa"/>
            <w:vAlign w:val="bottom"/>
          </w:tcPr>
          <w:p>
            <w:pPr>
              <w:jc w:val="right"/>
              <w:ind w:right="160"/>
              <w:spacing w:after="0"/>
              <w:rPr>
                <w:sz w:val="20"/>
                <w:szCs w:val="20"/>
                <w:color w:val="auto"/>
              </w:rPr>
            </w:pPr>
            <w:r>
              <w:rPr>
                <w:rFonts w:ascii="Arial" w:cs="Arial" w:eastAsia="Arial" w:hAnsi="Arial"/>
                <w:sz w:val="16"/>
                <w:szCs w:val="16"/>
                <w:color w:val="auto"/>
              </w:rPr>
              <w:t>2,973</w:t>
            </w:r>
          </w:p>
        </w:tc>
        <w:tc>
          <w:tcPr>
            <w:tcW w:w="1980" w:type="dxa"/>
            <w:vAlign w:val="bottom"/>
          </w:tcPr>
          <w:p>
            <w:pPr>
              <w:jc w:val="right"/>
              <w:ind w:right="544"/>
              <w:spacing w:after="0"/>
              <w:rPr>
                <w:sz w:val="20"/>
                <w:szCs w:val="20"/>
                <w:color w:val="auto"/>
              </w:rPr>
            </w:pPr>
            <w:r>
              <w:rPr>
                <w:rFonts w:ascii="Arial" w:cs="Arial" w:eastAsia="Arial" w:hAnsi="Arial"/>
                <w:sz w:val="16"/>
                <w:szCs w:val="16"/>
                <w:color w:val="auto"/>
              </w:rPr>
              <w:t>10,671</w:t>
            </w:r>
          </w:p>
        </w:tc>
        <w:tc>
          <w:tcPr>
            <w:tcW w:w="1500" w:type="dxa"/>
            <w:vAlign w:val="bottom"/>
          </w:tcPr>
          <w:p>
            <w:pPr>
              <w:jc w:val="right"/>
              <w:ind w:right="443"/>
              <w:spacing w:after="0"/>
              <w:rPr>
                <w:sz w:val="20"/>
                <w:szCs w:val="20"/>
                <w:color w:val="auto"/>
              </w:rPr>
            </w:pPr>
            <w:r>
              <w:rPr>
                <w:rFonts w:ascii="Arial" w:cs="Arial" w:eastAsia="Arial" w:hAnsi="Arial"/>
                <w:sz w:val="16"/>
                <w:szCs w:val="16"/>
                <w:color w:val="auto"/>
              </w:rPr>
              <w:t>14,065</w:t>
            </w:r>
          </w:p>
        </w:tc>
        <w:tc>
          <w:tcPr>
            <w:tcW w:w="620" w:type="dxa"/>
            <w:vAlign w:val="bottom"/>
          </w:tcPr>
          <w:p>
            <w:pPr>
              <w:spacing w:after="0"/>
              <w:rPr>
                <w:sz w:val="17"/>
                <w:szCs w:val="17"/>
                <w:color w:val="auto"/>
              </w:rPr>
            </w:pPr>
          </w:p>
        </w:tc>
      </w:tr>
      <w:tr>
        <w:trPr>
          <w:trHeight w:val="208"/>
        </w:trPr>
        <w:tc>
          <w:tcPr>
            <w:tcW w:w="4120" w:type="dxa"/>
            <w:vAlign w:val="bottom"/>
          </w:tcPr>
          <w:p>
            <w:pPr>
              <w:spacing w:after="0"/>
              <w:rPr>
                <w:sz w:val="20"/>
                <w:szCs w:val="20"/>
                <w:color w:val="auto"/>
              </w:rPr>
            </w:pPr>
            <w:r>
              <w:rPr>
                <w:rFonts w:ascii="Arial" w:cs="Arial" w:eastAsia="Arial" w:hAnsi="Arial"/>
                <w:sz w:val="16"/>
                <w:szCs w:val="16"/>
                <w:color w:val="auto"/>
              </w:rPr>
              <w:t xml:space="preserve">Firm capital commitments </w:t>
            </w:r>
            <w:r>
              <w:rPr>
                <w:rFonts w:ascii="Arial" w:cs="Arial" w:eastAsia="Arial" w:hAnsi="Arial"/>
                <w:sz w:val="14"/>
                <w:szCs w:val="14"/>
                <w:i w:val="1"/>
                <w:iCs w:val="1"/>
                <w:color w:val="auto"/>
              </w:rPr>
              <w:t>(8)</w:t>
            </w:r>
          </w:p>
        </w:tc>
        <w:tc>
          <w:tcPr>
            <w:tcW w:w="1360" w:type="dxa"/>
            <w:vAlign w:val="bottom"/>
          </w:tcPr>
          <w:p>
            <w:pPr>
              <w:spacing w:after="0"/>
              <w:rPr>
                <w:sz w:val="18"/>
                <w:szCs w:val="18"/>
                <w:color w:val="auto"/>
              </w:rPr>
            </w:pPr>
          </w:p>
        </w:tc>
        <w:tc>
          <w:tcPr>
            <w:tcW w:w="1360" w:type="dxa"/>
            <w:vAlign w:val="bottom"/>
          </w:tcPr>
          <w:p>
            <w:pPr>
              <w:jc w:val="right"/>
              <w:ind w:right="160"/>
              <w:spacing w:after="0"/>
              <w:rPr>
                <w:sz w:val="20"/>
                <w:szCs w:val="20"/>
                <w:color w:val="auto"/>
              </w:rPr>
            </w:pPr>
            <w:r>
              <w:rPr>
                <w:rFonts w:ascii="Arial" w:cs="Arial" w:eastAsia="Arial" w:hAnsi="Arial"/>
                <w:sz w:val="16"/>
                <w:szCs w:val="16"/>
                <w:color w:val="auto"/>
              </w:rPr>
              <w:t>16,065</w:t>
            </w:r>
          </w:p>
        </w:tc>
        <w:tc>
          <w:tcPr>
            <w:tcW w:w="1980" w:type="dxa"/>
            <w:vAlign w:val="bottom"/>
          </w:tcPr>
          <w:p>
            <w:pPr>
              <w:jc w:val="right"/>
              <w:ind w:right="544"/>
              <w:spacing w:after="0"/>
              <w:rPr>
                <w:sz w:val="20"/>
                <w:szCs w:val="20"/>
                <w:color w:val="auto"/>
              </w:rPr>
            </w:pPr>
            <w:r>
              <w:rPr>
                <w:rFonts w:ascii="Arial" w:cs="Arial" w:eastAsia="Arial" w:hAnsi="Arial"/>
                <w:sz w:val="16"/>
                <w:szCs w:val="16"/>
                <w:color w:val="auto"/>
              </w:rPr>
              <w:t>7,893</w:t>
            </w:r>
          </w:p>
        </w:tc>
        <w:tc>
          <w:tcPr>
            <w:tcW w:w="1500" w:type="dxa"/>
            <w:vAlign w:val="bottom"/>
          </w:tcPr>
          <w:p>
            <w:pPr>
              <w:jc w:val="right"/>
              <w:ind w:right="443"/>
              <w:spacing w:after="0"/>
              <w:rPr>
                <w:sz w:val="20"/>
                <w:szCs w:val="20"/>
                <w:color w:val="auto"/>
              </w:rPr>
            </w:pPr>
            <w:r>
              <w:rPr>
                <w:rFonts w:ascii="Arial" w:cs="Arial" w:eastAsia="Arial" w:hAnsi="Arial"/>
                <w:sz w:val="16"/>
                <w:szCs w:val="16"/>
                <w:color w:val="auto"/>
              </w:rPr>
              <w:t>1,643</w:t>
            </w:r>
          </w:p>
        </w:tc>
        <w:tc>
          <w:tcPr>
            <w:tcW w:w="620" w:type="dxa"/>
            <w:vAlign w:val="bottom"/>
          </w:tcPr>
          <w:p>
            <w:pPr>
              <w:spacing w:after="0"/>
              <w:rPr>
                <w:sz w:val="18"/>
                <w:szCs w:val="18"/>
                <w:color w:val="auto"/>
              </w:rPr>
            </w:pPr>
          </w:p>
        </w:tc>
      </w:tr>
    </w:tbl>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This table excludes commodity purchase obligations (volumetric commitments but no fixed or minimum price) which are resold shortly after purchase, either in an highly liquid market or under long-term, unconditional sales contracts with similar pricing terms. Examples include long-term, noncancelable LNG and natural gas p commitments and commitments to purchase refinery products at market prices. Inclusion of such commitments would not be meaningful in assessing liquidity and ca because these purchases will be offset in the same periods by cash received from the related sales transactions. The table also excludes unrecognized tax benefits totali billion as of December 31, 2014, because the Corporation is unable to make reasonably reliable estimates of the timing of cash settlements with the respective authorities. Further details on the unrecognized tax benefits can be found in Note 19, Income, Sales-Based and Other Taxes.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Notes:</w:t>
      </w:r>
    </w:p>
    <w:p>
      <w:pPr>
        <w:spacing w:after="0" w:line="61" w:lineRule="exact"/>
        <w:rPr>
          <w:sz w:val="20"/>
          <w:szCs w:val="20"/>
          <w:color w:val="auto"/>
        </w:rPr>
      </w:pPr>
    </w:p>
    <w:p>
      <w:pPr>
        <w:ind w:left="320" w:hanging="314"/>
        <w:spacing w:after="0"/>
        <w:tabs>
          <w:tab w:leader="none" w:pos="320"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Includes capitalized lease obligations of $375 million.</w:t>
      </w:r>
    </w:p>
    <w:p>
      <w:pPr>
        <w:spacing w:after="0" w:line="61" w:lineRule="exact"/>
        <w:rPr>
          <w:rFonts w:ascii="Arial" w:cs="Arial" w:eastAsia="Arial" w:hAnsi="Arial"/>
          <w:sz w:val="16"/>
          <w:szCs w:val="16"/>
          <w:i w:val="1"/>
          <w:iCs w:val="1"/>
          <w:color w:val="auto"/>
        </w:rPr>
      </w:pPr>
    </w:p>
    <w:p>
      <w:pPr>
        <w:ind w:left="320" w:hanging="314"/>
        <w:spacing w:after="0"/>
        <w:tabs>
          <w:tab w:leader="none" w:pos="320"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 due in one year is included in notes and loans payable of $17,468 million.</w:t>
      </w:r>
    </w:p>
    <w:p>
      <w:pPr>
        <w:spacing w:after="0" w:line="61" w:lineRule="exact"/>
        <w:rPr>
          <w:rFonts w:ascii="Arial" w:cs="Arial" w:eastAsia="Arial" w:hAnsi="Arial"/>
          <w:sz w:val="16"/>
          <w:szCs w:val="16"/>
          <w:i w:val="1"/>
          <w:iCs w:val="1"/>
          <w:color w:val="auto"/>
        </w:rPr>
      </w:pPr>
    </w:p>
    <w:p>
      <w:pPr>
        <w:ind w:left="320" w:hanging="314"/>
        <w:spacing w:after="0"/>
        <w:tabs>
          <w:tab w:leader="none" w:pos="320"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The fair value of asset retirement obligations, primarily upstream asset removal costs at the completion of field life.</w:t>
      </w:r>
    </w:p>
    <w:p>
      <w:pPr>
        <w:spacing w:after="0" w:line="61" w:lineRule="exact"/>
        <w:rPr>
          <w:rFonts w:ascii="Arial" w:cs="Arial" w:eastAsia="Arial" w:hAnsi="Arial"/>
          <w:sz w:val="16"/>
          <w:szCs w:val="16"/>
          <w:i w:val="1"/>
          <w:iCs w:val="1"/>
          <w:color w:val="auto"/>
        </w:rPr>
      </w:pPr>
    </w:p>
    <w:p>
      <w:pPr>
        <w:ind w:left="300" w:hanging="294"/>
        <w:spacing w:after="0" w:line="306" w:lineRule="auto"/>
        <w:tabs>
          <w:tab w:leader="none" w:pos="319" w:val="left"/>
        </w:tabs>
        <w:numPr>
          <w:ilvl w:val="0"/>
          <w:numId w:val="22"/>
        </w:numPr>
        <w:rPr>
          <w:rFonts w:ascii="Arial" w:cs="Arial" w:eastAsia="Arial" w:hAnsi="Arial"/>
          <w:sz w:val="15"/>
          <w:szCs w:val="15"/>
          <w:i w:val="1"/>
          <w:iCs w:val="1"/>
          <w:color w:val="auto"/>
        </w:rPr>
      </w:pPr>
      <w:r>
        <w:rPr>
          <w:rFonts w:ascii="Arial" w:cs="Arial" w:eastAsia="Arial" w:hAnsi="Arial"/>
          <w:sz w:val="15"/>
          <w:szCs w:val="15"/>
          <w:i w:val="1"/>
          <w:iCs w:val="1"/>
          <w:color w:val="auto"/>
        </w:rPr>
        <w:t>The amount by which the benefit obligations exceeded the fair value of fund assets for certain U.S. and non-U.S. pension and other postretirement plans at year e payments by period include expected contributions to funded pension plans in 2015 and estimated benefit payments for unfunded plans in all years.</w:t>
      </w:r>
    </w:p>
    <w:p>
      <w:pPr>
        <w:spacing w:after="0" w:line="1" w:lineRule="exact"/>
        <w:rPr>
          <w:rFonts w:ascii="Arial" w:cs="Arial" w:eastAsia="Arial" w:hAnsi="Arial"/>
          <w:sz w:val="15"/>
          <w:szCs w:val="15"/>
          <w:i w:val="1"/>
          <w:iCs w:val="1"/>
          <w:color w:val="auto"/>
        </w:rPr>
      </w:pPr>
    </w:p>
    <w:p>
      <w:pPr>
        <w:ind w:left="320" w:hanging="314"/>
        <w:spacing w:after="0"/>
        <w:tabs>
          <w:tab w:leader="none" w:pos="320"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Minimum commitments for operating leases, shown on an undiscounted basis, cover drilling equipment, tankers, service stations and other properties.</w:t>
      </w:r>
    </w:p>
    <w:p>
      <w:pPr>
        <w:spacing w:after="0" w:line="61" w:lineRule="exact"/>
        <w:rPr>
          <w:rFonts w:ascii="Arial" w:cs="Arial" w:eastAsia="Arial" w:hAnsi="Arial"/>
          <w:sz w:val="16"/>
          <w:szCs w:val="16"/>
          <w:i w:val="1"/>
          <w:iCs w:val="1"/>
          <w:color w:val="auto"/>
        </w:rPr>
      </w:pPr>
    </w:p>
    <w:p>
      <w:pPr>
        <w:jc w:val="both"/>
        <w:ind w:left="300" w:hanging="294"/>
        <w:spacing w:after="0" w:line="271" w:lineRule="auto"/>
        <w:tabs>
          <w:tab w:leader="none" w:pos="323"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Unconditional purchase obligations (UPOs) are those long-term commitments that are noncancelable or cancelable only under certain conditions, and that third have used to secure financing for the facilities that will provide the contracted goods or services. The undiscounted obligations of $1,095 million mainly pe pipeline throughput agreements and include $433 million of obligations to equity companies.</w:t>
      </w:r>
    </w:p>
    <w:p>
      <w:pPr>
        <w:spacing w:after="0" w:line="13" w:lineRule="exact"/>
        <w:rPr>
          <w:rFonts w:ascii="Arial" w:cs="Arial" w:eastAsia="Arial" w:hAnsi="Arial"/>
          <w:sz w:val="16"/>
          <w:szCs w:val="16"/>
          <w:i w:val="1"/>
          <w:iCs w:val="1"/>
          <w:color w:val="auto"/>
        </w:rPr>
      </w:pPr>
    </w:p>
    <w:p>
      <w:pPr>
        <w:ind w:left="300" w:hanging="294"/>
        <w:spacing w:after="0" w:line="286" w:lineRule="auto"/>
        <w:tabs>
          <w:tab w:leader="none" w:pos="348"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Take-or-pay obligations are noncancelable, long-term commitments for goods and services other than UPOs. The undiscounted obligations of $27,709 million pertain to pipeline, manufacturing supply and terminal agreements.</w:t>
      </w:r>
    </w:p>
    <w:p>
      <w:pPr>
        <w:spacing w:after="0" w:line="2" w:lineRule="exact"/>
        <w:rPr>
          <w:rFonts w:ascii="Arial" w:cs="Arial" w:eastAsia="Arial" w:hAnsi="Arial"/>
          <w:sz w:val="16"/>
          <w:szCs w:val="16"/>
          <w:i w:val="1"/>
          <w:iCs w:val="1"/>
          <w:color w:val="auto"/>
        </w:rPr>
      </w:pPr>
    </w:p>
    <w:p>
      <w:pPr>
        <w:jc w:val="both"/>
        <w:ind w:left="300" w:hanging="294"/>
        <w:spacing w:after="0" w:line="284" w:lineRule="auto"/>
        <w:tabs>
          <w:tab w:leader="none" w:pos="332" w:val="left"/>
        </w:tabs>
        <w:numPr>
          <w:ilvl w:val="0"/>
          <w:numId w:val="22"/>
        </w:numPr>
        <w:rPr>
          <w:rFonts w:ascii="Arial" w:cs="Arial" w:eastAsia="Arial" w:hAnsi="Arial"/>
          <w:sz w:val="15"/>
          <w:szCs w:val="15"/>
          <w:i w:val="1"/>
          <w:iCs w:val="1"/>
          <w:color w:val="auto"/>
        </w:rPr>
      </w:pPr>
      <w:r>
        <w:rPr>
          <w:rFonts w:ascii="Arial" w:cs="Arial" w:eastAsia="Arial" w:hAnsi="Arial"/>
          <w:sz w:val="15"/>
          <w:szCs w:val="15"/>
          <w:i w:val="1"/>
          <w:iCs w:val="1"/>
          <w:color w:val="auto"/>
        </w:rPr>
        <w:t>Firm commitments related to capital projects, shown on an undiscounted basis, totaled approximately $25.6 billion. These commitments were primarily associat Upstream projects outside the U.S., of which $13.9 billion was associated with projects in Africa, Canada, Australia, United Arab Emirates, Malaysia and Kaza The Corporation expects to fund the majority of these projects with internally generated funds, supplemented by long-term and short-term debt.</w:t>
      </w:r>
    </w:p>
    <w:p>
      <w:pPr>
        <w:jc w:val="center"/>
        <w:ind w:left="114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9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Corporation and certain of its consolidated subsidiaries were contingently liable at December 31, 2014, for guarantees relating to notes, loans and performanc contracts (Note 16). Where guarantees for environmental remediation and other similar matters do not include a stated cap, the amounts reflect management’s estimat maximum potential exposure. These guarantees are not reasonably likely to have a material effect on the Corporation’s financial condition, changes in financial co revenues or expenses, results of operations, liquidity, capital expenditures or capital resources.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Strength</w:t>
      </w:r>
    </w:p>
    <w:p>
      <w:pPr>
        <w:spacing w:after="0" w:line="90"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On December 31, 2014, the Corporation’s unused short-term committed lines of credit totaled approximately $6.3 billion (Note 6) and unused long-term committed credit totaled approximately $0.5 billion (Note 14). The table below shows the Corporation’s fixed-charge coverage and consolidated debt-to-capital ratios. T demonstrate the Corporation’s creditworthiness.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20" w:type="dxa"/>
            <w:vAlign w:val="bottom"/>
          </w:tcPr>
          <w:p>
            <w:pPr>
              <w:spacing w:after="0"/>
              <w:rPr>
                <w:sz w:val="14"/>
                <w:szCs w:val="14"/>
                <w:color w:val="auto"/>
              </w:rPr>
            </w:pPr>
          </w:p>
        </w:tc>
        <w:tc>
          <w:tcPr>
            <w:tcW w:w="3760" w:type="dxa"/>
            <w:vAlign w:val="bottom"/>
          </w:tcPr>
          <w:p>
            <w:pPr>
              <w:jc w:val="right"/>
              <w:ind w:right="542"/>
              <w:spacing w:after="0"/>
              <w:rPr>
                <w:sz w:val="20"/>
                <w:szCs w:val="20"/>
                <w:color w:val="auto"/>
              </w:rPr>
            </w:pPr>
            <w:r>
              <w:rPr>
                <w:rFonts w:ascii="Arial" w:cs="Arial" w:eastAsia="Arial" w:hAnsi="Arial"/>
                <w:sz w:val="13"/>
                <w:szCs w:val="13"/>
                <w:b w:val="1"/>
                <w:bCs w:val="1"/>
                <w:color w:val="auto"/>
              </w:rPr>
              <w:t>2014</w:t>
            </w:r>
          </w:p>
        </w:tc>
        <w:tc>
          <w:tcPr>
            <w:tcW w:w="2060" w:type="dxa"/>
            <w:vAlign w:val="bottom"/>
          </w:tcPr>
          <w:p>
            <w:pPr>
              <w:jc w:val="right"/>
              <w:ind w:right="1022"/>
              <w:spacing w:after="0"/>
              <w:rPr>
                <w:sz w:val="20"/>
                <w:szCs w:val="20"/>
                <w:color w:val="auto"/>
              </w:rPr>
            </w:pPr>
            <w:r>
              <w:rPr>
                <w:rFonts w:ascii="Arial" w:cs="Arial" w:eastAsia="Arial" w:hAnsi="Arial"/>
                <w:sz w:val="13"/>
                <w:szCs w:val="13"/>
                <w:b w:val="1"/>
                <w:bCs w:val="1"/>
                <w:color w:val="auto"/>
              </w:rPr>
              <w:t>2013</w:t>
            </w:r>
          </w:p>
        </w:tc>
      </w:tr>
      <w:tr>
        <w:trPr>
          <w:trHeight w:val="23"/>
        </w:trPr>
        <w:tc>
          <w:tcPr>
            <w:tcW w:w="51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176"/>
        </w:trPr>
        <w:tc>
          <w:tcPr>
            <w:tcW w:w="5120" w:type="dxa"/>
            <w:vAlign w:val="bottom"/>
          </w:tcPr>
          <w:p>
            <w:pPr>
              <w:spacing w:after="0" w:line="176" w:lineRule="exact"/>
              <w:rPr>
                <w:sz w:val="20"/>
                <w:szCs w:val="20"/>
                <w:color w:val="auto"/>
              </w:rPr>
            </w:pPr>
            <w:r>
              <w:rPr>
                <w:rFonts w:ascii="Arial" w:cs="Arial" w:eastAsia="Arial" w:hAnsi="Arial"/>
                <w:sz w:val="16"/>
                <w:szCs w:val="16"/>
                <w:color w:val="auto"/>
              </w:rPr>
              <w:t>Fixed-charge coverage ratio (times)</w:t>
            </w:r>
          </w:p>
        </w:tc>
        <w:tc>
          <w:tcPr>
            <w:tcW w:w="3760" w:type="dxa"/>
            <w:vAlign w:val="bottom"/>
          </w:tcPr>
          <w:p>
            <w:pPr>
              <w:jc w:val="right"/>
              <w:ind w:right="602"/>
              <w:spacing w:after="0" w:line="176" w:lineRule="exact"/>
              <w:rPr>
                <w:sz w:val="20"/>
                <w:szCs w:val="20"/>
                <w:color w:val="auto"/>
              </w:rPr>
            </w:pPr>
            <w:r>
              <w:rPr>
                <w:rFonts w:ascii="Arial" w:cs="Arial" w:eastAsia="Arial" w:hAnsi="Arial"/>
                <w:sz w:val="16"/>
                <w:szCs w:val="16"/>
                <w:color w:val="auto"/>
              </w:rPr>
              <w:t>46.9</w:t>
            </w:r>
          </w:p>
        </w:tc>
        <w:tc>
          <w:tcPr>
            <w:tcW w:w="2060" w:type="dxa"/>
            <w:vAlign w:val="bottom"/>
          </w:tcPr>
          <w:p>
            <w:pPr>
              <w:jc w:val="right"/>
              <w:ind w:right="1062"/>
              <w:spacing w:after="0" w:line="176" w:lineRule="exact"/>
              <w:rPr>
                <w:sz w:val="20"/>
                <w:szCs w:val="20"/>
                <w:color w:val="auto"/>
              </w:rPr>
            </w:pPr>
            <w:r>
              <w:rPr>
                <w:rFonts w:ascii="Arial" w:cs="Arial" w:eastAsia="Arial" w:hAnsi="Arial"/>
                <w:sz w:val="16"/>
                <w:szCs w:val="16"/>
                <w:color w:val="auto"/>
              </w:rPr>
              <w:t>55.7</w:t>
            </w:r>
          </w:p>
        </w:tc>
      </w:tr>
      <w:tr>
        <w:trPr>
          <w:trHeight w:val="196"/>
        </w:trPr>
        <w:tc>
          <w:tcPr>
            <w:tcW w:w="5120" w:type="dxa"/>
            <w:vAlign w:val="bottom"/>
          </w:tcPr>
          <w:p>
            <w:pPr>
              <w:spacing w:after="0"/>
              <w:rPr>
                <w:sz w:val="20"/>
                <w:szCs w:val="20"/>
                <w:color w:val="auto"/>
              </w:rPr>
            </w:pPr>
            <w:r>
              <w:rPr>
                <w:rFonts w:ascii="Arial" w:cs="Arial" w:eastAsia="Arial" w:hAnsi="Arial"/>
                <w:sz w:val="16"/>
                <w:szCs w:val="16"/>
                <w:color w:val="auto"/>
              </w:rPr>
              <w:t>Debt to capital (percent)</w:t>
            </w:r>
          </w:p>
        </w:tc>
        <w:tc>
          <w:tcPr>
            <w:tcW w:w="3760" w:type="dxa"/>
            <w:vAlign w:val="bottom"/>
          </w:tcPr>
          <w:p>
            <w:pPr>
              <w:jc w:val="right"/>
              <w:ind w:right="602"/>
              <w:spacing w:after="0"/>
              <w:rPr>
                <w:sz w:val="20"/>
                <w:szCs w:val="20"/>
                <w:color w:val="auto"/>
              </w:rPr>
            </w:pPr>
            <w:r>
              <w:rPr>
                <w:rFonts w:ascii="Arial" w:cs="Arial" w:eastAsia="Arial" w:hAnsi="Arial"/>
                <w:sz w:val="16"/>
                <w:szCs w:val="16"/>
                <w:color w:val="auto"/>
              </w:rPr>
              <w:t>13.9</w:t>
            </w:r>
          </w:p>
        </w:tc>
        <w:tc>
          <w:tcPr>
            <w:tcW w:w="2060" w:type="dxa"/>
            <w:vAlign w:val="bottom"/>
          </w:tcPr>
          <w:p>
            <w:pPr>
              <w:jc w:val="right"/>
              <w:ind w:right="1062"/>
              <w:spacing w:after="0"/>
              <w:rPr>
                <w:sz w:val="20"/>
                <w:szCs w:val="20"/>
                <w:color w:val="auto"/>
              </w:rPr>
            </w:pPr>
            <w:r>
              <w:rPr>
                <w:rFonts w:ascii="Arial" w:cs="Arial" w:eastAsia="Arial" w:hAnsi="Arial"/>
                <w:sz w:val="16"/>
                <w:szCs w:val="16"/>
                <w:color w:val="auto"/>
              </w:rPr>
              <w:t>11.2</w:t>
            </w:r>
          </w:p>
        </w:tc>
      </w:tr>
      <w:tr>
        <w:trPr>
          <w:trHeight w:val="208"/>
        </w:trPr>
        <w:tc>
          <w:tcPr>
            <w:tcW w:w="5120" w:type="dxa"/>
            <w:vAlign w:val="bottom"/>
          </w:tcPr>
          <w:p>
            <w:pPr>
              <w:spacing w:after="0"/>
              <w:rPr>
                <w:sz w:val="20"/>
                <w:szCs w:val="20"/>
                <w:color w:val="auto"/>
              </w:rPr>
            </w:pPr>
            <w:r>
              <w:rPr>
                <w:rFonts w:ascii="Arial" w:cs="Arial" w:eastAsia="Arial" w:hAnsi="Arial"/>
                <w:sz w:val="16"/>
                <w:szCs w:val="16"/>
                <w:color w:val="auto"/>
              </w:rPr>
              <w:t>Net debt to capital (percent)</w:t>
            </w:r>
          </w:p>
        </w:tc>
        <w:tc>
          <w:tcPr>
            <w:tcW w:w="3760" w:type="dxa"/>
            <w:vAlign w:val="bottom"/>
          </w:tcPr>
          <w:p>
            <w:pPr>
              <w:jc w:val="right"/>
              <w:ind w:right="602"/>
              <w:spacing w:after="0"/>
              <w:rPr>
                <w:sz w:val="20"/>
                <w:szCs w:val="20"/>
                <w:color w:val="auto"/>
              </w:rPr>
            </w:pPr>
            <w:r>
              <w:rPr>
                <w:rFonts w:ascii="Arial" w:cs="Arial" w:eastAsia="Arial" w:hAnsi="Arial"/>
                <w:sz w:val="16"/>
                <w:szCs w:val="16"/>
                <w:color w:val="auto"/>
              </w:rPr>
              <w:t>11.9</w:t>
            </w:r>
          </w:p>
        </w:tc>
        <w:tc>
          <w:tcPr>
            <w:tcW w:w="2060" w:type="dxa"/>
            <w:vAlign w:val="bottom"/>
          </w:tcPr>
          <w:p>
            <w:pPr>
              <w:jc w:val="right"/>
              <w:ind w:right="1062"/>
              <w:spacing w:after="0"/>
              <w:rPr>
                <w:sz w:val="20"/>
                <w:szCs w:val="20"/>
                <w:color w:val="auto"/>
              </w:rPr>
            </w:pPr>
            <w:r>
              <w:rPr>
                <w:rFonts w:ascii="Arial" w:cs="Arial" w:eastAsia="Arial" w:hAnsi="Arial"/>
                <w:sz w:val="16"/>
                <w:szCs w:val="16"/>
                <w:color w:val="auto"/>
              </w:rPr>
              <w:t>9.1</w:t>
            </w:r>
          </w:p>
        </w:tc>
      </w:tr>
    </w:tbl>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Management views the Corporation’s financial strength, as evidenced by the above financial ratios and other similar measures, to be a competitive advantage of s importance. The Corporation’s sound financial position gives it the opportunity to access the world’s capital markets in the full range of market conditions, and ena Corporation to take on large, long-term capital commitments in the pursuit of maximizing shareholder value.</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 and Other Contingencies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As discussed in Note 16, a variety of claims have been made against ExxonMobil and certain of its consolidated subsidiaries in a number of pending lawsuits. Bas consideration of all relevant facts and circumstances, the Corporation does not believe the ultimate outcome of any currently pending lawsuit against ExxonMobil wil material adverse effect upon the Corporation’s operations, financial condition, or financial statements taken as a whole. There are no events or uncertainties beyon already included in reported financial information that would indicate a material change in future operating results or financial condition. Refer to Note 16 for ad information on legal proceedings and other contingencies.</w:t>
      </w:r>
    </w:p>
    <w:p>
      <w:pPr>
        <w:spacing w:after="0" w:line="70"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AND EXPLORATION EXPENDITURES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jc w:val="right"/>
              <w:ind w:right="463"/>
              <w:spacing w:after="0"/>
              <w:rPr>
                <w:sz w:val="20"/>
                <w:szCs w:val="20"/>
                <w:color w:val="auto"/>
              </w:rPr>
            </w:pPr>
            <w:r>
              <w:rPr>
                <w:rFonts w:ascii="Arial" w:cs="Arial" w:eastAsia="Arial" w:hAnsi="Arial"/>
                <w:sz w:val="13"/>
                <w:szCs w:val="13"/>
                <w:b w:val="1"/>
                <w:bCs w:val="1"/>
                <w:color w:val="auto"/>
              </w:rPr>
              <w:t>2014</w:t>
            </w:r>
          </w:p>
        </w:tc>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jc w:val="right"/>
              <w:ind w:right="823"/>
              <w:spacing w:after="0"/>
              <w:rPr>
                <w:sz w:val="20"/>
                <w:szCs w:val="20"/>
                <w:color w:val="auto"/>
              </w:rPr>
            </w:pPr>
            <w:r>
              <w:rPr>
                <w:rFonts w:ascii="Arial" w:cs="Arial" w:eastAsia="Arial" w:hAnsi="Arial"/>
                <w:sz w:val="13"/>
                <w:szCs w:val="13"/>
                <w:b w:val="1"/>
                <w:bCs w:val="1"/>
                <w:color w:val="auto"/>
              </w:rPr>
              <w:t>2013</w:t>
            </w:r>
          </w:p>
        </w:tc>
      </w:tr>
      <w:tr>
        <w:trPr>
          <w:trHeight w:val="23"/>
        </w:trPr>
        <w:tc>
          <w:tcPr>
            <w:tcW w:w="44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71"/>
        </w:trPr>
        <w:tc>
          <w:tcPr>
            <w:tcW w:w="4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U.S.</w:t>
            </w:r>
          </w:p>
        </w:tc>
        <w:tc>
          <w:tcPr>
            <w:tcW w:w="120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Non-U.S.</w:t>
            </w:r>
          </w:p>
        </w:tc>
        <w:tc>
          <w:tcPr>
            <w:tcW w:w="1880" w:type="dxa"/>
            <w:vAlign w:val="bottom"/>
            <w:tcBorders>
              <w:bottom w:val="single" w:sz="8" w:color="auto"/>
            </w:tcBorders>
          </w:tcPr>
          <w:p>
            <w:pPr>
              <w:jc w:val="right"/>
              <w:ind w:right="1183"/>
              <w:spacing w:after="0"/>
              <w:rPr>
                <w:sz w:val="20"/>
                <w:szCs w:val="20"/>
                <w:color w:val="auto"/>
              </w:rPr>
            </w:pPr>
            <w:r>
              <w:rPr>
                <w:rFonts w:ascii="Arial" w:cs="Arial" w:eastAsia="Arial" w:hAnsi="Arial"/>
                <w:sz w:val="13"/>
                <w:szCs w:val="13"/>
                <w:b w:val="1"/>
                <w:bCs w:val="1"/>
                <w:color w:val="auto"/>
              </w:rPr>
              <w:t>Total</w:t>
            </w:r>
          </w:p>
        </w:tc>
        <w:tc>
          <w:tcPr>
            <w:tcW w:w="820" w:type="dxa"/>
            <w:vAlign w:val="bottom"/>
            <w:tcBorders>
              <w:bottom w:val="single" w:sz="8" w:color="auto"/>
            </w:tcBorders>
          </w:tcPr>
          <w:p>
            <w:pPr>
              <w:jc w:val="right"/>
              <w:ind w:right="421"/>
              <w:spacing w:after="0"/>
              <w:rPr>
                <w:sz w:val="20"/>
                <w:szCs w:val="20"/>
                <w:color w:val="auto"/>
              </w:rPr>
            </w:pPr>
            <w:r>
              <w:rPr>
                <w:rFonts w:ascii="Arial" w:cs="Arial" w:eastAsia="Arial" w:hAnsi="Arial"/>
                <w:sz w:val="13"/>
                <w:szCs w:val="13"/>
                <w:b w:val="1"/>
                <w:bCs w:val="1"/>
                <w:color w:val="auto"/>
              </w:rPr>
              <w:t>U.S.</w:t>
            </w:r>
          </w:p>
        </w:tc>
        <w:tc>
          <w:tcPr>
            <w:tcW w:w="1540" w:type="dxa"/>
            <w:vAlign w:val="bottom"/>
            <w:tcBorders>
              <w:bottom w:val="single" w:sz="8" w:color="auto"/>
            </w:tcBorders>
          </w:tcPr>
          <w:p>
            <w:pPr>
              <w:jc w:val="right"/>
              <w:ind w:right="703"/>
              <w:spacing w:after="0"/>
              <w:rPr>
                <w:sz w:val="20"/>
                <w:szCs w:val="20"/>
                <w:color w:val="auto"/>
              </w:rPr>
            </w:pPr>
            <w:r>
              <w:rPr>
                <w:rFonts w:ascii="Arial" w:cs="Arial" w:eastAsia="Arial" w:hAnsi="Arial"/>
                <w:sz w:val="13"/>
                <w:szCs w:val="13"/>
                <w:b w:val="1"/>
                <w:bCs w:val="1"/>
                <w:color w:val="auto"/>
              </w:rPr>
              <w:t>Non-U.S.</w:t>
            </w:r>
          </w:p>
        </w:tc>
      </w:tr>
      <w:tr>
        <w:trPr>
          <w:trHeight w:val="171"/>
        </w:trPr>
        <w:tc>
          <w:tcPr>
            <w:tcW w:w="4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80" w:type="dxa"/>
            <w:vAlign w:val="bottom"/>
          </w:tcPr>
          <w:p>
            <w:pPr>
              <w:jc w:val="right"/>
              <w:ind w:right="23"/>
              <w:spacing w:after="0"/>
              <w:rPr>
                <w:sz w:val="20"/>
                <w:szCs w:val="20"/>
                <w:color w:val="auto"/>
              </w:rPr>
            </w:pPr>
            <w:r>
              <w:rPr>
                <w:rFonts w:ascii="Arial" w:cs="Arial" w:eastAsia="Arial" w:hAnsi="Arial"/>
                <w:sz w:val="13"/>
                <w:szCs w:val="13"/>
                <w:i w:val="1"/>
                <w:iCs w:val="1"/>
                <w:color w:val="auto"/>
              </w:rPr>
              <w:t>(millions of dollars)</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403"/>
        </w:trPr>
        <w:tc>
          <w:tcPr>
            <w:tcW w:w="4460" w:type="dxa"/>
            <w:vAlign w:val="bottom"/>
          </w:tcPr>
          <w:p>
            <w:pPr>
              <w:spacing w:after="0"/>
              <w:rPr>
                <w:sz w:val="20"/>
                <w:szCs w:val="20"/>
                <w:color w:val="auto"/>
              </w:rPr>
            </w:pPr>
            <w:r>
              <w:rPr>
                <w:rFonts w:ascii="Arial" w:cs="Arial" w:eastAsia="Arial" w:hAnsi="Arial"/>
                <w:sz w:val="16"/>
                <w:szCs w:val="16"/>
                <w:color w:val="auto"/>
              </w:rPr>
              <w:t xml:space="preserve">Upstream </w:t>
            </w:r>
            <w:r>
              <w:rPr>
                <w:rFonts w:ascii="Arial" w:cs="Arial" w:eastAsia="Arial" w:hAnsi="Arial"/>
                <w:sz w:val="14"/>
                <w:szCs w:val="14"/>
                <w:i w:val="1"/>
                <w:iCs w:val="1"/>
                <w:color w:val="auto"/>
              </w:rPr>
              <w:t>(1)</w:t>
            </w:r>
          </w:p>
        </w:tc>
        <w:tc>
          <w:tcPr>
            <w:tcW w:w="1040" w:type="dxa"/>
            <w:vAlign w:val="bottom"/>
          </w:tcPr>
          <w:p>
            <w:pPr>
              <w:jc w:val="right"/>
              <w:ind w:right="201"/>
              <w:spacing w:after="0"/>
              <w:rPr>
                <w:sz w:val="20"/>
                <w:szCs w:val="20"/>
                <w:color w:val="auto"/>
              </w:rPr>
            </w:pPr>
            <w:r>
              <w:rPr>
                <w:rFonts w:ascii="Arial" w:cs="Arial" w:eastAsia="Arial" w:hAnsi="Arial"/>
                <w:sz w:val="16"/>
                <w:szCs w:val="16"/>
                <w:color w:val="auto"/>
              </w:rPr>
              <w:t>9,401</w:t>
            </w:r>
          </w:p>
        </w:tc>
        <w:tc>
          <w:tcPr>
            <w:tcW w:w="1200" w:type="dxa"/>
            <w:vAlign w:val="bottom"/>
          </w:tcPr>
          <w:p>
            <w:pPr>
              <w:jc w:val="right"/>
              <w:ind w:right="243"/>
              <w:spacing w:after="0"/>
              <w:rPr>
                <w:sz w:val="20"/>
                <w:szCs w:val="20"/>
                <w:color w:val="auto"/>
              </w:rPr>
            </w:pPr>
            <w:r>
              <w:rPr>
                <w:rFonts w:ascii="Arial" w:cs="Arial" w:eastAsia="Arial" w:hAnsi="Arial"/>
                <w:sz w:val="16"/>
                <w:szCs w:val="16"/>
                <w:color w:val="auto"/>
              </w:rPr>
              <w:t>23,326</w:t>
            </w:r>
          </w:p>
        </w:tc>
        <w:tc>
          <w:tcPr>
            <w:tcW w:w="1880" w:type="dxa"/>
            <w:vAlign w:val="bottom"/>
          </w:tcPr>
          <w:p>
            <w:pPr>
              <w:jc w:val="right"/>
              <w:ind w:right="983"/>
              <w:spacing w:after="0"/>
              <w:rPr>
                <w:sz w:val="20"/>
                <w:szCs w:val="20"/>
                <w:color w:val="auto"/>
              </w:rPr>
            </w:pPr>
            <w:r>
              <w:rPr>
                <w:rFonts w:ascii="Arial" w:cs="Arial" w:eastAsia="Arial" w:hAnsi="Arial"/>
                <w:sz w:val="16"/>
                <w:szCs w:val="16"/>
                <w:color w:val="auto"/>
              </w:rPr>
              <w:t>32,727</w:t>
            </w:r>
          </w:p>
        </w:tc>
        <w:tc>
          <w:tcPr>
            <w:tcW w:w="820" w:type="dxa"/>
            <w:vAlign w:val="bottom"/>
          </w:tcPr>
          <w:p>
            <w:pPr>
              <w:jc w:val="right"/>
              <w:ind w:right="181"/>
              <w:spacing w:after="0"/>
              <w:rPr>
                <w:sz w:val="20"/>
                <w:szCs w:val="20"/>
                <w:color w:val="auto"/>
              </w:rPr>
            </w:pPr>
            <w:r>
              <w:rPr>
                <w:rFonts w:ascii="Arial" w:cs="Arial" w:eastAsia="Arial" w:hAnsi="Arial"/>
                <w:sz w:val="16"/>
                <w:szCs w:val="16"/>
                <w:color w:val="auto"/>
              </w:rPr>
              <w:t>9,145</w:t>
            </w:r>
          </w:p>
        </w:tc>
        <w:tc>
          <w:tcPr>
            <w:tcW w:w="1540" w:type="dxa"/>
            <w:vAlign w:val="bottom"/>
          </w:tcPr>
          <w:p>
            <w:pPr>
              <w:jc w:val="right"/>
              <w:ind w:right="603"/>
              <w:spacing w:after="0"/>
              <w:rPr>
                <w:sz w:val="20"/>
                <w:szCs w:val="20"/>
                <w:color w:val="auto"/>
              </w:rPr>
            </w:pPr>
            <w:r>
              <w:rPr>
                <w:rFonts w:ascii="Arial" w:cs="Arial" w:eastAsia="Arial" w:hAnsi="Arial"/>
                <w:sz w:val="16"/>
                <w:szCs w:val="16"/>
                <w:color w:val="auto"/>
              </w:rPr>
              <w:t>29,086</w:t>
            </w: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Downstream</w:t>
            </w:r>
          </w:p>
        </w:tc>
        <w:tc>
          <w:tcPr>
            <w:tcW w:w="1040" w:type="dxa"/>
            <w:vAlign w:val="bottom"/>
          </w:tcPr>
          <w:p>
            <w:pPr>
              <w:jc w:val="right"/>
              <w:ind w:right="201"/>
              <w:spacing w:after="0"/>
              <w:rPr>
                <w:sz w:val="20"/>
                <w:szCs w:val="20"/>
                <w:color w:val="auto"/>
              </w:rPr>
            </w:pPr>
            <w:r>
              <w:rPr>
                <w:rFonts w:ascii="Arial" w:cs="Arial" w:eastAsia="Arial" w:hAnsi="Arial"/>
                <w:sz w:val="16"/>
                <w:szCs w:val="16"/>
                <w:color w:val="auto"/>
              </w:rPr>
              <w:t>1,310</w:t>
            </w:r>
          </w:p>
        </w:tc>
        <w:tc>
          <w:tcPr>
            <w:tcW w:w="1200" w:type="dxa"/>
            <w:vAlign w:val="bottom"/>
          </w:tcPr>
          <w:p>
            <w:pPr>
              <w:jc w:val="right"/>
              <w:ind w:right="243"/>
              <w:spacing w:after="0"/>
              <w:rPr>
                <w:sz w:val="20"/>
                <w:szCs w:val="20"/>
                <w:color w:val="auto"/>
              </w:rPr>
            </w:pPr>
            <w:r>
              <w:rPr>
                <w:rFonts w:ascii="Arial" w:cs="Arial" w:eastAsia="Arial" w:hAnsi="Arial"/>
                <w:sz w:val="16"/>
                <w:szCs w:val="16"/>
                <w:color w:val="auto"/>
              </w:rPr>
              <w:t>1,724</w:t>
            </w:r>
          </w:p>
        </w:tc>
        <w:tc>
          <w:tcPr>
            <w:tcW w:w="1880" w:type="dxa"/>
            <w:vAlign w:val="bottom"/>
          </w:tcPr>
          <w:p>
            <w:pPr>
              <w:jc w:val="right"/>
              <w:ind w:right="983"/>
              <w:spacing w:after="0"/>
              <w:rPr>
                <w:sz w:val="20"/>
                <w:szCs w:val="20"/>
                <w:color w:val="auto"/>
              </w:rPr>
            </w:pPr>
            <w:r>
              <w:rPr>
                <w:rFonts w:ascii="Arial" w:cs="Arial" w:eastAsia="Arial" w:hAnsi="Arial"/>
                <w:sz w:val="16"/>
                <w:szCs w:val="16"/>
                <w:color w:val="auto"/>
              </w:rPr>
              <w:t>3,034</w:t>
            </w:r>
          </w:p>
        </w:tc>
        <w:tc>
          <w:tcPr>
            <w:tcW w:w="820" w:type="dxa"/>
            <w:vAlign w:val="bottom"/>
          </w:tcPr>
          <w:p>
            <w:pPr>
              <w:jc w:val="right"/>
              <w:ind w:right="181"/>
              <w:spacing w:after="0"/>
              <w:rPr>
                <w:sz w:val="20"/>
                <w:szCs w:val="20"/>
                <w:color w:val="auto"/>
              </w:rPr>
            </w:pPr>
            <w:r>
              <w:rPr>
                <w:rFonts w:ascii="Arial" w:cs="Arial" w:eastAsia="Arial" w:hAnsi="Arial"/>
                <w:sz w:val="16"/>
                <w:szCs w:val="16"/>
                <w:color w:val="auto"/>
              </w:rPr>
              <w:t>951</w:t>
            </w:r>
          </w:p>
        </w:tc>
        <w:tc>
          <w:tcPr>
            <w:tcW w:w="1540" w:type="dxa"/>
            <w:vAlign w:val="bottom"/>
          </w:tcPr>
          <w:p>
            <w:pPr>
              <w:jc w:val="right"/>
              <w:ind w:right="603"/>
              <w:spacing w:after="0"/>
              <w:rPr>
                <w:sz w:val="20"/>
                <w:szCs w:val="20"/>
                <w:color w:val="auto"/>
              </w:rPr>
            </w:pPr>
            <w:r>
              <w:rPr>
                <w:rFonts w:ascii="Arial" w:cs="Arial" w:eastAsia="Arial" w:hAnsi="Arial"/>
                <w:sz w:val="16"/>
                <w:szCs w:val="16"/>
                <w:color w:val="auto"/>
              </w:rPr>
              <w:t>1,462</w:t>
            </w: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Chemical</w:t>
            </w:r>
          </w:p>
        </w:tc>
        <w:tc>
          <w:tcPr>
            <w:tcW w:w="1040" w:type="dxa"/>
            <w:vAlign w:val="bottom"/>
          </w:tcPr>
          <w:p>
            <w:pPr>
              <w:jc w:val="right"/>
              <w:ind w:right="201"/>
              <w:spacing w:after="0"/>
              <w:rPr>
                <w:sz w:val="20"/>
                <w:szCs w:val="20"/>
                <w:color w:val="auto"/>
              </w:rPr>
            </w:pPr>
            <w:r>
              <w:rPr>
                <w:rFonts w:ascii="Arial" w:cs="Arial" w:eastAsia="Arial" w:hAnsi="Arial"/>
                <w:sz w:val="16"/>
                <w:szCs w:val="16"/>
                <w:color w:val="auto"/>
              </w:rPr>
              <w:t>1,690</w:t>
            </w:r>
          </w:p>
        </w:tc>
        <w:tc>
          <w:tcPr>
            <w:tcW w:w="1200" w:type="dxa"/>
            <w:vAlign w:val="bottom"/>
          </w:tcPr>
          <w:p>
            <w:pPr>
              <w:jc w:val="right"/>
              <w:ind w:right="243"/>
              <w:spacing w:after="0"/>
              <w:rPr>
                <w:sz w:val="20"/>
                <w:szCs w:val="20"/>
                <w:color w:val="auto"/>
              </w:rPr>
            </w:pPr>
            <w:r>
              <w:rPr>
                <w:rFonts w:ascii="Arial" w:cs="Arial" w:eastAsia="Arial" w:hAnsi="Arial"/>
                <w:sz w:val="16"/>
                <w:szCs w:val="16"/>
                <w:color w:val="auto"/>
              </w:rPr>
              <w:t>1,051</w:t>
            </w:r>
          </w:p>
        </w:tc>
        <w:tc>
          <w:tcPr>
            <w:tcW w:w="1880" w:type="dxa"/>
            <w:vAlign w:val="bottom"/>
          </w:tcPr>
          <w:p>
            <w:pPr>
              <w:jc w:val="right"/>
              <w:ind w:right="983"/>
              <w:spacing w:after="0"/>
              <w:rPr>
                <w:sz w:val="20"/>
                <w:szCs w:val="20"/>
                <w:color w:val="auto"/>
              </w:rPr>
            </w:pPr>
            <w:r>
              <w:rPr>
                <w:rFonts w:ascii="Arial" w:cs="Arial" w:eastAsia="Arial" w:hAnsi="Arial"/>
                <w:sz w:val="16"/>
                <w:szCs w:val="16"/>
                <w:color w:val="auto"/>
              </w:rPr>
              <w:t>2,741</w:t>
            </w:r>
          </w:p>
        </w:tc>
        <w:tc>
          <w:tcPr>
            <w:tcW w:w="820" w:type="dxa"/>
            <w:vAlign w:val="bottom"/>
          </w:tcPr>
          <w:p>
            <w:pPr>
              <w:jc w:val="right"/>
              <w:ind w:right="181"/>
              <w:spacing w:after="0"/>
              <w:rPr>
                <w:sz w:val="20"/>
                <w:szCs w:val="20"/>
                <w:color w:val="auto"/>
              </w:rPr>
            </w:pPr>
            <w:r>
              <w:rPr>
                <w:rFonts w:ascii="Arial" w:cs="Arial" w:eastAsia="Arial" w:hAnsi="Arial"/>
                <w:sz w:val="16"/>
                <w:szCs w:val="16"/>
                <w:color w:val="auto"/>
              </w:rPr>
              <w:t>963</w:t>
            </w:r>
          </w:p>
        </w:tc>
        <w:tc>
          <w:tcPr>
            <w:tcW w:w="1540" w:type="dxa"/>
            <w:vAlign w:val="bottom"/>
          </w:tcPr>
          <w:p>
            <w:pPr>
              <w:jc w:val="right"/>
              <w:ind w:right="603"/>
              <w:spacing w:after="0"/>
              <w:rPr>
                <w:sz w:val="20"/>
                <w:szCs w:val="20"/>
                <w:color w:val="auto"/>
              </w:rPr>
            </w:pPr>
            <w:r>
              <w:rPr>
                <w:rFonts w:ascii="Arial" w:cs="Arial" w:eastAsia="Arial" w:hAnsi="Arial"/>
                <w:sz w:val="16"/>
                <w:szCs w:val="16"/>
                <w:color w:val="auto"/>
              </w:rPr>
              <w:t>869</w:t>
            </w:r>
          </w:p>
        </w:tc>
      </w:tr>
      <w:tr>
        <w:trPr>
          <w:trHeight w:val="208"/>
        </w:trPr>
        <w:tc>
          <w:tcPr>
            <w:tcW w:w="4460" w:type="dxa"/>
            <w:vAlign w:val="bottom"/>
          </w:tcPr>
          <w:p>
            <w:pPr>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35</w:t>
            </w:r>
          </w:p>
        </w:tc>
        <w:tc>
          <w:tcPr>
            <w:tcW w:w="120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ind w:right="983"/>
              <w:spacing w:after="0"/>
              <w:rPr>
                <w:sz w:val="20"/>
                <w:szCs w:val="20"/>
                <w:color w:val="auto"/>
              </w:rPr>
            </w:pPr>
            <w:r>
              <w:rPr>
                <w:rFonts w:ascii="Arial" w:cs="Arial" w:eastAsia="Arial" w:hAnsi="Arial"/>
                <w:sz w:val="16"/>
                <w:szCs w:val="16"/>
                <w:color w:val="auto"/>
              </w:rPr>
              <w:t>35</w:t>
            </w:r>
          </w:p>
        </w:tc>
        <w:tc>
          <w:tcPr>
            <w:tcW w:w="8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13</w:t>
            </w:r>
          </w:p>
        </w:tc>
        <w:tc>
          <w:tcPr>
            <w:tcW w:w="1540" w:type="dxa"/>
            <w:vAlign w:val="bottom"/>
            <w:tcBorders>
              <w:bottom w:val="single" w:sz="8" w:color="auto"/>
            </w:tcBorders>
          </w:tcPr>
          <w:p>
            <w:pPr>
              <w:jc w:val="right"/>
              <w:ind w:right="603"/>
              <w:spacing w:after="0"/>
              <w:rPr>
                <w:sz w:val="20"/>
                <w:szCs w:val="20"/>
                <w:color w:val="auto"/>
              </w:rPr>
            </w:pPr>
            <w:r>
              <w:rPr>
                <w:rFonts w:ascii="Arial" w:cs="Arial" w:eastAsia="Arial" w:hAnsi="Arial"/>
                <w:sz w:val="16"/>
                <w:szCs w:val="16"/>
                <w:color w:val="auto"/>
              </w:rPr>
              <w:t>-</w:t>
            </w:r>
          </w:p>
        </w:tc>
      </w:tr>
      <w:tr>
        <w:trPr>
          <w:trHeight w:val="189"/>
        </w:trPr>
        <w:tc>
          <w:tcPr>
            <w:tcW w:w="4460" w:type="dxa"/>
            <w:vAlign w:val="bottom"/>
          </w:tcPr>
          <w:p>
            <w:pPr>
              <w:ind w:left="34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12,436</w:t>
            </w:r>
          </w:p>
        </w:tc>
        <w:tc>
          <w:tcPr>
            <w:tcW w:w="120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color w:val="auto"/>
              </w:rPr>
              <w:t>26,101</w:t>
            </w:r>
          </w:p>
        </w:tc>
        <w:tc>
          <w:tcPr>
            <w:tcW w:w="1880" w:type="dxa"/>
            <w:vAlign w:val="bottom"/>
            <w:tcBorders>
              <w:bottom w:val="single" w:sz="8" w:color="auto"/>
            </w:tcBorders>
          </w:tcPr>
          <w:p>
            <w:pPr>
              <w:jc w:val="right"/>
              <w:ind w:right="983"/>
              <w:spacing w:after="0"/>
              <w:rPr>
                <w:sz w:val="20"/>
                <w:szCs w:val="20"/>
                <w:color w:val="auto"/>
              </w:rPr>
            </w:pPr>
            <w:r>
              <w:rPr>
                <w:rFonts w:ascii="Arial" w:cs="Arial" w:eastAsia="Arial" w:hAnsi="Arial"/>
                <w:sz w:val="16"/>
                <w:szCs w:val="16"/>
                <w:color w:val="auto"/>
              </w:rPr>
              <w:t>38,537</w:t>
            </w:r>
          </w:p>
        </w:tc>
        <w:tc>
          <w:tcPr>
            <w:tcW w:w="8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11,072</w:t>
            </w:r>
          </w:p>
        </w:tc>
        <w:tc>
          <w:tcPr>
            <w:tcW w:w="1540" w:type="dxa"/>
            <w:vAlign w:val="bottom"/>
            <w:tcBorders>
              <w:bottom w:val="single" w:sz="8" w:color="auto"/>
            </w:tcBorders>
          </w:tcPr>
          <w:p>
            <w:pPr>
              <w:jc w:val="right"/>
              <w:ind w:right="603"/>
              <w:spacing w:after="0"/>
              <w:rPr>
                <w:sz w:val="20"/>
                <w:szCs w:val="20"/>
                <w:color w:val="auto"/>
              </w:rPr>
            </w:pPr>
            <w:r>
              <w:rPr>
                <w:rFonts w:ascii="Arial" w:cs="Arial" w:eastAsia="Arial" w:hAnsi="Arial"/>
                <w:sz w:val="16"/>
                <w:szCs w:val="16"/>
                <w:color w:val="auto"/>
              </w:rPr>
              <w:t>31,417</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(1) Exploration expenses included.</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Capital and exploration expenditures in 2014 were $38.5 billion, down 9 percent from 2013 due primarily to the absence of the $3.1 billion Celtic Exploration Ltd. acq in 2013. The Corporation anticipates an average investment profile of about $34 billion per year for the next few years. Actual spending could vary depending on the p of individual projects and property acquisitions.</w:t>
      </w:r>
    </w:p>
    <w:p>
      <w:pPr>
        <w:spacing w:after="0" w:line="38" w:lineRule="exact"/>
        <w:rPr>
          <w:sz w:val="20"/>
          <w:szCs w:val="20"/>
          <w:color w:val="auto"/>
        </w:rPr>
      </w:pPr>
    </w:p>
    <w:p>
      <w:pPr>
        <w:jc w:val="both"/>
        <w:ind w:firstLine="200"/>
        <w:spacing w:after="0" w:line="263" w:lineRule="auto"/>
        <w:rPr>
          <w:sz w:val="20"/>
          <w:szCs w:val="20"/>
          <w:color w:val="auto"/>
        </w:rPr>
      </w:pPr>
      <w:r>
        <w:rPr>
          <w:rFonts w:ascii="Arial" w:cs="Arial" w:eastAsia="Arial" w:hAnsi="Arial"/>
          <w:sz w:val="16"/>
          <w:szCs w:val="16"/>
          <w:color w:val="auto"/>
        </w:rPr>
        <w:t>Upstream spending of $32.7 billion in 2014 was down 14 percent from 2013, reflecting the absence of $4.2 billion of property acquisition costs in 2013. Investm 2014 included projects in the U.S. Gulf of Mexico, U.S. onshore drilling, exploration in Russia and continued progress on world-class projects in Canada and Austra majority of expenditures are on development projects, which typically take two to four years from the time of recording proved undeveloped reserves to the production. The percentage of proved developed reserves was 65 percent of total proved reserves at year-end 2014, and has been over 60 percent for the last te indicating that proved reserves are consistently moved from undeveloped to developed status.</w:t>
      </w:r>
    </w:p>
    <w:p>
      <w:pPr>
        <w:spacing w:after="0" w:line="46" w:lineRule="exact"/>
        <w:rPr>
          <w:sz w:val="20"/>
          <w:szCs w:val="20"/>
          <w:color w:val="auto"/>
        </w:rPr>
      </w:pPr>
    </w:p>
    <w:p>
      <w:pPr>
        <w:jc w:val="both"/>
        <w:ind w:right="20" w:firstLine="200"/>
        <w:spacing w:after="0" w:line="286" w:lineRule="auto"/>
        <w:rPr>
          <w:sz w:val="20"/>
          <w:szCs w:val="20"/>
          <w:color w:val="auto"/>
        </w:rPr>
      </w:pPr>
      <w:r>
        <w:rPr>
          <w:rFonts w:ascii="Arial" w:cs="Arial" w:eastAsia="Arial" w:hAnsi="Arial"/>
          <w:sz w:val="16"/>
          <w:szCs w:val="16"/>
          <w:color w:val="auto"/>
        </w:rPr>
        <w:t>Capital investments in the Downstream totaled $3.0 billion in 2014, an increase of $0.6 billion from 2013, mainly reflecting higher spending on crude oil transp infrastructure. The Chemical capital expenditures of $2.7 billion increased $0.9 billion from 2013 with higher investments in the U.S.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2014</w:t>
            </w:r>
          </w:p>
        </w:tc>
        <w:tc>
          <w:tcPr>
            <w:tcW w:w="1820" w:type="dxa"/>
            <w:vAlign w:val="bottom"/>
            <w:tcBorders>
              <w:bottom w:val="single" w:sz="8" w:color="auto"/>
            </w:tcBorders>
          </w:tcPr>
          <w:p>
            <w:pPr>
              <w:jc w:val="right"/>
              <w:ind w:right="783"/>
              <w:spacing w:after="0"/>
              <w:rPr>
                <w:sz w:val="20"/>
                <w:szCs w:val="20"/>
                <w:color w:val="auto"/>
              </w:rPr>
            </w:pPr>
            <w:r>
              <w:rPr>
                <w:rFonts w:ascii="Arial" w:cs="Arial" w:eastAsia="Arial" w:hAnsi="Arial"/>
                <w:sz w:val="13"/>
                <w:szCs w:val="13"/>
                <w:b w:val="1"/>
                <w:bCs w:val="1"/>
                <w:color w:val="auto"/>
              </w:rPr>
              <w:t>2013</w:t>
            </w:r>
          </w:p>
        </w:tc>
        <w:tc>
          <w:tcPr>
            <w:tcW w:w="56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w w:val="82"/>
              </w:rPr>
              <w:t>2</w:t>
            </w:r>
          </w:p>
        </w:tc>
      </w:tr>
      <w:tr>
        <w:trPr>
          <w:trHeight w:val="165"/>
        </w:trPr>
        <w:tc>
          <w:tcPr>
            <w:tcW w:w="7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20" w:type="dxa"/>
            <w:vAlign w:val="bottom"/>
          </w:tcPr>
          <w:p>
            <w:pPr>
              <w:jc w:val="right"/>
              <w:ind w:right="403"/>
              <w:spacing w:after="0"/>
              <w:rPr>
                <w:sz w:val="20"/>
                <w:szCs w:val="20"/>
                <w:color w:val="auto"/>
              </w:rPr>
            </w:pPr>
            <w:r>
              <w:rPr>
                <w:rFonts w:ascii="Arial" w:cs="Arial" w:eastAsia="Arial" w:hAnsi="Arial"/>
                <w:sz w:val="13"/>
                <w:szCs w:val="13"/>
                <w:i w:val="1"/>
                <w:iCs w:val="1"/>
                <w:color w:val="auto"/>
              </w:rPr>
              <w:t>(millions of dollars)</w:t>
            </w:r>
          </w:p>
        </w:tc>
        <w:tc>
          <w:tcPr>
            <w:tcW w:w="560" w:type="dxa"/>
            <w:vAlign w:val="bottom"/>
          </w:tcPr>
          <w:p>
            <w:pPr>
              <w:spacing w:after="0"/>
              <w:rPr>
                <w:sz w:val="14"/>
                <w:szCs w:val="14"/>
                <w:color w:val="auto"/>
              </w:rPr>
            </w:pPr>
          </w:p>
        </w:tc>
      </w:tr>
      <w:tr>
        <w:trPr>
          <w:trHeight w:val="403"/>
        </w:trPr>
        <w:tc>
          <w:tcPr>
            <w:tcW w:w="7340" w:type="dxa"/>
            <w:vAlign w:val="bottom"/>
          </w:tcPr>
          <w:p>
            <w:pPr>
              <w:spacing w:after="0"/>
              <w:rPr>
                <w:sz w:val="20"/>
                <w:szCs w:val="20"/>
                <w:color w:val="auto"/>
              </w:rPr>
            </w:pPr>
            <w:r>
              <w:rPr>
                <w:rFonts w:ascii="Arial" w:cs="Arial" w:eastAsia="Arial" w:hAnsi="Arial"/>
                <w:sz w:val="16"/>
                <w:szCs w:val="16"/>
                <w:color w:val="auto"/>
              </w:rPr>
              <w:t>Income taxes</w:t>
            </w:r>
          </w:p>
        </w:tc>
        <w:tc>
          <w:tcPr>
            <w:tcW w:w="1220" w:type="dxa"/>
            <w:vAlign w:val="bottom"/>
          </w:tcPr>
          <w:p>
            <w:pPr>
              <w:jc w:val="right"/>
              <w:ind w:right="281"/>
              <w:spacing w:after="0"/>
              <w:rPr>
                <w:sz w:val="20"/>
                <w:szCs w:val="20"/>
                <w:color w:val="auto"/>
              </w:rPr>
            </w:pPr>
            <w:r>
              <w:rPr>
                <w:rFonts w:ascii="Arial" w:cs="Arial" w:eastAsia="Arial" w:hAnsi="Arial"/>
                <w:sz w:val="16"/>
                <w:szCs w:val="16"/>
                <w:color w:val="auto"/>
              </w:rPr>
              <w:t>18,015</w:t>
            </w:r>
          </w:p>
        </w:tc>
        <w:tc>
          <w:tcPr>
            <w:tcW w:w="1820" w:type="dxa"/>
            <w:vAlign w:val="bottom"/>
          </w:tcPr>
          <w:p>
            <w:pPr>
              <w:jc w:val="right"/>
              <w:ind w:right="503"/>
              <w:spacing w:after="0"/>
              <w:rPr>
                <w:sz w:val="20"/>
                <w:szCs w:val="20"/>
                <w:color w:val="auto"/>
              </w:rPr>
            </w:pPr>
            <w:r>
              <w:rPr>
                <w:rFonts w:ascii="Arial" w:cs="Arial" w:eastAsia="Arial" w:hAnsi="Arial"/>
                <w:sz w:val="16"/>
                <w:szCs w:val="16"/>
                <w:color w:val="auto"/>
              </w:rPr>
              <w:t>24,263</w:t>
            </w:r>
          </w:p>
        </w:tc>
        <w:tc>
          <w:tcPr>
            <w:tcW w:w="560" w:type="dxa"/>
            <w:vAlign w:val="bottom"/>
          </w:tcPr>
          <w:p>
            <w:pPr>
              <w:spacing w:after="0"/>
              <w:rPr>
                <w:sz w:val="24"/>
                <w:szCs w:val="24"/>
                <w:color w:val="auto"/>
              </w:rPr>
            </w:pPr>
          </w:p>
        </w:tc>
      </w:tr>
      <w:tr>
        <w:trPr>
          <w:trHeight w:val="196"/>
        </w:trPr>
        <w:tc>
          <w:tcPr>
            <w:tcW w:w="7340" w:type="dxa"/>
            <w:vAlign w:val="bottom"/>
          </w:tcPr>
          <w:p>
            <w:pPr>
              <w:ind w:left="340"/>
              <w:spacing w:after="0"/>
              <w:rPr>
                <w:sz w:val="20"/>
                <w:szCs w:val="20"/>
                <w:color w:val="auto"/>
              </w:rPr>
            </w:pPr>
            <w:r>
              <w:rPr>
                <w:rFonts w:ascii="Arial" w:cs="Arial" w:eastAsia="Arial" w:hAnsi="Arial"/>
                <w:sz w:val="16"/>
                <w:szCs w:val="16"/>
                <w:i w:val="1"/>
                <w:iCs w:val="1"/>
                <w:color w:val="auto"/>
              </w:rPr>
              <w:t>Effective income tax rate</w:t>
            </w:r>
          </w:p>
        </w:tc>
        <w:tc>
          <w:tcPr>
            <w:tcW w:w="1220" w:type="dxa"/>
            <w:vAlign w:val="bottom"/>
          </w:tcPr>
          <w:p>
            <w:pPr>
              <w:jc w:val="right"/>
              <w:ind w:right="221"/>
              <w:spacing w:after="0"/>
              <w:rPr>
                <w:sz w:val="20"/>
                <w:szCs w:val="20"/>
                <w:color w:val="auto"/>
              </w:rPr>
            </w:pPr>
            <w:r>
              <w:rPr>
                <w:rFonts w:ascii="Arial" w:cs="Arial" w:eastAsia="Arial" w:hAnsi="Arial"/>
                <w:sz w:val="16"/>
                <w:szCs w:val="16"/>
                <w:i w:val="1"/>
                <w:iCs w:val="1"/>
                <w:color w:val="auto"/>
              </w:rPr>
              <w:t>41%</w:t>
            </w:r>
          </w:p>
        </w:tc>
        <w:tc>
          <w:tcPr>
            <w:tcW w:w="1820" w:type="dxa"/>
            <w:vAlign w:val="bottom"/>
          </w:tcPr>
          <w:p>
            <w:pPr>
              <w:jc w:val="right"/>
              <w:ind w:right="443"/>
              <w:spacing w:after="0"/>
              <w:rPr>
                <w:sz w:val="20"/>
                <w:szCs w:val="20"/>
                <w:color w:val="auto"/>
              </w:rPr>
            </w:pPr>
            <w:r>
              <w:rPr>
                <w:rFonts w:ascii="Arial" w:cs="Arial" w:eastAsia="Arial" w:hAnsi="Arial"/>
                <w:sz w:val="16"/>
                <w:szCs w:val="16"/>
                <w:i w:val="1"/>
                <w:iCs w:val="1"/>
                <w:color w:val="auto"/>
              </w:rPr>
              <w:t>48%</w:t>
            </w:r>
          </w:p>
        </w:tc>
        <w:tc>
          <w:tcPr>
            <w:tcW w:w="560" w:type="dxa"/>
            <w:vAlign w:val="bottom"/>
          </w:tcPr>
          <w:p>
            <w:pPr>
              <w:spacing w:after="0"/>
              <w:rPr>
                <w:sz w:val="17"/>
                <w:szCs w:val="17"/>
                <w:color w:val="auto"/>
              </w:rPr>
            </w:pPr>
          </w:p>
        </w:tc>
      </w:tr>
      <w:tr>
        <w:trPr>
          <w:trHeight w:val="196"/>
        </w:trPr>
        <w:tc>
          <w:tcPr>
            <w:tcW w:w="7340" w:type="dxa"/>
            <w:vAlign w:val="bottom"/>
          </w:tcPr>
          <w:p>
            <w:pPr>
              <w:spacing w:after="0"/>
              <w:rPr>
                <w:sz w:val="20"/>
                <w:szCs w:val="20"/>
                <w:color w:val="auto"/>
              </w:rPr>
            </w:pPr>
            <w:r>
              <w:rPr>
                <w:rFonts w:ascii="Arial" w:cs="Arial" w:eastAsia="Arial" w:hAnsi="Arial"/>
                <w:sz w:val="16"/>
                <w:szCs w:val="16"/>
                <w:color w:val="auto"/>
              </w:rPr>
              <w:t>Sales-based taxes</w:t>
            </w:r>
          </w:p>
        </w:tc>
        <w:tc>
          <w:tcPr>
            <w:tcW w:w="1220" w:type="dxa"/>
            <w:vAlign w:val="bottom"/>
          </w:tcPr>
          <w:p>
            <w:pPr>
              <w:jc w:val="right"/>
              <w:ind w:right="281"/>
              <w:spacing w:after="0"/>
              <w:rPr>
                <w:sz w:val="20"/>
                <w:szCs w:val="20"/>
                <w:color w:val="auto"/>
              </w:rPr>
            </w:pPr>
            <w:r>
              <w:rPr>
                <w:rFonts w:ascii="Arial" w:cs="Arial" w:eastAsia="Arial" w:hAnsi="Arial"/>
                <w:sz w:val="16"/>
                <w:szCs w:val="16"/>
                <w:color w:val="auto"/>
              </w:rPr>
              <w:t>29,342</w:t>
            </w:r>
          </w:p>
        </w:tc>
        <w:tc>
          <w:tcPr>
            <w:tcW w:w="1820" w:type="dxa"/>
            <w:vAlign w:val="bottom"/>
          </w:tcPr>
          <w:p>
            <w:pPr>
              <w:jc w:val="right"/>
              <w:ind w:right="503"/>
              <w:spacing w:after="0"/>
              <w:rPr>
                <w:sz w:val="20"/>
                <w:szCs w:val="20"/>
                <w:color w:val="auto"/>
              </w:rPr>
            </w:pPr>
            <w:r>
              <w:rPr>
                <w:rFonts w:ascii="Arial" w:cs="Arial" w:eastAsia="Arial" w:hAnsi="Arial"/>
                <w:sz w:val="16"/>
                <w:szCs w:val="16"/>
                <w:color w:val="auto"/>
              </w:rPr>
              <w:t>30,589</w:t>
            </w:r>
          </w:p>
        </w:tc>
        <w:tc>
          <w:tcPr>
            <w:tcW w:w="560" w:type="dxa"/>
            <w:vAlign w:val="bottom"/>
          </w:tcPr>
          <w:p>
            <w:pPr>
              <w:spacing w:after="0"/>
              <w:rPr>
                <w:sz w:val="17"/>
                <w:szCs w:val="17"/>
                <w:color w:val="auto"/>
              </w:rPr>
            </w:pPr>
          </w:p>
        </w:tc>
      </w:tr>
      <w:tr>
        <w:trPr>
          <w:trHeight w:val="208"/>
        </w:trPr>
        <w:tc>
          <w:tcPr>
            <w:tcW w:w="7340" w:type="dxa"/>
            <w:vAlign w:val="bottom"/>
          </w:tcPr>
          <w:p>
            <w:pPr>
              <w:spacing w:after="0"/>
              <w:rPr>
                <w:sz w:val="20"/>
                <w:szCs w:val="20"/>
                <w:color w:val="auto"/>
              </w:rPr>
            </w:pPr>
            <w:r>
              <w:rPr>
                <w:rFonts w:ascii="Arial" w:cs="Arial" w:eastAsia="Arial" w:hAnsi="Arial"/>
                <w:sz w:val="16"/>
                <w:szCs w:val="16"/>
                <w:color w:val="auto"/>
              </w:rPr>
              <w:t>All other taxes and duties</w:t>
            </w:r>
          </w:p>
        </w:tc>
        <w:tc>
          <w:tcPr>
            <w:tcW w:w="122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35,515</w:t>
            </w:r>
          </w:p>
        </w:tc>
        <w:tc>
          <w:tcPr>
            <w:tcW w:w="1820" w:type="dxa"/>
            <w:vAlign w:val="bottom"/>
            <w:tcBorders>
              <w:bottom w:val="single" w:sz="8" w:color="auto"/>
            </w:tcBorders>
          </w:tcPr>
          <w:p>
            <w:pPr>
              <w:jc w:val="right"/>
              <w:ind w:right="503"/>
              <w:spacing w:after="0"/>
              <w:rPr>
                <w:sz w:val="20"/>
                <w:szCs w:val="20"/>
                <w:color w:val="auto"/>
              </w:rPr>
            </w:pPr>
            <w:r>
              <w:rPr>
                <w:rFonts w:ascii="Arial" w:cs="Arial" w:eastAsia="Arial" w:hAnsi="Arial"/>
                <w:sz w:val="16"/>
                <w:szCs w:val="16"/>
                <w:color w:val="auto"/>
              </w:rPr>
              <w:t>36,396</w:t>
            </w:r>
          </w:p>
        </w:tc>
        <w:tc>
          <w:tcPr>
            <w:tcW w:w="560" w:type="dxa"/>
            <w:vAlign w:val="bottom"/>
            <w:tcBorders>
              <w:bottom w:val="single" w:sz="8" w:color="auto"/>
            </w:tcBorders>
          </w:tcPr>
          <w:p>
            <w:pPr>
              <w:spacing w:after="0"/>
              <w:rPr>
                <w:sz w:val="18"/>
                <w:szCs w:val="18"/>
                <w:color w:val="auto"/>
              </w:rPr>
            </w:pPr>
          </w:p>
        </w:tc>
      </w:tr>
      <w:tr>
        <w:trPr>
          <w:trHeight w:val="189"/>
        </w:trPr>
        <w:tc>
          <w:tcPr>
            <w:tcW w:w="7340" w:type="dxa"/>
            <w:vAlign w:val="bottom"/>
          </w:tcPr>
          <w:p>
            <w:pPr>
              <w:ind w:left="380"/>
              <w:spacing w:after="0"/>
              <w:rPr>
                <w:sz w:val="20"/>
                <w:szCs w:val="20"/>
                <w:color w:val="auto"/>
              </w:rPr>
            </w:pPr>
            <w:r>
              <w:rPr>
                <w:rFonts w:ascii="Arial" w:cs="Arial" w:eastAsia="Arial" w:hAnsi="Arial"/>
                <w:sz w:val="16"/>
                <w:szCs w:val="16"/>
                <w:color w:val="auto"/>
              </w:rPr>
              <w:t>Total</w:t>
            </w:r>
          </w:p>
        </w:tc>
        <w:tc>
          <w:tcPr>
            <w:tcW w:w="122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82,872</w:t>
            </w:r>
          </w:p>
        </w:tc>
        <w:tc>
          <w:tcPr>
            <w:tcW w:w="1820" w:type="dxa"/>
            <w:vAlign w:val="bottom"/>
            <w:tcBorders>
              <w:bottom w:val="single" w:sz="8" w:color="auto"/>
            </w:tcBorders>
          </w:tcPr>
          <w:p>
            <w:pPr>
              <w:jc w:val="right"/>
              <w:ind w:right="503"/>
              <w:spacing w:after="0"/>
              <w:rPr>
                <w:sz w:val="20"/>
                <w:szCs w:val="20"/>
                <w:color w:val="auto"/>
              </w:rPr>
            </w:pPr>
            <w:r>
              <w:rPr>
                <w:rFonts w:ascii="Arial" w:cs="Arial" w:eastAsia="Arial" w:hAnsi="Arial"/>
                <w:sz w:val="16"/>
                <w:szCs w:val="16"/>
                <w:color w:val="auto"/>
              </w:rPr>
              <w:t>91,248</w:t>
            </w:r>
          </w:p>
        </w:tc>
        <w:tc>
          <w:tcPr>
            <w:tcW w:w="56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w w:val="71"/>
              </w:rPr>
              <w:t>1</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2014</w:t>
      </w:r>
    </w:p>
    <w:p>
      <w:pPr>
        <w:spacing w:after="0" w:line="9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Income, sales-based and all other taxes and duties totaled $82.9 billion in 2014, a decrease of $8.4 billion or 9 percent from 2013. Income tax expense, both curr deferred, was $18.0 billion, $6.2 billion lower than 2013, as a result of a lower effective tax rate. The effective tax rate was 41 percent compared to 48 percent in the pr due primarily to impacts related to the Corporation’s asset management program and favorable U.S. deferred tax items. Sales-based and all other taxes and duties o billion in 2014 decreased $2.1 billion.</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2013</w:t>
      </w:r>
    </w:p>
    <w:p>
      <w:pPr>
        <w:spacing w:after="0" w:line="9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Income, sales-based and all other taxes and duties totaled $91.2 billion in 2013, a decrease of $11.1 billion or 11 percent from 2012. Income tax expense, both curr deferred, was $24.3 billion, $6.8 billion lower than 2012, with the impact of lower earnings partially offset by the higher effective tax rate. The effective tax rate percent compared to 44 percent in the prior year due to the absence of favorable tax impacts on divestments. Sales-based and all other taxes and duties of $67.0 billion decreased $4.3 billion reflecting the 2012 Japan restructuring.</w:t>
      </w:r>
    </w:p>
    <w:p>
      <w:pPr>
        <w:spacing w:after="0" w:line="364"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MATTERS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Expenditures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040" w:type="dxa"/>
            <w:vAlign w:val="bottom"/>
          </w:tcPr>
          <w:p>
            <w:pPr>
              <w:spacing w:after="0"/>
              <w:rPr>
                <w:sz w:val="14"/>
                <w:szCs w:val="14"/>
                <w:color w:val="auto"/>
              </w:rPr>
            </w:pPr>
          </w:p>
        </w:tc>
        <w:tc>
          <w:tcPr>
            <w:tcW w:w="1900" w:type="dxa"/>
            <w:vAlign w:val="bottom"/>
          </w:tcPr>
          <w:p>
            <w:pPr>
              <w:jc w:val="right"/>
              <w:ind w:right="1285"/>
              <w:spacing w:after="0"/>
              <w:rPr>
                <w:sz w:val="20"/>
                <w:szCs w:val="20"/>
                <w:color w:val="auto"/>
              </w:rPr>
            </w:pPr>
            <w:r>
              <w:rPr>
                <w:rFonts w:ascii="Arial" w:cs="Arial" w:eastAsia="Arial" w:hAnsi="Arial"/>
                <w:sz w:val="13"/>
                <w:szCs w:val="13"/>
                <w:b w:val="1"/>
                <w:bCs w:val="1"/>
                <w:color w:val="auto"/>
              </w:rPr>
              <w:t>2014</w:t>
            </w:r>
          </w:p>
        </w:tc>
      </w:tr>
      <w:tr>
        <w:trPr>
          <w:trHeight w:val="23"/>
        </w:trPr>
        <w:tc>
          <w:tcPr>
            <w:tcW w:w="90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65"/>
        </w:trPr>
        <w:tc>
          <w:tcPr>
            <w:tcW w:w="9040" w:type="dxa"/>
            <w:vAlign w:val="bottom"/>
          </w:tcPr>
          <w:p>
            <w:pPr>
              <w:spacing w:after="0"/>
              <w:rPr>
                <w:sz w:val="14"/>
                <w:szCs w:val="14"/>
                <w:color w:val="auto"/>
              </w:rPr>
            </w:pPr>
          </w:p>
        </w:tc>
        <w:tc>
          <w:tcPr>
            <w:tcW w:w="1900" w:type="dxa"/>
            <w:vAlign w:val="bottom"/>
          </w:tcPr>
          <w:p>
            <w:pPr>
              <w:jc w:val="right"/>
              <w:ind w:right="105"/>
              <w:spacing w:after="0"/>
              <w:rPr>
                <w:sz w:val="20"/>
                <w:szCs w:val="20"/>
                <w:color w:val="auto"/>
              </w:rPr>
            </w:pPr>
            <w:r>
              <w:rPr>
                <w:rFonts w:ascii="Arial" w:cs="Arial" w:eastAsia="Arial" w:hAnsi="Arial"/>
                <w:sz w:val="13"/>
                <w:szCs w:val="13"/>
                <w:i w:val="1"/>
                <w:iCs w:val="1"/>
                <w:color w:val="auto"/>
              </w:rPr>
              <w:t>(millions of dollars)</w:t>
            </w:r>
          </w:p>
        </w:tc>
      </w:tr>
      <w:tr>
        <w:trPr>
          <w:trHeight w:val="403"/>
        </w:trPr>
        <w:tc>
          <w:tcPr>
            <w:tcW w:w="9040" w:type="dxa"/>
            <w:vAlign w:val="bottom"/>
          </w:tcPr>
          <w:p>
            <w:pPr>
              <w:spacing w:after="0"/>
              <w:rPr>
                <w:sz w:val="20"/>
                <w:szCs w:val="20"/>
                <w:color w:val="auto"/>
              </w:rPr>
            </w:pPr>
            <w:r>
              <w:rPr>
                <w:rFonts w:ascii="Arial" w:cs="Arial" w:eastAsia="Arial" w:hAnsi="Arial"/>
                <w:sz w:val="16"/>
                <w:szCs w:val="16"/>
                <w:color w:val="auto"/>
              </w:rPr>
              <w:t>Capital expenditures</w:t>
            </w:r>
          </w:p>
        </w:tc>
        <w:tc>
          <w:tcPr>
            <w:tcW w:w="1900" w:type="dxa"/>
            <w:vAlign w:val="bottom"/>
          </w:tcPr>
          <w:p>
            <w:pPr>
              <w:jc w:val="right"/>
              <w:ind w:right="1065"/>
              <w:spacing w:after="0"/>
              <w:rPr>
                <w:sz w:val="20"/>
                <w:szCs w:val="20"/>
                <w:color w:val="auto"/>
              </w:rPr>
            </w:pPr>
            <w:r>
              <w:rPr>
                <w:rFonts w:ascii="Arial" w:cs="Arial" w:eastAsia="Arial" w:hAnsi="Arial"/>
                <w:sz w:val="16"/>
                <w:szCs w:val="16"/>
                <w:color w:val="auto"/>
              </w:rPr>
              <w:t>2,666</w:t>
            </w:r>
          </w:p>
        </w:tc>
      </w:tr>
      <w:tr>
        <w:trPr>
          <w:trHeight w:val="208"/>
        </w:trPr>
        <w:tc>
          <w:tcPr>
            <w:tcW w:w="9040" w:type="dxa"/>
            <w:vAlign w:val="bottom"/>
          </w:tcPr>
          <w:p>
            <w:pPr>
              <w:spacing w:after="0"/>
              <w:rPr>
                <w:sz w:val="20"/>
                <w:szCs w:val="20"/>
                <w:color w:val="auto"/>
              </w:rPr>
            </w:pPr>
            <w:r>
              <w:rPr>
                <w:rFonts w:ascii="Arial" w:cs="Arial" w:eastAsia="Arial" w:hAnsi="Arial"/>
                <w:sz w:val="16"/>
                <w:szCs w:val="16"/>
                <w:color w:val="auto"/>
              </w:rPr>
              <w:t>Other expenditures</w:t>
            </w:r>
          </w:p>
        </w:tc>
        <w:tc>
          <w:tcPr>
            <w:tcW w:w="1900" w:type="dxa"/>
            <w:vAlign w:val="bottom"/>
            <w:tcBorders>
              <w:bottom w:val="single" w:sz="8" w:color="auto"/>
            </w:tcBorders>
          </w:tcPr>
          <w:p>
            <w:pPr>
              <w:jc w:val="right"/>
              <w:ind w:right="1065"/>
              <w:spacing w:after="0"/>
              <w:rPr>
                <w:sz w:val="20"/>
                <w:szCs w:val="20"/>
                <w:color w:val="auto"/>
              </w:rPr>
            </w:pPr>
            <w:r>
              <w:rPr>
                <w:rFonts w:ascii="Arial" w:cs="Arial" w:eastAsia="Arial" w:hAnsi="Arial"/>
                <w:sz w:val="16"/>
                <w:szCs w:val="16"/>
                <w:color w:val="auto"/>
              </w:rPr>
              <w:t>3,522</w:t>
            </w:r>
          </w:p>
        </w:tc>
      </w:tr>
      <w:tr>
        <w:trPr>
          <w:trHeight w:val="189"/>
        </w:trPr>
        <w:tc>
          <w:tcPr>
            <w:tcW w:w="9040" w:type="dxa"/>
            <w:vAlign w:val="bottom"/>
          </w:tcPr>
          <w:p>
            <w:pPr>
              <w:ind w:left="340"/>
              <w:spacing w:after="0"/>
              <w:rPr>
                <w:sz w:val="20"/>
                <w:szCs w:val="20"/>
                <w:color w:val="auto"/>
              </w:rPr>
            </w:pPr>
            <w:r>
              <w:rPr>
                <w:rFonts w:ascii="Arial" w:cs="Arial" w:eastAsia="Arial" w:hAnsi="Arial"/>
                <w:sz w:val="16"/>
                <w:szCs w:val="16"/>
                <w:color w:val="auto"/>
              </w:rPr>
              <w:t>Total</w:t>
            </w:r>
          </w:p>
        </w:tc>
        <w:tc>
          <w:tcPr>
            <w:tcW w:w="1900" w:type="dxa"/>
            <w:vAlign w:val="bottom"/>
            <w:tcBorders>
              <w:bottom w:val="single" w:sz="8" w:color="auto"/>
            </w:tcBorders>
          </w:tcPr>
          <w:p>
            <w:pPr>
              <w:jc w:val="right"/>
              <w:ind w:right="1065"/>
              <w:spacing w:after="0"/>
              <w:rPr>
                <w:sz w:val="20"/>
                <w:szCs w:val="20"/>
                <w:color w:val="auto"/>
              </w:rPr>
            </w:pPr>
            <w:r>
              <w:rPr>
                <w:rFonts w:ascii="Arial" w:cs="Arial" w:eastAsia="Arial" w:hAnsi="Arial"/>
                <w:sz w:val="16"/>
                <w:szCs w:val="16"/>
                <w:color w:val="auto"/>
              </w:rPr>
              <w:t>6,188</w:t>
            </w:r>
          </w:p>
        </w:tc>
      </w:tr>
    </w:tbl>
    <w:p>
      <w:pPr>
        <w:spacing w:after="0" w:line="184" w:lineRule="exact"/>
        <w:rPr>
          <w:sz w:val="20"/>
          <w:szCs w:val="20"/>
          <w:color w:val="auto"/>
        </w:rPr>
      </w:pPr>
    </w:p>
    <w:p>
      <w:pPr>
        <w:jc w:val="both"/>
        <w:spacing w:after="0" w:line="309" w:lineRule="auto"/>
        <w:rPr>
          <w:sz w:val="20"/>
          <w:szCs w:val="20"/>
          <w:color w:val="auto"/>
        </w:rPr>
      </w:pPr>
      <w:r>
        <w:rPr>
          <w:rFonts w:ascii="Arial" w:cs="Arial" w:eastAsia="Arial" w:hAnsi="Arial"/>
          <w:sz w:val="14"/>
          <w:szCs w:val="14"/>
          <w:color w:val="auto"/>
        </w:rPr>
        <w:t>Throughout ExxonMobil’s businesses, new and ongoing measures are taken to prevent and minimize the impact of our operations on air, water and ground. These in significant investment in refining infrastructure and technology to manufacture clean fuels, as well as projects to monitor and reduce nitrogen oxide, sulfur ox greenhouse gas emissions, and expenditures for asset retirement obligations. Using definitions and guidelines established by the American Petroleum Institute, Exxon 2014 worldwide environmental expenditures for all such preventative and remediation steps, including ExxonMobil’s share of equity company expenditures, wer $6.2 billion. The total cost for such activities is expected to remain in this range in 2015 and 2016 (with capital expenditures approximately 40 percent of the total).</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Liabilities</w:t>
      </w:r>
    </w:p>
    <w:p>
      <w:pPr>
        <w:spacing w:after="0" w:line="90"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Corporation accrues environmental liabilities when it is probable that obligations have been incurred and the amounts can be reasonably estimated. This policy ap assets or businesses currently owned or previously disposed. ExxonMobil has accrued liabilities for probable environmental remediation obligations at various sites, in multiparty sites where the U.S. Environmental Protection Agency has identified ExxonMobil as one of the potentially responsible parties. The involvement o financially responsible companies at these multiparty sites could mitigate ExxonMobil’s actual joint and several liability exposure. At present, no individual site is exp have losses material to ExxonMobil’s operations or financial condition. Consolidated company provisions made in 2014 for environmental liabilities were $780 ($321 million in 2013) and the balance sheet reflects accumulated liabilities of $1,066 million as of December 31, 2014, and $773 million as of December 31, 2013.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60" w:type="dxa"/>
            <w:vAlign w:val="bottom"/>
          </w:tcPr>
          <w:p>
            <w:pPr>
              <w:spacing w:after="0"/>
              <w:rPr>
                <w:sz w:val="20"/>
                <w:szCs w:val="20"/>
                <w:color w:val="auto"/>
              </w:rPr>
            </w:pPr>
            <w:r>
              <w:rPr>
                <w:rFonts w:ascii="Arial" w:cs="Arial" w:eastAsia="Arial" w:hAnsi="Arial"/>
                <w:sz w:val="16"/>
                <w:szCs w:val="16"/>
                <w:b w:val="1"/>
                <w:bCs w:val="1"/>
                <w:color w:val="auto"/>
              </w:rPr>
              <w:t>MARKET RISKS, INFLATION AND OTHER UNCERTAINTIES</w:t>
            </w:r>
          </w:p>
        </w:tc>
        <w:tc>
          <w:tcPr>
            <w:tcW w:w="25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93"/>
        </w:trPr>
        <w:tc>
          <w:tcPr>
            <w:tcW w:w="6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 xml:space="preserve">Worldwide Average Realizations </w:t>
            </w:r>
            <w:r>
              <w:rPr>
                <w:rFonts w:ascii="Arial" w:cs="Arial" w:eastAsia="Arial" w:hAnsi="Arial"/>
                <w:sz w:val="14"/>
                <w:szCs w:val="14"/>
                <w:i w:val="1"/>
                <w:iCs w:val="1"/>
                <w:color w:val="auto"/>
              </w:rPr>
              <w:t>(1)</w:t>
            </w:r>
          </w:p>
        </w:tc>
        <w:tc>
          <w:tcPr>
            <w:tcW w:w="258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2014</w:t>
            </w:r>
          </w:p>
        </w:tc>
        <w:tc>
          <w:tcPr>
            <w:tcW w:w="2100" w:type="dxa"/>
            <w:vAlign w:val="bottom"/>
            <w:tcBorders>
              <w:bottom w:val="single" w:sz="8" w:color="auto"/>
            </w:tcBorders>
          </w:tcPr>
          <w:p>
            <w:pPr>
              <w:jc w:val="right"/>
              <w:ind w:right="1024"/>
              <w:spacing w:after="0"/>
              <w:rPr>
                <w:sz w:val="20"/>
                <w:szCs w:val="20"/>
                <w:color w:val="auto"/>
              </w:rPr>
            </w:pPr>
            <w:r>
              <w:rPr>
                <w:rFonts w:ascii="Arial" w:cs="Arial" w:eastAsia="Arial" w:hAnsi="Arial"/>
                <w:sz w:val="13"/>
                <w:szCs w:val="13"/>
                <w:b w:val="1"/>
                <w:bCs w:val="1"/>
                <w:color w:val="auto"/>
              </w:rPr>
              <w:t>2013</w:t>
            </w:r>
          </w:p>
        </w:tc>
      </w:tr>
      <w:tr>
        <w:trPr>
          <w:trHeight w:val="372"/>
        </w:trPr>
        <w:tc>
          <w:tcPr>
            <w:tcW w:w="6260" w:type="dxa"/>
            <w:vAlign w:val="bottom"/>
          </w:tcPr>
          <w:p>
            <w:pPr>
              <w:spacing w:after="0"/>
              <w:rPr>
                <w:sz w:val="20"/>
                <w:szCs w:val="20"/>
                <w:color w:val="auto"/>
              </w:rPr>
            </w:pPr>
            <w:r>
              <w:rPr>
                <w:rFonts w:ascii="Arial" w:cs="Arial" w:eastAsia="Arial" w:hAnsi="Arial"/>
                <w:sz w:val="16"/>
                <w:szCs w:val="16"/>
                <w:color w:val="auto"/>
              </w:rPr>
              <w:t>Crude oil and NGL ($/barrel)</w:t>
            </w:r>
          </w:p>
        </w:tc>
        <w:tc>
          <w:tcPr>
            <w:tcW w:w="2580" w:type="dxa"/>
            <w:vAlign w:val="bottom"/>
          </w:tcPr>
          <w:p>
            <w:pPr>
              <w:jc w:val="right"/>
              <w:ind w:right="564"/>
              <w:spacing w:after="0"/>
              <w:rPr>
                <w:sz w:val="20"/>
                <w:szCs w:val="20"/>
                <w:color w:val="auto"/>
              </w:rPr>
            </w:pPr>
            <w:r>
              <w:rPr>
                <w:rFonts w:ascii="Arial" w:cs="Arial" w:eastAsia="Arial" w:hAnsi="Arial"/>
                <w:sz w:val="16"/>
                <w:szCs w:val="16"/>
                <w:color w:val="auto"/>
              </w:rPr>
              <w:t>87.42</w:t>
            </w:r>
          </w:p>
        </w:tc>
        <w:tc>
          <w:tcPr>
            <w:tcW w:w="2100" w:type="dxa"/>
            <w:vAlign w:val="bottom"/>
          </w:tcPr>
          <w:p>
            <w:pPr>
              <w:jc w:val="right"/>
              <w:ind w:right="1064"/>
              <w:spacing w:after="0"/>
              <w:rPr>
                <w:sz w:val="20"/>
                <w:szCs w:val="20"/>
                <w:color w:val="auto"/>
              </w:rPr>
            </w:pPr>
            <w:r>
              <w:rPr>
                <w:rFonts w:ascii="Arial" w:cs="Arial" w:eastAsia="Arial" w:hAnsi="Arial"/>
                <w:sz w:val="16"/>
                <w:szCs w:val="16"/>
                <w:color w:val="auto"/>
              </w:rPr>
              <w:t>97.48</w:t>
            </w:r>
          </w:p>
        </w:tc>
      </w:tr>
      <w:tr>
        <w:trPr>
          <w:trHeight w:val="208"/>
        </w:trPr>
        <w:tc>
          <w:tcPr>
            <w:tcW w:w="6260" w:type="dxa"/>
            <w:vAlign w:val="bottom"/>
          </w:tcPr>
          <w:p>
            <w:pPr>
              <w:spacing w:after="0"/>
              <w:rPr>
                <w:sz w:val="20"/>
                <w:szCs w:val="20"/>
                <w:color w:val="auto"/>
              </w:rPr>
            </w:pPr>
            <w:r>
              <w:rPr>
                <w:rFonts w:ascii="Arial" w:cs="Arial" w:eastAsia="Arial" w:hAnsi="Arial"/>
                <w:sz w:val="16"/>
                <w:szCs w:val="16"/>
                <w:color w:val="auto"/>
              </w:rPr>
              <w:t>Natural gas ($/kcf)</w:t>
            </w:r>
          </w:p>
        </w:tc>
        <w:tc>
          <w:tcPr>
            <w:tcW w:w="2580" w:type="dxa"/>
            <w:vAlign w:val="bottom"/>
          </w:tcPr>
          <w:p>
            <w:pPr>
              <w:jc w:val="right"/>
              <w:ind w:right="564"/>
              <w:spacing w:after="0"/>
              <w:rPr>
                <w:sz w:val="20"/>
                <w:szCs w:val="20"/>
                <w:color w:val="auto"/>
              </w:rPr>
            </w:pPr>
            <w:r>
              <w:rPr>
                <w:rFonts w:ascii="Arial" w:cs="Arial" w:eastAsia="Arial" w:hAnsi="Arial"/>
                <w:sz w:val="16"/>
                <w:szCs w:val="16"/>
                <w:color w:val="auto"/>
              </w:rPr>
              <w:t>4.68</w:t>
            </w:r>
          </w:p>
        </w:tc>
        <w:tc>
          <w:tcPr>
            <w:tcW w:w="2100" w:type="dxa"/>
            <w:vAlign w:val="bottom"/>
          </w:tcPr>
          <w:p>
            <w:pPr>
              <w:jc w:val="right"/>
              <w:ind w:right="1064"/>
              <w:spacing w:after="0"/>
              <w:rPr>
                <w:sz w:val="20"/>
                <w:szCs w:val="20"/>
                <w:color w:val="auto"/>
              </w:rPr>
            </w:pPr>
            <w:r>
              <w:rPr>
                <w:rFonts w:ascii="Arial" w:cs="Arial" w:eastAsia="Arial" w:hAnsi="Arial"/>
                <w:sz w:val="16"/>
                <w:szCs w:val="16"/>
                <w:color w:val="auto"/>
              </w:rPr>
              <w:t>4.60</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(1) Consolidated subsidiaries.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Crude oil, natural gas, petroleum product and chemical prices have fluctuated in response to changing market forces. The impacts of these price fluctuations on earnin Upstream, Downstream and Chemical operations have varied. In the Upstream, a $1 per barrel change in the weighted-average realized price of oil would have approx a $350 million annual after-tax effect on Upstream consolidated plus equity company earnings. Similarly, a $0.10 per kcf change in the worldwide average gas rea would have approximately a $175 million annual after-tax effect on Upstream consolidated plus equity company earnings. For any given period, the extent of actual be detriment will be dependent on the price movements of individual types of crude oil, taxes and other government take impacts, price adjustment lags in long-te contracts, and crude and gas production volumes. Accordingly, changes in benchmark prices for crude oil and natural gas only provide broad indicators of change earnings experienced in any particular period.</w:t>
      </w:r>
    </w:p>
    <w:p>
      <w:pPr>
        <w:spacing w:after="0" w:line="51" w:lineRule="exact"/>
        <w:rPr>
          <w:sz w:val="20"/>
          <w:szCs w:val="20"/>
          <w:color w:val="auto"/>
        </w:rPr>
      </w:pPr>
    </w:p>
    <w:p>
      <w:pPr>
        <w:jc w:val="both"/>
        <w:ind w:firstLine="200"/>
        <w:spacing w:after="0" w:line="297" w:lineRule="auto"/>
        <w:rPr>
          <w:sz w:val="20"/>
          <w:szCs w:val="20"/>
          <w:color w:val="auto"/>
        </w:rPr>
      </w:pPr>
      <w:r>
        <w:rPr>
          <w:rFonts w:ascii="Arial" w:cs="Arial" w:eastAsia="Arial" w:hAnsi="Arial"/>
          <w:sz w:val="15"/>
          <w:szCs w:val="15"/>
          <w:color w:val="auto"/>
        </w:rPr>
        <w:t>In the very competitive downstream and chemical environments, earnings are primarily determined by margin capture rather than absolute price levels of produc Refining margins are a function of the difference between what a refiner pays for its raw materials (primarily crude oil) and the market prices for the range of p produced. These prices in turn depend on global and regional supply/demand balances, inventory levels, refinery operations, import/export balances and weather.</w:t>
      </w:r>
    </w:p>
    <w:p>
      <w:pPr>
        <w:spacing w:after="0" w:line="266"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both"/>
        <w:ind w:firstLine="200"/>
        <w:spacing w:after="0" w:line="271" w:lineRule="auto"/>
        <w:rPr>
          <w:sz w:val="20"/>
          <w:szCs w:val="20"/>
          <w:color w:val="auto"/>
        </w:rPr>
      </w:pPr>
      <w:r>
        <w:rPr>
          <w:rFonts w:ascii="Arial" w:cs="Arial" w:eastAsia="Arial" w:hAnsi="Arial"/>
          <w:sz w:val="16"/>
          <w:szCs w:val="16"/>
          <w:color w:val="auto"/>
        </w:rPr>
        <w:t>The global energy markets can give rise to extended periods in which market conditions are adverse to one or more of the Corporation’s businesses. Such condition with the capital-intensive nature of the industry and very long lead times associated with many of our projects, underscore the importance of maintaining a strong fi position. Management views the Corporation’s financial strength as a competitive advantage.</w:t>
      </w:r>
    </w:p>
    <w:p>
      <w:pPr>
        <w:spacing w:after="0" w:line="38" w:lineRule="exact"/>
        <w:rPr>
          <w:sz w:val="20"/>
          <w:szCs w:val="20"/>
          <w:color w:val="auto"/>
        </w:rPr>
      </w:pPr>
    </w:p>
    <w:p>
      <w:pPr>
        <w:jc w:val="both"/>
        <w:ind w:firstLine="200"/>
        <w:spacing w:after="0" w:line="263" w:lineRule="auto"/>
        <w:rPr>
          <w:sz w:val="20"/>
          <w:szCs w:val="20"/>
          <w:color w:val="auto"/>
        </w:rPr>
      </w:pPr>
      <w:r>
        <w:rPr>
          <w:rFonts w:ascii="Arial" w:cs="Arial" w:eastAsia="Arial" w:hAnsi="Arial"/>
          <w:sz w:val="16"/>
          <w:szCs w:val="16"/>
          <w:color w:val="auto"/>
        </w:rPr>
        <w:t>In general, segment results are not dependent on the ability to sell and/or purchase products to/from other segments. Instead, where such sales take place, they are th of efficiencies and competitive advantages of integrated refinery/chemical complexes. Additionally, intersegment sales are at market-based prices. The products bou sold between segments can also be acquired in worldwide markets that have substantial liquidity, capacity and transportation capabilities. About 35 percent Corporation’s intersegment sales represent Upstream production sold to the Downstream. Other intersegment sales include those between refineries and chemica related to raw materials, feedstocks and finished products.</w:t>
      </w:r>
    </w:p>
    <w:p>
      <w:pPr>
        <w:spacing w:after="0" w:line="46" w:lineRule="exact"/>
        <w:rPr>
          <w:sz w:val="20"/>
          <w:szCs w:val="20"/>
          <w:color w:val="auto"/>
        </w:rPr>
      </w:pPr>
    </w:p>
    <w:p>
      <w:pPr>
        <w:jc w:val="both"/>
        <w:ind w:firstLine="200"/>
        <w:spacing w:after="0" w:line="265" w:lineRule="auto"/>
        <w:rPr>
          <w:sz w:val="20"/>
          <w:szCs w:val="20"/>
          <w:color w:val="auto"/>
        </w:rPr>
      </w:pPr>
      <w:r>
        <w:rPr>
          <w:rFonts w:ascii="Arial" w:cs="Arial" w:eastAsia="Arial" w:hAnsi="Arial"/>
          <w:sz w:val="16"/>
          <w:szCs w:val="16"/>
          <w:color w:val="auto"/>
        </w:rPr>
        <w:t>Although price levels of crude oil and natural gas may rise or fall significantly over the short to medium term due to political events, OPEC actions and other industry economics over the long term will continue to be driven by market supply and demand. Accordingly, the Corporation evaluates the viability of all of its inve over a broad range of future prices. The Corporation’s assessment is that its operations will continue to be successful in a variety of market conditions. This is the outc disciplined investment and asset management programs.</w:t>
      </w:r>
    </w:p>
    <w:p>
      <w:pPr>
        <w:spacing w:after="0" w:line="45" w:lineRule="exact"/>
        <w:rPr>
          <w:sz w:val="20"/>
          <w:szCs w:val="20"/>
          <w:color w:val="auto"/>
        </w:rPr>
      </w:pPr>
    </w:p>
    <w:p>
      <w:pPr>
        <w:jc w:val="both"/>
        <w:ind w:firstLine="200"/>
        <w:spacing w:after="0" w:line="297" w:lineRule="auto"/>
        <w:rPr>
          <w:sz w:val="20"/>
          <w:szCs w:val="20"/>
          <w:color w:val="auto"/>
        </w:rPr>
      </w:pPr>
      <w:r>
        <w:rPr>
          <w:rFonts w:ascii="Arial" w:cs="Arial" w:eastAsia="Arial" w:hAnsi="Arial"/>
          <w:sz w:val="15"/>
          <w:szCs w:val="15"/>
          <w:color w:val="auto"/>
        </w:rPr>
        <w:t>The Corporation has an active asset management program in which underperforming assets are either improved to acceptable levels or considered for divestment. T management program includes a disciplined, regular review to ensure that all assets are contributing to the Corporation’s strategic objectives. The result is an efficient base, and the Corporation has seldom had to write down the carrying value of assets, even during periods of low commodity prices.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Management</w:t>
      </w:r>
    </w:p>
    <w:p>
      <w:pPr>
        <w:spacing w:after="0" w:line="90"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The Corporation’s size, strong capital structure, geographic diversity and the complementary nature of the Upstream, Downstream and Chemical businesses red Corporation’s enterprise-wide risk from changes in interest rates, currency rates and commodity prices. As a result, the Corporation makes limited use of de instruments to mitigate the impact of such changes. With respect to derivatives activities, the Corporation believes that there are no material market or credit risk Corporation’s financial position, results of operations or liquidity as a result of the derivatives described in Note 13. The Corporation does not engage in speculative de activities or derivative trading activities nor does it use derivatives with leveraged features. Credit risk associated with the Corporation’s derivative position is mitig several factors, including the use of derivative clearing exchanges and the quality of and financial limits placed on derivative counterparties. The Corporation mai system of controls that includes the authorization, reporting and monitoring of derivative activity.</w:t>
      </w:r>
    </w:p>
    <w:p>
      <w:pPr>
        <w:spacing w:after="0" w:line="37" w:lineRule="exact"/>
        <w:rPr>
          <w:sz w:val="20"/>
          <w:szCs w:val="20"/>
          <w:color w:val="auto"/>
        </w:rPr>
      </w:pPr>
    </w:p>
    <w:p>
      <w:pPr>
        <w:jc w:val="both"/>
        <w:ind w:firstLine="200"/>
        <w:spacing w:after="0" w:line="315" w:lineRule="auto"/>
        <w:rPr>
          <w:sz w:val="20"/>
          <w:szCs w:val="20"/>
          <w:color w:val="auto"/>
        </w:rPr>
      </w:pPr>
      <w:r>
        <w:rPr>
          <w:rFonts w:ascii="Arial" w:cs="Arial" w:eastAsia="Arial" w:hAnsi="Arial"/>
          <w:sz w:val="14"/>
          <w:szCs w:val="14"/>
          <w:color w:val="auto"/>
        </w:rPr>
        <w:t>The Corporation is exposed to changes in interest rates, primarily on its short-term debt and the portion of long-term debt that carries floating interest rates. The imp 100-basis-point change in interest rates affecting the Corporation’s debt would not be material to earnings, cash flow or fair value. The Corporation has access to sig capacity of long-term and short-term liquidity. Internally generated funds are expected to cover the majority of financial requirements, supplemented by long-term an term debt. Some joint-venture partners are dependent on the credit markets, and their funding ability may impact the development pace of joint-venture projects.</w:t>
      </w:r>
    </w:p>
    <w:p>
      <w:pPr>
        <w:spacing w:after="0" w:line="12" w:lineRule="exact"/>
        <w:rPr>
          <w:sz w:val="20"/>
          <w:szCs w:val="20"/>
          <w:color w:val="auto"/>
        </w:rPr>
      </w:pPr>
    </w:p>
    <w:p>
      <w:pPr>
        <w:jc w:val="both"/>
        <w:ind w:firstLine="200"/>
        <w:spacing w:after="0" w:line="265" w:lineRule="auto"/>
        <w:rPr>
          <w:sz w:val="20"/>
          <w:szCs w:val="20"/>
          <w:color w:val="auto"/>
        </w:rPr>
      </w:pPr>
      <w:r>
        <w:rPr>
          <w:rFonts w:ascii="Arial" w:cs="Arial" w:eastAsia="Arial" w:hAnsi="Arial"/>
          <w:sz w:val="16"/>
          <w:szCs w:val="16"/>
          <w:color w:val="auto"/>
        </w:rPr>
        <w:t>The Corporation conducts business in many foreign currencies and is subject to exchange rate risk on cash flows related to sales, expenses, financing and inv transactions. The impacts of fluctuations in exchange rates on ExxonMobil’s geographically and functionally diverse operations are varied and often offsetting in amou Corporation makes limited use of currency exchange contracts to mitigate the impact of changes in currency values, and exposures related to the Corporation’s limite the currency exchange contracts are not material.</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Inflation and Other Uncertainties</w:t>
      </w:r>
    </w:p>
    <w:p>
      <w:pPr>
        <w:spacing w:after="0" w:line="9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general rate of inflation in many major countries of operation has remained moderate over the past few years, and the associated impact on non-energy costs has g been mitigated by cost reductions from efficiency and productivity improvements. Increased demand for certain services and materials has resulted in higher operat capital costs in recent years. The Corporation works to minimize costs in all commodity price environments through its economies of scale in global procurement efficient project management practices.</w:t>
      </w:r>
    </w:p>
    <w:p>
      <w:pPr>
        <w:spacing w:after="0" w:line="70"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STANDARDS</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In May 2014, the Financial Accounting Standards Board issued a new standard,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standard establishes a single r recognition model for all contracts with customers, eliminates industry specific requirements, and expands disclosure requirements. The standard is required to be beginning January 1, 2017. ExxonMobil is evaluating the standard and its effect on the Corporation’s financial statements.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9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Corporation’s accounting and financial reporting fairly reflect its straightforward business model involving the extracting, refining and marketing of hydrocarb hydrocarbon-based products. The preparation of financial statements in conformity with U.S. Generally Accepted Accounting Principles (GAAP) requires manage make estimates and judgments that affect the reported amounts of assets, liabilities, revenues and expenses and the disclosure of contingent assets and liabiliti Corporation’s accounting policies are summarized in Note 1.</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Oil and Gas Reserves</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Evaluations of oil and gas reserves are important to the effective management of upstream assets. They are an integral part of investment decisions about oil properties such as whether development should proceed. Oil and gas reserve quantities are also used as the basis to calculate unit-of-production depreciation rates evaluate impairment.</w:t>
      </w:r>
    </w:p>
    <w:p>
      <w:pPr>
        <w:spacing w:after="0" w:line="38" w:lineRule="exact"/>
        <w:rPr>
          <w:sz w:val="20"/>
          <w:szCs w:val="20"/>
          <w:color w:val="auto"/>
        </w:rPr>
      </w:pPr>
    </w:p>
    <w:p>
      <w:pPr>
        <w:jc w:val="both"/>
        <w:ind w:firstLine="200"/>
        <w:spacing w:after="0" w:line="271" w:lineRule="auto"/>
        <w:rPr>
          <w:sz w:val="20"/>
          <w:szCs w:val="20"/>
          <w:color w:val="auto"/>
        </w:rPr>
      </w:pPr>
      <w:r>
        <w:rPr>
          <w:rFonts w:ascii="Arial" w:cs="Arial" w:eastAsia="Arial" w:hAnsi="Arial"/>
          <w:sz w:val="16"/>
          <w:szCs w:val="16"/>
          <w:color w:val="auto"/>
        </w:rPr>
        <w:t>Oil and gas reserves include both proved and unproved reserves. Proved oil and gas reserves are those quantities of oil and gas which, by analysis of geoscie engineering data, can be estimated with reasonable certainty to be economically producible. Unproved reserves are those with less than reasonable certainty of recove and include probable reserves. Probable reserves are reserves that are more likely to be recovered than not.</w:t>
      </w:r>
    </w:p>
    <w:p>
      <w:pPr>
        <w:spacing w:after="0" w:line="38" w:lineRule="exact"/>
        <w:rPr>
          <w:sz w:val="20"/>
          <w:szCs w:val="20"/>
          <w:color w:val="auto"/>
        </w:rPr>
      </w:pPr>
    </w:p>
    <w:p>
      <w:pPr>
        <w:jc w:val="both"/>
        <w:ind w:firstLine="200"/>
        <w:spacing w:after="0" w:line="284" w:lineRule="auto"/>
        <w:rPr>
          <w:sz w:val="20"/>
          <w:szCs w:val="20"/>
          <w:color w:val="auto"/>
        </w:rPr>
      </w:pPr>
      <w:r>
        <w:rPr>
          <w:rFonts w:ascii="Arial" w:cs="Arial" w:eastAsia="Arial" w:hAnsi="Arial"/>
          <w:sz w:val="15"/>
          <w:szCs w:val="15"/>
          <w:color w:val="auto"/>
        </w:rPr>
        <w:t>The estimation of proved reserves is an ongoing process based on rigorous technical evaluations, commercial and market assessment, and detailed analysis information such as flow rates and reservoir pressure declines. The estimation of proved reserves is controlled by the Corporation through long-standing approval gui Reserve changes are made within a well-established, disciplined process driven by senior level geoscience and engineering professionals, assisted by the Reserves Te Oversight group which has significant technical experience, culminating in reviews with and approval by senior management. Notably, the Corporation does not use quantitative reserve targets to determine compensation. Key features of the reserve estimation process are covered in Disclosure of Reserves in Item 2.</w:t>
      </w:r>
    </w:p>
    <w:p>
      <w:pPr>
        <w:spacing w:after="0" w:line="33" w:lineRule="exact"/>
        <w:rPr>
          <w:sz w:val="20"/>
          <w:szCs w:val="20"/>
          <w:color w:val="auto"/>
        </w:rPr>
      </w:pPr>
    </w:p>
    <w:p>
      <w:pPr>
        <w:jc w:val="both"/>
        <w:ind w:firstLine="200"/>
        <w:spacing w:after="0" w:line="286" w:lineRule="auto"/>
        <w:rPr>
          <w:sz w:val="20"/>
          <w:szCs w:val="20"/>
          <w:color w:val="auto"/>
        </w:rPr>
      </w:pPr>
      <w:r>
        <w:rPr>
          <w:rFonts w:ascii="Arial" w:cs="Arial" w:eastAsia="Arial" w:hAnsi="Arial"/>
          <w:sz w:val="16"/>
          <w:szCs w:val="16"/>
          <w:color w:val="auto"/>
        </w:rPr>
        <w:t>Although the Corporation is reasonably certain that proved reserves will be produced, the timing and amount recovered can be affected by a number of factors in completion of development projects, reservoir performance, regulatory approvals and significant changes in long-term oil and gas price levels.</w:t>
      </w:r>
    </w:p>
    <w:p>
      <w:pPr>
        <w:spacing w:after="0" w:line="27" w:lineRule="exact"/>
        <w:rPr>
          <w:sz w:val="20"/>
          <w:szCs w:val="20"/>
          <w:color w:val="auto"/>
        </w:rPr>
      </w:pPr>
    </w:p>
    <w:p>
      <w:pPr>
        <w:jc w:val="both"/>
        <w:ind w:firstLine="200"/>
        <w:spacing w:after="0" w:line="271" w:lineRule="auto"/>
        <w:rPr>
          <w:sz w:val="20"/>
          <w:szCs w:val="20"/>
          <w:color w:val="auto"/>
        </w:rPr>
      </w:pPr>
      <w:r>
        <w:rPr>
          <w:rFonts w:ascii="Arial" w:cs="Arial" w:eastAsia="Arial" w:hAnsi="Arial"/>
          <w:sz w:val="16"/>
          <w:szCs w:val="16"/>
          <w:color w:val="auto"/>
        </w:rPr>
        <w:t>Proved reserves can be further subdivided into developed and undeveloped reserves. The percentage of proved developed reserves was 65 percent of total proved r at year-end 2014 (including both consolidated and equity company reserves), and has been over 60 percent for the last ten years, indicating that proved reser consistently moved from undeveloped to developed status.</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Revisions can include upward or downward changes in previously estimated volumes of proved reserves for existing fields due to the evaluation or re-evalu</w:t>
      </w:r>
    </w:p>
    <w:p>
      <w:pPr>
        <w:spacing w:after="0" w:line="35" w:lineRule="exact"/>
        <w:rPr>
          <w:sz w:val="20"/>
          <w:szCs w:val="20"/>
          <w:color w:val="auto"/>
        </w:rPr>
      </w:pPr>
    </w:p>
    <w:p>
      <w:pPr>
        <w:ind w:right="20" w:firstLine="6"/>
        <w:spacing w:after="0" w:line="271" w:lineRule="auto"/>
        <w:tabs>
          <w:tab w:leader="none" w:pos="246"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already available geologic, reservoir or production data, (2) new geologic, reservoir or production data or (3) changes in prices and year-end costs that are use estimation of reserves. Revisions can also result from significant changes in development strategy or production equipment/facility capacity.</w:t>
      </w:r>
    </w:p>
    <w:p>
      <w:pPr>
        <w:spacing w:after="0" w:line="35" w:lineRule="exact"/>
        <w:rPr>
          <w:sz w:val="20"/>
          <w:szCs w:val="20"/>
          <w:color w:val="auto"/>
        </w:rPr>
      </w:pPr>
    </w:p>
    <w:p>
      <w:pPr>
        <w:jc w:val="both"/>
        <w:spacing w:after="0" w:line="286" w:lineRule="auto"/>
        <w:rPr>
          <w:sz w:val="20"/>
          <w:szCs w:val="20"/>
          <w:color w:val="auto"/>
        </w:rPr>
      </w:pPr>
      <w:r>
        <w:rPr>
          <w:rFonts w:ascii="Arial" w:cs="Arial" w:eastAsia="Arial" w:hAnsi="Arial"/>
          <w:sz w:val="15"/>
          <w:szCs w:val="15"/>
          <w:b w:val="1"/>
          <w:bCs w:val="1"/>
          <w:color w:val="auto"/>
        </w:rPr>
        <w:t xml:space="preserve">Impact of Oil and Gas Reserves on Depreciation. </w:t>
      </w:r>
      <w:r>
        <w:rPr>
          <w:rFonts w:ascii="Arial" w:cs="Arial" w:eastAsia="Arial" w:hAnsi="Arial"/>
          <w:sz w:val="15"/>
          <w:szCs w:val="15"/>
          <w:color w:val="auto"/>
        </w:rPr>
        <w:t>The calculation of unit-of-production depreciation is a critical accounting estimate that measures the depreci</w:t>
      </w:r>
      <w:r>
        <w:rPr>
          <w:rFonts w:ascii="Arial" w:cs="Arial" w:eastAsia="Arial" w:hAnsi="Arial"/>
          <w:sz w:val="15"/>
          <w:szCs w:val="15"/>
          <w:b w:val="1"/>
          <w:bCs w:val="1"/>
          <w:color w:val="auto"/>
        </w:rPr>
        <w:t xml:space="preserve"> </w:t>
      </w:r>
      <w:r>
        <w:rPr>
          <w:rFonts w:ascii="Arial" w:cs="Arial" w:eastAsia="Arial" w:hAnsi="Arial"/>
          <w:sz w:val="15"/>
          <w:szCs w:val="15"/>
          <w:color w:val="auto"/>
        </w:rPr>
        <w:t>upstream assets. It is the ratio of actual volumes produced to total proved reserves or proved developed reserves (those proved reserves recoverable through existin with existing equipment and operating methods), applied to the asset cost. The volumes produced and asset cost are known and, while proved reserves have a high pro of recoverability, they are based on estimates that are subject to some variability. While the revisions the Corporation has made in the past are an indicator of variabili have had a very small impact on the unit-of-production rates because they have been small compared to the large reserves base.</w:t>
      </w:r>
    </w:p>
    <w:p>
      <w:pPr>
        <w:spacing w:after="0" w:line="2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b w:val="1"/>
          <w:bCs w:val="1"/>
          <w:color w:val="auto"/>
        </w:rPr>
        <w:t xml:space="preserve">Impact of Oil and Gas Reserves and Prices on Testing for Impairment. </w:t>
      </w:r>
      <w:r>
        <w:rPr>
          <w:rFonts w:ascii="Arial" w:cs="Arial" w:eastAsia="Arial" w:hAnsi="Arial"/>
          <w:sz w:val="16"/>
          <w:szCs w:val="16"/>
          <w:color w:val="auto"/>
        </w:rPr>
        <w:t>Proved oil and gas properties held and used by the Corporation are reviewed for imp</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events or circumstances indicate that the carrying amounts may not be recoverable. Assets are grouped at the lowest level for which there are identifiable cas that are largely independent of the cash flows of other groups of assets.</w:t>
      </w:r>
    </w:p>
    <w:p>
      <w:pPr>
        <w:spacing w:after="0" w:line="38" w:lineRule="exact"/>
        <w:rPr>
          <w:sz w:val="20"/>
          <w:szCs w:val="20"/>
          <w:color w:val="auto"/>
        </w:rPr>
      </w:pPr>
    </w:p>
    <w:p>
      <w:pPr>
        <w:ind w:right="40" w:firstLine="200"/>
        <w:spacing w:after="0" w:line="286" w:lineRule="auto"/>
        <w:rPr>
          <w:sz w:val="20"/>
          <w:szCs w:val="20"/>
          <w:color w:val="auto"/>
        </w:rPr>
      </w:pPr>
      <w:r>
        <w:rPr>
          <w:rFonts w:ascii="Arial" w:cs="Arial" w:eastAsia="Arial" w:hAnsi="Arial"/>
          <w:sz w:val="16"/>
          <w:szCs w:val="16"/>
          <w:color w:val="auto"/>
        </w:rPr>
        <w:t>The Corporation estimates the future undiscounted cash flows of the affected properties to judge the recoverability of carrying amounts. Impairment analyses are g based on proved reserves. Where probable reserves exist, an appropriately risk-</w:t>
      </w:r>
    </w:p>
    <w:p>
      <w:pPr>
        <w:spacing w:after="0" w:line="52"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adjusted amount of these reserves may be included in the impairment evaluation. An asset group would be impaired if its undiscounted cash flows were less than the carrying value. Impairments are measured by the amount by which the carrying value exceeds fair value.</w:t>
      </w:r>
    </w:p>
    <w:p>
      <w:pPr>
        <w:spacing w:after="0" w:line="27" w:lineRule="exact"/>
        <w:rPr>
          <w:sz w:val="20"/>
          <w:szCs w:val="20"/>
          <w:color w:val="auto"/>
        </w:rPr>
      </w:pPr>
    </w:p>
    <w:p>
      <w:pPr>
        <w:jc w:val="both"/>
        <w:ind w:firstLine="200"/>
        <w:spacing w:after="0" w:line="271" w:lineRule="auto"/>
        <w:rPr>
          <w:sz w:val="20"/>
          <w:szCs w:val="20"/>
          <w:color w:val="auto"/>
        </w:rPr>
      </w:pPr>
      <w:r>
        <w:rPr>
          <w:rFonts w:ascii="Arial" w:cs="Arial" w:eastAsia="Arial" w:hAnsi="Arial"/>
          <w:sz w:val="16"/>
          <w:szCs w:val="16"/>
          <w:color w:val="auto"/>
        </w:rPr>
        <w:t>Significant unproved properties are assessed for impairment individually, and valuation allowances against the capitalized costs are recorded based on the es economic chance of success and the length of time that the Corporation expects to hold the properties. Properties that are not individually significant are aggregated by and amortized based on development risk and average holding period.</w:t>
      </w:r>
    </w:p>
    <w:p>
      <w:pPr>
        <w:spacing w:after="0" w:line="38" w:lineRule="exact"/>
        <w:rPr>
          <w:sz w:val="20"/>
          <w:szCs w:val="20"/>
          <w:color w:val="auto"/>
        </w:rPr>
      </w:pPr>
    </w:p>
    <w:p>
      <w:pPr>
        <w:jc w:val="both"/>
        <w:ind w:firstLine="200"/>
        <w:spacing w:after="0" w:line="263" w:lineRule="auto"/>
        <w:rPr>
          <w:sz w:val="20"/>
          <w:szCs w:val="20"/>
          <w:color w:val="auto"/>
        </w:rPr>
      </w:pPr>
      <w:r>
        <w:rPr>
          <w:rFonts w:ascii="Arial" w:cs="Arial" w:eastAsia="Arial" w:hAnsi="Arial"/>
          <w:sz w:val="16"/>
          <w:szCs w:val="16"/>
          <w:color w:val="auto"/>
        </w:rPr>
        <w:t>The Corporation performs asset valuation analyses on an ongoing basis as a part of its asset management program. These analyses assist the Corporation in as whether the carrying amounts of any of its assets may not be recoverable. In addition to estimating oil and gas reserve volumes in conducting these analyses, it necessary to estimate future oil and gas prices. Potential trigger events for impairment evaluation include a significant decrease in current and projected reserve volu accumulation of project costs significantly in excess of the amount originally expected, and current period operating losses combined with a history and forecast of op or cash flow losses.</w:t>
      </w:r>
    </w:p>
    <w:p>
      <w:pPr>
        <w:spacing w:after="0" w:line="46" w:lineRule="exact"/>
        <w:rPr>
          <w:sz w:val="20"/>
          <w:szCs w:val="20"/>
          <w:color w:val="auto"/>
        </w:rPr>
      </w:pPr>
    </w:p>
    <w:p>
      <w:pPr>
        <w:jc w:val="both"/>
        <w:ind w:firstLine="200"/>
        <w:spacing w:after="0" w:line="284" w:lineRule="auto"/>
        <w:rPr>
          <w:sz w:val="20"/>
          <w:szCs w:val="20"/>
          <w:color w:val="auto"/>
        </w:rPr>
      </w:pPr>
      <w:r>
        <w:rPr>
          <w:rFonts w:ascii="Arial" w:cs="Arial" w:eastAsia="Arial" w:hAnsi="Arial"/>
          <w:sz w:val="15"/>
          <w:szCs w:val="15"/>
          <w:color w:val="auto"/>
        </w:rPr>
        <w:t>In general, the Corporation does not view temporarily low prices or margins as a trigger event for conducting the impairment tests. The markets for crude oil and gas have a history of significant price volatility. Although prices will occasionally drop significantly, industry prices over the long term will continue to be driven by supply and demand. On the supply side, industry production from mature fields is declining, but this is being offset by production from new discoveries an developments. OPEC production policies also have an impact on world oil supplies. The demand side is largely a function of global economic growth. The growth/decline in supply versus demand will determine industry prices over the long term, and these cannot be accurately predicted.</w:t>
      </w:r>
    </w:p>
    <w:p>
      <w:pPr>
        <w:spacing w:after="0" w:line="33" w:lineRule="exact"/>
        <w:rPr>
          <w:sz w:val="20"/>
          <w:szCs w:val="20"/>
          <w:color w:val="auto"/>
        </w:rPr>
      </w:pPr>
    </w:p>
    <w:p>
      <w:pPr>
        <w:jc w:val="both"/>
        <w:ind w:right="20" w:firstLine="200"/>
        <w:spacing w:after="0" w:line="326" w:lineRule="auto"/>
        <w:rPr>
          <w:sz w:val="20"/>
          <w:szCs w:val="20"/>
          <w:color w:val="auto"/>
        </w:rPr>
      </w:pPr>
      <w:r>
        <w:rPr>
          <w:rFonts w:ascii="Arial" w:cs="Arial" w:eastAsia="Arial" w:hAnsi="Arial"/>
          <w:sz w:val="14"/>
          <w:szCs w:val="14"/>
          <w:color w:val="auto"/>
        </w:rPr>
        <w:t>Accordingly, any impairment tests that the Corporation performs make use of the Corporation’s price assumptions developed in the annual planning and budgeting for the crude oil and natural gas markets, petroleum products and chemicals. These are the same price assumptions that are used for capital investment decisions. Volu based on field production profiles, which are updated annually. Cash flow estimates for impairment testing exclude the effects of derivative instruments.</w:t>
      </w:r>
    </w:p>
    <w:p>
      <w:pPr>
        <w:spacing w:after="0" w:line="6" w:lineRule="exact"/>
        <w:rPr>
          <w:sz w:val="20"/>
          <w:szCs w:val="20"/>
          <w:color w:val="auto"/>
        </w:rPr>
      </w:pPr>
    </w:p>
    <w:p>
      <w:pPr>
        <w:jc w:val="both"/>
        <w:ind w:right="20" w:firstLine="200"/>
        <w:spacing w:after="0" w:line="321" w:lineRule="auto"/>
        <w:rPr>
          <w:sz w:val="20"/>
          <w:szCs w:val="20"/>
          <w:color w:val="auto"/>
        </w:rPr>
      </w:pPr>
      <w:r>
        <w:rPr>
          <w:rFonts w:ascii="Arial" w:cs="Arial" w:eastAsia="Arial" w:hAnsi="Arial"/>
          <w:sz w:val="15"/>
          <w:szCs w:val="15"/>
          <w:color w:val="auto"/>
        </w:rPr>
        <w:t>Supplemental information regarding oil and gas results of operations, capitalized costs and reserves is provided following the notes to consolidated financial stat Future prices used for any impairment tests will vary from the ones used in the supplemental oil and gas disclosure and could be lower or higher for any given year.</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Retirement Obligations</w:t>
      </w:r>
    </w:p>
    <w:p>
      <w:pPr>
        <w:spacing w:after="0" w:line="9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Corporation incurs retirement obligations for certain assets. The fair values of these obligations are recorded as liabilities on a discounted basis, which is typicall time the assets are installed. In the estimation of fair value, the Corporation uses assumptions and judgments regarding such factors as the existence of a legal obligatio asset retirement obligation; technical assessments of the assets; estimated amounts and timing of settlements; discount rates; and inflation rates. Asset retirement obli are disclosed in Note 9 to the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Suspended Exploratory Well Costs</w:t>
      </w:r>
    </w:p>
    <w:p>
      <w:pPr>
        <w:spacing w:after="0" w:line="90" w:lineRule="exact"/>
        <w:rPr>
          <w:sz w:val="20"/>
          <w:szCs w:val="20"/>
          <w:color w:val="auto"/>
        </w:rPr>
      </w:pPr>
    </w:p>
    <w:p>
      <w:pPr>
        <w:jc w:val="both"/>
        <w:spacing w:after="0" w:line="326" w:lineRule="auto"/>
        <w:rPr>
          <w:sz w:val="20"/>
          <w:szCs w:val="20"/>
          <w:color w:val="auto"/>
        </w:rPr>
      </w:pPr>
      <w:r>
        <w:rPr>
          <w:rFonts w:ascii="Arial" w:cs="Arial" w:eastAsia="Arial" w:hAnsi="Arial"/>
          <w:sz w:val="14"/>
          <w:szCs w:val="14"/>
          <w:color w:val="auto"/>
        </w:rPr>
        <w:t>The Corporation continues capitalization of exploratory well costs when the well has found a sufficient quantity of reserves to justify its completion as a producing w the Corporation is making sufficient progress assessing the reserves and the economic and operating viability of the project. Exploratory well costs not meeting these are charged to expense. The facts and circumstances that support continued capitalization of suspended wells at year-end are disclosed in Note 10 to the financial statem</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Consolidations</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The Consolidated Financial Statements include the accounts of those subsidiaries that the Corporation controls. They also include the Corporation’s share of the un interest in certain upstream assets, liabilities, revenues and expenses. Amounts representing the Corporation’s interest in the underlying net assets of other significant that it does not control, but over which it exercises significant influence, are accounted for using the equity method of accounting.</w:t>
      </w:r>
    </w:p>
    <w:p>
      <w:pPr>
        <w:spacing w:after="0" w:line="21" w:lineRule="exact"/>
        <w:rPr>
          <w:sz w:val="20"/>
          <w:szCs w:val="20"/>
          <w:color w:val="auto"/>
        </w:rPr>
      </w:pPr>
    </w:p>
    <w:p>
      <w:pPr>
        <w:jc w:val="both"/>
        <w:ind w:firstLine="200"/>
        <w:spacing w:after="0" w:line="265" w:lineRule="auto"/>
        <w:rPr>
          <w:sz w:val="20"/>
          <w:szCs w:val="20"/>
          <w:color w:val="auto"/>
        </w:rPr>
      </w:pPr>
      <w:r>
        <w:rPr>
          <w:rFonts w:ascii="Arial" w:cs="Arial" w:eastAsia="Arial" w:hAnsi="Arial"/>
          <w:sz w:val="16"/>
          <w:szCs w:val="16"/>
          <w:color w:val="auto"/>
        </w:rPr>
        <w:t>Investments in companies that are partially owned by the Corporation are integral to the Corporation’s operations. In some cases they serve to balance worldwide ris in others they provide the only available means of entry into a particular market or area of interest. The other parties who also have an equity interest in these compa either independent third parties or host governments that share in the business results according to their ownership. The Corporation does not invest in these comp order to remove liabilities from its balance sheet. In fact, the Corporation has long been on record supporting an</w:t>
      </w:r>
    </w:p>
    <w:p>
      <w:pPr>
        <w:spacing w:after="0" w:line="70"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alternative accounting method that would require each investor to consolidate its share of all assets and liabilities in these partially-owned companies rather than interest in net equity. This method of accounting for investments in partially-owned companies is not permitted by U.S. GAAP except where the investments are in th ownership of a share of upstream assets and liabilities. However, for purposes of calculating return on average capital employed, which is not covered by U.S. standards, the Corporation includes its share of debt of these partially-owned companies in the determination of average capital employed.</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Benefits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Corporation and its affiliates sponsor about 100 defined benefit (pension) plans in over 40 countries. The Pension and Other Postretirement Benefits footnote (N provides details on pension obligations, fund assets and pension expense.</w:t>
      </w:r>
    </w:p>
    <w:p>
      <w:pPr>
        <w:spacing w:after="0" w:line="27" w:lineRule="exact"/>
        <w:rPr>
          <w:sz w:val="20"/>
          <w:szCs w:val="20"/>
          <w:color w:val="auto"/>
        </w:rPr>
      </w:pPr>
    </w:p>
    <w:p>
      <w:pPr>
        <w:jc w:val="both"/>
        <w:ind w:firstLine="200"/>
        <w:spacing w:after="0" w:line="263" w:lineRule="auto"/>
        <w:rPr>
          <w:sz w:val="20"/>
          <w:szCs w:val="20"/>
          <w:color w:val="auto"/>
        </w:rPr>
      </w:pPr>
      <w:r>
        <w:rPr>
          <w:rFonts w:ascii="Arial" w:cs="Arial" w:eastAsia="Arial" w:hAnsi="Arial"/>
          <w:sz w:val="16"/>
          <w:szCs w:val="16"/>
          <w:color w:val="auto"/>
        </w:rPr>
        <w:t>Some of these plans (primarily non-U.S.) provide pension benefits that are paid directly by their sponsoring affiliates out of corporate cash flow rather than a s pension fund. Book reserves are established for these plans because tax conventions and regulatory practices do not encourage advance funding. The portion of the cost attributable to employee service is expensed as services are rendered. The portion attributable to the increase in pension obligations due to the passage of time is ex over the term of the obligations, which ends when all benefits are paid. The primary difference in pension expense for unfunded versus funded plans is that pension for funded plans also includes a credit for the expected long-term return on fund assets.</w:t>
      </w:r>
    </w:p>
    <w:p>
      <w:pPr>
        <w:spacing w:after="0" w:line="46" w:lineRule="exact"/>
        <w:rPr>
          <w:sz w:val="20"/>
          <w:szCs w:val="20"/>
          <w:color w:val="auto"/>
        </w:rPr>
      </w:pPr>
    </w:p>
    <w:p>
      <w:pPr>
        <w:jc w:val="both"/>
        <w:ind w:firstLine="200"/>
        <w:spacing w:after="0" w:line="265" w:lineRule="auto"/>
        <w:rPr>
          <w:sz w:val="20"/>
          <w:szCs w:val="20"/>
          <w:color w:val="auto"/>
        </w:rPr>
      </w:pPr>
      <w:r>
        <w:rPr>
          <w:rFonts w:ascii="Arial" w:cs="Arial" w:eastAsia="Arial" w:hAnsi="Arial"/>
          <w:sz w:val="16"/>
          <w:szCs w:val="16"/>
          <w:color w:val="auto"/>
        </w:rPr>
        <w:t>For funded plans, including those in the U.S., pension obligations are financed in advance through segregated assets or insurance arrangements. These plans are m in compliance with the requirements of governmental authorities and meet or exceed required funding levels as measured by relevant actuarial and government stan the mandated measurement dates. In determining liabilities and required contributions, these standards often require approaches and assumptions that differ from tho for accounting purposes.</w:t>
      </w:r>
    </w:p>
    <w:p>
      <w:pPr>
        <w:spacing w:after="0" w:line="45" w:lineRule="exact"/>
        <w:rPr>
          <w:sz w:val="20"/>
          <w:szCs w:val="20"/>
          <w:color w:val="auto"/>
        </w:rPr>
      </w:pPr>
    </w:p>
    <w:p>
      <w:pPr>
        <w:jc w:val="both"/>
        <w:ind w:right="20" w:firstLine="200"/>
        <w:spacing w:after="0" w:line="286" w:lineRule="auto"/>
        <w:rPr>
          <w:sz w:val="20"/>
          <w:szCs w:val="20"/>
          <w:color w:val="auto"/>
        </w:rPr>
      </w:pPr>
      <w:r>
        <w:rPr>
          <w:rFonts w:ascii="Arial" w:cs="Arial" w:eastAsia="Arial" w:hAnsi="Arial"/>
          <w:sz w:val="16"/>
          <w:szCs w:val="16"/>
          <w:color w:val="auto"/>
        </w:rPr>
        <w:t>The Corporation will continue to make contributions to these funded plans as necessary. All defined-benefit pension obligations, regardless of the funding statu underlying plans, are fully supported by the financial strength of the Corporation or the respective sponsoring affiliate.</w:t>
      </w:r>
    </w:p>
    <w:p>
      <w:pPr>
        <w:spacing w:after="0" w:line="27" w:lineRule="exact"/>
        <w:rPr>
          <w:sz w:val="20"/>
          <w:szCs w:val="20"/>
          <w:color w:val="auto"/>
        </w:rPr>
      </w:pPr>
    </w:p>
    <w:p>
      <w:pPr>
        <w:jc w:val="both"/>
        <w:ind w:firstLine="200"/>
        <w:spacing w:after="0" w:line="198" w:lineRule="exact"/>
        <w:rPr>
          <w:sz w:val="20"/>
          <w:szCs w:val="20"/>
          <w:color w:val="auto"/>
        </w:rPr>
      </w:pPr>
      <w:r>
        <w:rPr>
          <w:rFonts w:ascii="Arial" w:cs="Arial" w:eastAsia="Arial" w:hAnsi="Arial"/>
          <w:sz w:val="16"/>
          <w:szCs w:val="16"/>
          <w:color w:val="auto"/>
        </w:rPr>
        <w:t>Pension accounting requires explicit assumptions regarding, among others, the long-term expected earnings rate on fund assets, the discount rate for the benefit obli and the long-term rate for future salary increases. Pension assumptions are reviewed annually by outside actuaries and senior management. These assumptions are adj appropriate to reflect changes in market rates and outlook. The long-term expected earnings rate on U.S. pension plan assets in 2014 was 7.25 percent. The 10</w:t>
      </w:r>
      <w:r>
        <w:rPr>
          <w:rFonts w:ascii="MS PGothic" w:cs="MS PGothic" w:eastAsia="MS PGothic" w:hAnsi="MS PGothic"/>
          <w:sz w:val="16"/>
          <w:szCs w:val="16"/>
          <w:color w:val="auto"/>
        </w:rPr>
        <w:t>‑</w:t>
      </w:r>
      <w:r>
        <w:rPr>
          <w:rFonts w:ascii="Arial" w:cs="Arial" w:eastAsia="Arial" w:hAnsi="Arial"/>
          <w:sz w:val="16"/>
          <w:szCs w:val="16"/>
          <w:color w:val="auto"/>
        </w:rPr>
        <w:t>y 20</w:t>
      </w:r>
      <w:r>
        <w:rPr>
          <w:rFonts w:ascii="MS PGothic" w:cs="MS PGothic" w:eastAsia="MS PGothic" w:hAnsi="MS PGothic"/>
          <w:sz w:val="16"/>
          <w:szCs w:val="16"/>
          <w:color w:val="auto"/>
        </w:rPr>
        <w:t>‑</w:t>
      </w:r>
      <w:r>
        <w:rPr>
          <w:rFonts w:ascii="Arial" w:cs="Arial" w:eastAsia="Arial" w:hAnsi="Arial"/>
          <w:sz w:val="16"/>
          <w:szCs w:val="16"/>
          <w:color w:val="auto"/>
        </w:rPr>
        <w:t>year actual returns on U.S. pension plan assets were 7 percent and 10 percent, respectively. The Corporation establishes the long-term expected rate of re developing a forward-looking, long-term return assumption for each pension fund asset class, taking into account factors such as the expected real return for the specif class and inflation. A single, long-term rate of return is then calculated as the weighted average of the target asset allocation percentages and the long-term return assu for each asset class. A worldwide reduction of 0.5 percent in the long-term rate of return on assets would increase annual pension expense by approximately $170 before tax.</w:t>
      </w:r>
    </w:p>
    <w:p>
      <w:pPr>
        <w:spacing w:after="0" w:line="66" w:lineRule="exact"/>
        <w:rPr>
          <w:sz w:val="20"/>
          <w:szCs w:val="20"/>
          <w:color w:val="auto"/>
        </w:rPr>
      </w:pPr>
    </w:p>
    <w:p>
      <w:pPr>
        <w:jc w:val="both"/>
        <w:ind w:firstLine="200"/>
        <w:spacing w:after="0" w:line="321" w:lineRule="auto"/>
        <w:rPr>
          <w:sz w:val="20"/>
          <w:szCs w:val="20"/>
          <w:color w:val="auto"/>
        </w:rPr>
      </w:pPr>
      <w:r>
        <w:rPr>
          <w:rFonts w:ascii="Arial" w:cs="Arial" w:eastAsia="Arial" w:hAnsi="Arial"/>
          <w:sz w:val="15"/>
          <w:szCs w:val="15"/>
          <w:color w:val="auto"/>
        </w:rPr>
        <w:t>Differences between actual returns on fund assets and the long-term expected return are not recognized in pension expense in the year that the difference occur differences are deferred, along with other actuarial gains and losses, and are amortized into pension expense over the expected remaining service life of employees.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 Contingencies</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 variety of claims have been made against the Corporation and certain of its consolidated subsidiaries in a number of pending lawsuits. Management has regular li reviews, including updates from corporate and outside counsel, to assess the need for accounting recognition or disclosure of these contingencies. The status of sig claims is summarized in Note 16.</w:t>
      </w:r>
    </w:p>
    <w:p>
      <w:pPr>
        <w:spacing w:after="0" w:line="38" w:lineRule="exact"/>
        <w:rPr>
          <w:sz w:val="20"/>
          <w:szCs w:val="20"/>
          <w:color w:val="auto"/>
        </w:rPr>
      </w:pPr>
    </w:p>
    <w:p>
      <w:pPr>
        <w:jc w:val="both"/>
        <w:ind w:firstLine="200"/>
        <w:spacing w:after="0" w:line="284" w:lineRule="auto"/>
        <w:rPr>
          <w:sz w:val="20"/>
          <w:szCs w:val="20"/>
          <w:color w:val="auto"/>
        </w:rPr>
      </w:pPr>
      <w:r>
        <w:rPr>
          <w:rFonts w:ascii="Arial" w:cs="Arial" w:eastAsia="Arial" w:hAnsi="Arial"/>
          <w:sz w:val="15"/>
          <w:szCs w:val="15"/>
          <w:color w:val="auto"/>
        </w:rPr>
        <w:t>The Corporation accrues an undiscounted liability for those contingencies where the incurrence of a loss is probable, and the amount can be reasonably estimated amounts are not reduced by amounts that may be recovered under insurance or claims against third parties, but undiscounted receivables from insurers or other third may be accrued separately. The Corporation revises such accruals in light of new information. For contingencies where an unfavorable outcome is reasonably possi which are significant, the Corporation discloses the nature of the contingency and, where feasible, an estimate of the possible loss. For purposes of our litigation cont disclosures, “significant” includes material matters as well as other items which management believes should be disclosed.</w:t>
      </w:r>
    </w:p>
    <w:p>
      <w:pPr>
        <w:spacing w:after="0" w:line="33" w:lineRule="exact"/>
        <w:rPr>
          <w:sz w:val="20"/>
          <w:szCs w:val="20"/>
          <w:color w:val="auto"/>
        </w:rPr>
      </w:pPr>
    </w:p>
    <w:p>
      <w:pPr>
        <w:jc w:val="both"/>
        <w:ind w:firstLine="200"/>
        <w:spacing w:after="0" w:line="286" w:lineRule="auto"/>
        <w:rPr>
          <w:sz w:val="20"/>
          <w:szCs w:val="20"/>
          <w:color w:val="auto"/>
        </w:rPr>
      </w:pPr>
      <w:r>
        <w:rPr>
          <w:rFonts w:ascii="Arial" w:cs="Arial" w:eastAsia="Arial" w:hAnsi="Arial"/>
          <w:sz w:val="16"/>
          <w:szCs w:val="16"/>
          <w:color w:val="auto"/>
        </w:rPr>
        <w:t>Management judgment is required related to contingent liabilities and the outcome of litigation because both are difficult to predict. However, the Corporation h successful in defending litigation in the past. Payments have not had a material</w:t>
      </w:r>
    </w:p>
    <w:p>
      <w:pPr>
        <w:spacing w:after="0" w:line="52"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adverse effect on operations or financial condition. In the Corporation’s experience, large claims often do not result in large awards. Large awards are often reve substantially reduced as a result of appeal or settlement.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Contingencies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Corporation is subject to income taxation in many jurisdictions around the world. Significant management judgment is required in the accounting for inco contingencies and tax disputes because the outcomes are often difficult to predict.</w:t>
      </w:r>
    </w:p>
    <w:p>
      <w:pPr>
        <w:spacing w:after="0" w:line="27" w:lineRule="exact"/>
        <w:rPr>
          <w:sz w:val="20"/>
          <w:szCs w:val="20"/>
          <w:color w:val="auto"/>
        </w:rPr>
      </w:pPr>
    </w:p>
    <w:p>
      <w:pPr>
        <w:jc w:val="both"/>
        <w:ind w:firstLine="200"/>
        <w:spacing w:after="0" w:line="263" w:lineRule="auto"/>
        <w:rPr>
          <w:sz w:val="20"/>
          <w:szCs w:val="20"/>
          <w:color w:val="auto"/>
        </w:rPr>
      </w:pPr>
      <w:r>
        <w:rPr>
          <w:rFonts w:ascii="Arial" w:cs="Arial" w:eastAsia="Arial" w:hAnsi="Arial"/>
          <w:sz w:val="16"/>
          <w:szCs w:val="16"/>
          <w:color w:val="auto"/>
        </w:rPr>
        <w:t>The benefits of uncertain tax positions that the Corporation has taken or expects to take in its income tax returns are recognized in the financial statements if mana concludes that it is more likely than not that the position will be sustained with the tax authorities. For a position that is likely to be sustained, the benefit recognize financial statements is measured at the largest amount that is greater than 50 percent likely of being realized. A reserve is established for the difference between a taken or expected to be taken in an income tax return and the amount recognized in the financial statements. The Corporation’s unrecognized tax benefits and a descri open tax years are summarized in Note 19.</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Translation</w:t>
      </w:r>
    </w:p>
    <w:p>
      <w:pPr>
        <w:spacing w:after="0" w:line="90"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method of translating the foreign currency financial statements of the Corporation’s international subsidiaries into U.S. dollars is prescribed by GAAP. Und principles, it is necessary to select the functional currency of these subsidiaries. The functional currency is the currency of the primary economic environment in w subsidiary operates. Management selects the functional currency after evaluating this economic environment.</w:t>
      </w:r>
    </w:p>
    <w:p>
      <w:pPr>
        <w:spacing w:after="0" w:line="38" w:lineRule="exact"/>
        <w:rPr>
          <w:sz w:val="20"/>
          <w:szCs w:val="20"/>
          <w:color w:val="auto"/>
        </w:rPr>
      </w:pPr>
    </w:p>
    <w:p>
      <w:pPr>
        <w:jc w:val="both"/>
        <w:ind w:firstLine="200"/>
        <w:spacing w:after="0" w:line="271" w:lineRule="auto"/>
        <w:rPr>
          <w:sz w:val="20"/>
          <w:szCs w:val="20"/>
          <w:color w:val="auto"/>
        </w:rPr>
      </w:pPr>
      <w:r>
        <w:rPr>
          <w:rFonts w:ascii="Arial" w:cs="Arial" w:eastAsia="Arial" w:hAnsi="Arial"/>
          <w:sz w:val="16"/>
          <w:szCs w:val="16"/>
          <w:color w:val="auto"/>
        </w:rPr>
        <w:t>Factors considered by management when determining the functional currency for a subsidiary include the currency used for cash flows related to individual ass liabilities; the responsiveness of sales prices to changes in exchange rates; the history of inflation in the country; whether sales are into local markets or exported; the c used to acquire raw materials, labor, services and supplies; sources of financing; and significance of intercompany transactions.</w:t>
      </w:r>
    </w:p>
    <w:p>
      <w:pPr>
        <w:spacing w:after="0" w:line="200" w:lineRule="exact"/>
        <w:rPr>
          <w:sz w:val="20"/>
          <w:szCs w:val="20"/>
          <w:color w:val="auto"/>
        </w:rPr>
      </w:pPr>
    </w:p>
    <w:p>
      <w:pPr>
        <w:spacing w:after="0" w:line="378"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61" w:name="page62"/>
    <w:bookmarkEnd w:id="61"/>
    <w:p>
      <w:pPr>
        <w:ind w:left="580"/>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580"/>
        <w:spacing w:after="0" w:line="263" w:lineRule="auto"/>
        <w:rPr>
          <w:sz w:val="20"/>
          <w:szCs w:val="20"/>
          <w:color w:val="auto"/>
        </w:rPr>
      </w:pPr>
      <w:r>
        <w:rPr>
          <w:rFonts w:ascii="Arial" w:cs="Arial" w:eastAsia="Arial" w:hAnsi="Arial"/>
          <w:sz w:val="16"/>
          <w:szCs w:val="16"/>
          <w:color w:val="auto"/>
        </w:rPr>
        <w:t xml:space="preserve">Management, including the Corporation’s Chief Executive Officer, Principal Financial Officer, and Principal Accounting Officer, is responsible for establishi maintaining adequate internal control over the Corporation’s financial reporting. Management conducted an evaluation of the effectiveness of internal control over fi reporting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 Commission. Based on this evaluation, management concluded that Exxon Mobil Corporation’s internal control over financial reporting was effective as of Decem 2014.</w:t>
      </w:r>
    </w:p>
    <w:p>
      <w:pPr>
        <w:spacing w:after="0" w:line="46" w:lineRule="exact"/>
        <w:rPr>
          <w:sz w:val="20"/>
          <w:szCs w:val="20"/>
          <w:color w:val="auto"/>
        </w:rPr>
      </w:pPr>
    </w:p>
    <w:p>
      <w:pPr>
        <w:jc w:val="both"/>
        <w:ind w:left="580" w:firstLine="200"/>
        <w:spacing w:after="0" w:line="286" w:lineRule="auto"/>
        <w:rPr>
          <w:sz w:val="20"/>
          <w:szCs w:val="20"/>
          <w:color w:val="auto"/>
        </w:rPr>
      </w:pPr>
      <w:r>
        <w:rPr>
          <w:rFonts w:ascii="Arial" w:cs="Arial" w:eastAsia="Arial" w:hAnsi="Arial"/>
          <w:sz w:val="16"/>
          <w:szCs w:val="16"/>
          <w:color w:val="auto"/>
        </w:rPr>
        <w:t>PricewaterhouseCoopers LLP, an independent registered public accounting firm, audited the effectiveness of the Corporation’s internal control over financial repo of December 31, 2014, as stated in their report included in the Financial Section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585470</wp:posOffset>
            </wp:positionV>
            <wp:extent cx="1470660" cy="295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70660" cy="295910"/>
                    </a:xfrm>
                    <a:prstGeom prst="rect">
                      <a:avLst/>
                    </a:prstGeom>
                    <a:noFill/>
                  </pic:spPr>
                </pic:pic>
              </a:graphicData>
            </a:graphic>
          </wp:anchor>
        </w:drawing>
        <w:drawing>
          <wp:anchor simplePos="0" relativeHeight="251657728" behindDoc="1" locked="0" layoutInCell="0" allowOverlap="1">
            <wp:simplePos x="0" y="0"/>
            <wp:positionH relativeFrom="column">
              <wp:posOffset>2846705</wp:posOffset>
            </wp:positionH>
            <wp:positionV relativeFrom="paragraph">
              <wp:posOffset>515620</wp:posOffset>
            </wp:positionV>
            <wp:extent cx="1120140" cy="3657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20140" cy="365760"/>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367665</wp:posOffset>
            </wp:positionV>
            <wp:extent cx="1517015" cy="513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17015" cy="51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20" w:type="dxa"/>
            <w:vAlign w:val="bottom"/>
          </w:tcPr>
          <w:p>
            <w:pPr>
              <w:ind w:left="580"/>
              <w:spacing w:after="0"/>
              <w:rPr>
                <w:sz w:val="20"/>
                <w:szCs w:val="20"/>
                <w:color w:val="auto"/>
              </w:rPr>
            </w:pPr>
            <w:r>
              <w:rPr>
                <w:rFonts w:ascii="Arial" w:cs="Arial" w:eastAsia="Arial" w:hAnsi="Arial"/>
                <w:sz w:val="16"/>
                <w:szCs w:val="16"/>
                <w:color w:val="auto"/>
              </w:rPr>
              <w:t>Rex W. Tillerson</w:t>
            </w:r>
          </w:p>
        </w:tc>
        <w:tc>
          <w:tcPr>
            <w:tcW w:w="3920" w:type="dxa"/>
            <w:vAlign w:val="bottom"/>
          </w:tcPr>
          <w:p>
            <w:pPr>
              <w:ind w:left="1160"/>
              <w:spacing w:after="0"/>
              <w:rPr>
                <w:sz w:val="20"/>
                <w:szCs w:val="20"/>
                <w:color w:val="auto"/>
              </w:rPr>
            </w:pPr>
            <w:r>
              <w:rPr>
                <w:rFonts w:ascii="Arial" w:cs="Arial" w:eastAsia="Arial" w:hAnsi="Arial"/>
                <w:sz w:val="16"/>
                <w:szCs w:val="16"/>
                <w:color w:val="auto"/>
              </w:rPr>
              <w:t>Andrew P. Swiger</w:t>
            </w:r>
          </w:p>
        </w:tc>
        <w:tc>
          <w:tcPr>
            <w:tcW w:w="4220" w:type="dxa"/>
            <w:vAlign w:val="bottom"/>
          </w:tcPr>
          <w:p>
            <w:pPr>
              <w:ind w:left="900"/>
              <w:spacing w:after="0"/>
              <w:rPr>
                <w:sz w:val="20"/>
                <w:szCs w:val="20"/>
                <w:color w:val="auto"/>
              </w:rPr>
            </w:pPr>
            <w:r>
              <w:rPr>
                <w:rFonts w:ascii="Arial" w:cs="Arial" w:eastAsia="Arial" w:hAnsi="Arial"/>
                <w:sz w:val="16"/>
                <w:szCs w:val="16"/>
                <w:color w:val="auto"/>
              </w:rPr>
              <w:t>David S. Rosenthal</w:t>
            </w:r>
          </w:p>
        </w:tc>
      </w:tr>
      <w:tr>
        <w:trPr>
          <w:trHeight w:val="196"/>
        </w:trPr>
        <w:tc>
          <w:tcPr>
            <w:tcW w:w="3320" w:type="dxa"/>
            <w:vAlign w:val="bottom"/>
          </w:tcPr>
          <w:p>
            <w:pPr>
              <w:ind w:left="580"/>
              <w:spacing w:after="0"/>
              <w:rPr>
                <w:sz w:val="20"/>
                <w:szCs w:val="20"/>
                <w:color w:val="auto"/>
              </w:rPr>
            </w:pPr>
            <w:r>
              <w:rPr>
                <w:rFonts w:ascii="Arial" w:cs="Arial" w:eastAsia="Arial" w:hAnsi="Arial"/>
                <w:sz w:val="16"/>
                <w:szCs w:val="16"/>
                <w:color w:val="auto"/>
              </w:rPr>
              <w:t>Chief Executive Officer</w:t>
            </w:r>
          </w:p>
        </w:tc>
        <w:tc>
          <w:tcPr>
            <w:tcW w:w="3920" w:type="dxa"/>
            <w:vAlign w:val="bottom"/>
          </w:tcPr>
          <w:p>
            <w:pPr>
              <w:ind w:left="1160"/>
              <w:spacing w:after="0"/>
              <w:rPr>
                <w:sz w:val="20"/>
                <w:szCs w:val="20"/>
                <w:color w:val="auto"/>
              </w:rPr>
            </w:pPr>
            <w:r>
              <w:rPr>
                <w:rFonts w:ascii="Arial" w:cs="Arial" w:eastAsia="Arial" w:hAnsi="Arial"/>
                <w:sz w:val="16"/>
                <w:szCs w:val="16"/>
                <w:color w:val="auto"/>
              </w:rPr>
              <w:t>Senior Vice President</w:t>
            </w:r>
          </w:p>
        </w:tc>
        <w:tc>
          <w:tcPr>
            <w:tcW w:w="4220" w:type="dxa"/>
            <w:vAlign w:val="bottom"/>
          </w:tcPr>
          <w:p>
            <w:pPr>
              <w:ind w:left="900"/>
              <w:spacing w:after="0"/>
              <w:rPr>
                <w:sz w:val="20"/>
                <w:szCs w:val="20"/>
                <w:color w:val="auto"/>
              </w:rPr>
            </w:pPr>
            <w:r>
              <w:rPr>
                <w:rFonts w:ascii="Arial" w:cs="Arial" w:eastAsia="Arial" w:hAnsi="Arial"/>
                <w:sz w:val="16"/>
                <w:szCs w:val="16"/>
                <w:color w:val="auto"/>
              </w:rPr>
              <w:t>Vice President and Controller</w:t>
            </w:r>
          </w:p>
        </w:tc>
      </w:tr>
      <w:tr>
        <w:trPr>
          <w:trHeight w:val="208"/>
        </w:trPr>
        <w:tc>
          <w:tcPr>
            <w:tcW w:w="3320" w:type="dxa"/>
            <w:vAlign w:val="bottom"/>
          </w:tcPr>
          <w:p>
            <w:pPr>
              <w:spacing w:after="0"/>
              <w:rPr>
                <w:sz w:val="18"/>
                <w:szCs w:val="18"/>
                <w:color w:val="auto"/>
              </w:rPr>
            </w:pPr>
          </w:p>
        </w:tc>
        <w:tc>
          <w:tcPr>
            <w:tcW w:w="3920" w:type="dxa"/>
            <w:vAlign w:val="bottom"/>
          </w:tcPr>
          <w:p>
            <w:pPr>
              <w:ind w:left="1160"/>
              <w:spacing w:after="0"/>
              <w:rPr>
                <w:sz w:val="20"/>
                <w:szCs w:val="20"/>
                <w:color w:val="auto"/>
              </w:rPr>
            </w:pPr>
            <w:r>
              <w:rPr>
                <w:rFonts w:ascii="Arial" w:cs="Arial" w:eastAsia="Arial" w:hAnsi="Arial"/>
                <w:sz w:val="16"/>
                <w:szCs w:val="16"/>
                <w:color w:val="auto"/>
              </w:rPr>
              <w:t>(Principal Financial Officer)</w:t>
            </w:r>
          </w:p>
        </w:tc>
        <w:tc>
          <w:tcPr>
            <w:tcW w:w="4220" w:type="dxa"/>
            <w:vAlign w:val="bottom"/>
          </w:tcPr>
          <w:p>
            <w:pPr>
              <w:ind w:left="900"/>
              <w:spacing w:after="0"/>
              <w:rPr>
                <w:sz w:val="20"/>
                <w:szCs w:val="20"/>
                <w:color w:val="auto"/>
              </w:rPr>
            </w:pPr>
            <w:r>
              <w:rPr>
                <w:rFonts w:ascii="Arial" w:cs="Arial" w:eastAsia="Arial" w:hAnsi="Arial"/>
                <w:sz w:val="16"/>
                <w:szCs w:val="16"/>
                <w:color w:val="auto"/>
              </w:rPr>
              <w:t>(Principal Accounting Officer)</w:t>
            </w:r>
          </w:p>
        </w:tc>
      </w:tr>
      <w:tr>
        <w:trPr>
          <w:trHeight w:val="588"/>
        </w:trPr>
        <w:tc>
          <w:tcPr>
            <w:tcW w:w="3320" w:type="dxa"/>
            <w:vAlign w:val="bottom"/>
          </w:tcPr>
          <w:p>
            <w:pPr>
              <w:spacing w:after="0"/>
              <w:rPr>
                <w:sz w:val="24"/>
                <w:szCs w:val="24"/>
                <w:color w:val="auto"/>
              </w:rPr>
            </w:pPr>
          </w:p>
        </w:tc>
        <w:tc>
          <w:tcPr>
            <w:tcW w:w="3920" w:type="dxa"/>
            <w:vAlign w:val="bottom"/>
          </w:tcPr>
          <w:p>
            <w:pPr>
              <w:jc w:val="right"/>
              <w:ind w:right="798"/>
              <w:spacing w:after="0"/>
              <w:rPr>
                <w:sz w:val="20"/>
                <w:szCs w:val="20"/>
                <w:color w:val="auto"/>
              </w:rPr>
            </w:pPr>
            <w:r>
              <w:rPr>
                <w:rFonts w:ascii="Arial" w:cs="Arial" w:eastAsia="Arial" w:hAnsi="Arial"/>
                <w:sz w:val="16"/>
                <w:szCs w:val="16"/>
                <w:color w:val="auto"/>
              </w:rPr>
              <w:t>60</w:t>
            </w:r>
          </w:p>
        </w:tc>
        <w:tc>
          <w:tcPr>
            <w:tcW w:w="4220" w:type="dxa"/>
            <w:vAlign w:val="bottom"/>
          </w:tcPr>
          <w:p>
            <w:pPr>
              <w:spacing w:after="0"/>
              <w:rPr>
                <w:sz w:val="24"/>
                <w:szCs w:val="24"/>
                <w:color w:val="auto"/>
              </w:rPr>
            </w:pPr>
          </w:p>
        </w:tc>
      </w:tr>
      <w:tr>
        <w:trPr>
          <w:trHeight w:val="745"/>
        </w:trPr>
        <w:tc>
          <w:tcPr>
            <w:tcW w:w="332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589" w:right="13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531495</wp:posOffset>
            </wp:positionV>
            <wp:extent cx="684530" cy="5213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4530" cy="52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of Exxon Mobil Corporation:</w:t>
      </w:r>
    </w:p>
    <w:p>
      <w:pPr>
        <w:spacing w:after="0" w:line="15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 xml:space="preserve">In our opinion, the accompanying Consolidated Balance Sheets and the related Consolidated Statements of Income, Comprehensive Income, Changes in Equity an Flows present fairly, in all material respects, the financial position of Exxon Mobil Corporation and its subsidiaries at December 31, 2014 and 2013, and the results operations and their cash flows for each of the three years in the period ended December 31, 2014 in conformity with accounting principles generally accepted in the States of America. Also in our opinion, the Corporation maintained, in all material respects, effective internal control over financial reporting as of December 31, 2014 on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the Committee of Sponsoring Organizations of the Treadway Commission (COS Corporation’s management is responsible for these financial statements, for maintaining effective internal control over financial reporting and for its assessment effectiveness of internal control over financial reporting, included in the accompanying Management’s Report on Internal Control over Financial Reporting. Our respo is to express opinions on these financial statements and on the Corporation’s internal control over financial reporting based on our integrated audits. We conducted ou in accordance with the standards of the Public Company Accounting Oversight Board (United States). Those standards require that we plan and perform the audits to reasonable assurance about whether the financial statements are free of material misstatement and whether effective internal control over financial reporting was maint all material respects. Our audits of the financial statements included examining, on a test basis, evidence supporting the amounts and disclosures in the financial stat assessing the accounting principles used and significant estimates made by management, and evaluating the overall financial statement presentation. Our audit of control over financial reporting included obtaining an understanding of internal control over financial reporting, assessing the risk that a material weakness exists, and and evaluating the design and operating effectiveness of internal control based on the assessed risk. Our audits also included performing such other procedures considered necessary in the circumstances. We believe that our audits provide a reasonable basis for our opinions.</w:t>
      </w:r>
    </w:p>
    <w:p>
      <w:pPr>
        <w:spacing w:after="0" w:line="3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 of financial statements for external purposes in accordance with generally accepted accounting principles. A company’s internal control over financial reporting includ policies and procedures that (i) pertain to the maintenance of records that, in reasonable detail, accurately and fairly reflect the transactions and dispositions of the asset company; (ii) provide reasonable assurance that transactions are recorded as necessary to permit preparation of financial statements in accordance with generally a accounting principles, and that receipts and expenditures of the company are being made only in accordance with authorizations of management and directors of the co and (iii) provide reasonable assurance regarding prevention or timely detection of unauthorized acquisition, use, or disposition of the company’s assets that could material effect on the financial statements.</w:t>
      </w:r>
    </w:p>
    <w:p>
      <w:pPr>
        <w:spacing w:after="0" w:line="5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 future periods are subject to the risk that controls may become inadequate because of changes in conditions, or that the degree of compliance with the policies or pro may deteriorate.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Dallas, Texas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February 25, 2015</w:t>
      </w:r>
    </w:p>
    <w:p>
      <w:pPr>
        <w:spacing w:after="0" w:line="246"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color w:val="auto"/>
        </w:rPr>
        <w:t>CONSOLIDATED STATEMENT OF INCOME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880" w:type="dxa"/>
            <w:vAlign w:val="bottom"/>
          </w:tcPr>
          <w:p>
            <w:pPr>
              <w:spacing w:after="0"/>
              <w:rPr>
                <w:sz w:val="14"/>
                <w:szCs w:val="14"/>
                <w:color w:val="auto"/>
              </w:rPr>
            </w:pPr>
          </w:p>
        </w:tc>
        <w:tc>
          <w:tcPr>
            <w:tcW w:w="2460" w:type="dxa"/>
            <w:vAlign w:val="bottom"/>
          </w:tcPr>
          <w:p>
            <w:pPr>
              <w:jc w:val="center"/>
              <w:ind w:left="335"/>
              <w:spacing w:after="0"/>
              <w:rPr>
                <w:sz w:val="20"/>
                <w:szCs w:val="20"/>
                <w:color w:val="auto"/>
              </w:rPr>
            </w:pPr>
            <w:r>
              <w:rPr>
                <w:rFonts w:ascii="Arial" w:cs="Arial" w:eastAsia="Arial" w:hAnsi="Arial"/>
                <w:sz w:val="13"/>
                <w:szCs w:val="13"/>
                <w:b w:val="1"/>
                <w:bCs w:val="1"/>
                <w:color w:val="auto"/>
                <w:w w:val="89"/>
              </w:rPr>
              <w:t>Note</w:t>
            </w:r>
          </w:p>
        </w:tc>
        <w:tc>
          <w:tcPr>
            <w:tcW w:w="1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80" w:type="dxa"/>
            <w:vAlign w:val="bottom"/>
          </w:tcPr>
          <w:p>
            <w:pPr>
              <w:spacing w:after="0"/>
              <w:rPr>
                <w:sz w:val="17"/>
                <w:szCs w:val="17"/>
                <w:color w:val="auto"/>
              </w:rPr>
            </w:pPr>
          </w:p>
        </w:tc>
        <w:tc>
          <w:tcPr>
            <w:tcW w:w="2460" w:type="dxa"/>
            <w:vAlign w:val="bottom"/>
          </w:tcPr>
          <w:p>
            <w:pPr>
              <w:jc w:val="center"/>
              <w:ind w:left="315"/>
              <w:spacing w:after="0"/>
              <w:rPr>
                <w:sz w:val="20"/>
                <w:szCs w:val="20"/>
                <w:color w:val="auto"/>
              </w:rPr>
            </w:pPr>
            <w:r>
              <w:rPr>
                <w:rFonts w:ascii="Arial" w:cs="Arial" w:eastAsia="Arial" w:hAnsi="Arial"/>
                <w:sz w:val="13"/>
                <w:szCs w:val="13"/>
                <w:b w:val="1"/>
                <w:bCs w:val="1"/>
                <w:color w:val="auto"/>
                <w:w w:val="89"/>
              </w:rPr>
              <w:t>Reference</w:t>
            </w:r>
          </w:p>
        </w:tc>
        <w:tc>
          <w:tcPr>
            <w:tcW w:w="1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Pr>
          <w:p>
            <w:pPr>
              <w:spacing w:after="0"/>
              <w:rPr>
                <w:sz w:val="17"/>
                <w:szCs w:val="17"/>
                <w:color w:val="auto"/>
              </w:rPr>
            </w:pPr>
          </w:p>
        </w:tc>
        <w:tc>
          <w:tcPr>
            <w:tcW w:w="2460" w:type="dxa"/>
            <w:vAlign w:val="bottom"/>
          </w:tcPr>
          <w:p>
            <w:pPr>
              <w:jc w:val="center"/>
              <w:ind w:left="335"/>
              <w:spacing w:after="0"/>
              <w:rPr>
                <w:sz w:val="20"/>
                <w:szCs w:val="20"/>
                <w:color w:val="auto"/>
              </w:rPr>
            </w:pPr>
            <w:r>
              <w:rPr>
                <w:rFonts w:ascii="Arial" w:cs="Arial" w:eastAsia="Arial" w:hAnsi="Arial"/>
                <w:sz w:val="13"/>
                <w:szCs w:val="13"/>
                <w:b w:val="1"/>
                <w:bCs w:val="1"/>
                <w:color w:val="auto"/>
                <w:w w:val="93"/>
              </w:rPr>
              <w:t>Number</w:t>
            </w:r>
          </w:p>
        </w:tc>
        <w:tc>
          <w:tcPr>
            <w:tcW w:w="1340" w:type="dxa"/>
            <w:vAlign w:val="bottom"/>
          </w:tcPr>
          <w:p>
            <w:pPr>
              <w:jc w:val="right"/>
              <w:ind w:right="539"/>
              <w:spacing w:after="0"/>
              <w:rPr>
                <w:sz w:val="20"/>
                <w:szCs w:val="20"/>
                <w:color w:val="auto"/>
              </w:rPr>
            </w:pPr>
            <w:r>
              <w:rPr>
                <w:rFonts w:ascii="Arial" w:cs="Arial" w:eastAsia="Arial" w:hAnsi="Arial"/>
                <w:sz w:val="13"/>
                <w:szCs w:val="13"/>
                <w:b w:val="1"/>
                <w:bCs w:val="1"/>
                <w:color w:val="auto"/>
              </w:rPr>
              <w:t>2014</w:t>
            </w:r>
          </w:p>
        </w:tc>
        <w:tc>
          <w:tcPr>
            <w:tcW w:w="1700" w:type="dxa"/>
            <w:vAlign w:val="bottom"/>
          </w:tcPr>
          <w:p>
            <w:pPr>
              <w:jc w:val="right"/>
              <w:ind w:right="720"/>
              <w:spacing w:after="0"/>
              <w:rPr>
                <w:sz w:val="20"/>
                <w:szCs w:val="20"/>
                <w:color w:val="auto"/>
              </w:rPr>
            </w:pPr>
            <w:r>
              <w:rPr>
                <w:rFonts w:ascii="Arial" w:cs="Arial" w:eastAsia="Arial" w:hAnsi="Arial"/>
                <w:sz w:val="13"/>
                <w:szCs w:val="13"/>
                <w:b w:val="1"/>
                <w:bCs w:val="1"/>
                <w:color w:val="auto"/>
              </w:rPr>
              <w:t>2013</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20</w:t>
            </w:r>
          </w:p>
        </w:tc>
        <w:tc>
          <w:tcPr>
            <w:tcW w:w="0" w:type="dxa"/>
            <w:vAlign w:val="bottom"/>
          </w:tcPr>
          <w:p>
            <w:pPr>
              <w:spacing w:after="0"/>
              <w:rPr>
                <w:sz w:val="1"/>
                <w:szCs w:val="1"/>
                <w:color w:val="auto"/>
              </w:rPr>
            </w:pPr>
          </w:p>
        </w:tc>
      </w:tr>
      <w:tr>
        <w:trPr>
          <w:trHeight w:val="23"/>
        </w:trPr>
        <w:tc>
          <w:tcPr>
            <w:tcW w:w="48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4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00" w:type="dxa"/>
            <w:vAlign w:val="bottom"/>
          </w:tcPr>
          <w:p>
            <w:pPr>
              <w:jc w:val="right"/>
              <w:ind w:right="380"/>
              <w:spacing w:after="0"/>
              <w:rPr>
                <w:sz w:val="20"/>
                <w:szCs w:val="20"/>
                <w:color w:val="auto"/>
              </w:rPr>
            </w:pPr>
            <w:r>
              <w:rPr>
                <w:rFonts w:ascii="Arial" w:cs="Arial" w:eastAsia="Arial" w:hAnsi="Arial"/>
                <w:sz w:val="13"/>
                <w:szCs w:val="13"/>
                <w:i w:val="1"/>
                <w:iCs w:val="1"/>
                <w:color w:val="auto"/>
              </w:rPr>
              <w:t>(millions of dollars)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880" w:type="dxa"/>
            <w:vAlign w:val="bottom"/>
          </w:tcPr>
          <w:p>
            <w:pPr>
              <w:spacing w:after="0"/>
              <w:rPr>
                <w:sz w:val="20"/>
                <w:szCs w:val="20"/>
                <w:color w:val="auto"/>
              </w:rPr>
            </w:pPr>
            <w:r>
              <w:rPr>
                <w:rFonts w:ascii="Arial" w:cs="Arial" w:eastAsia="Arial" w:hAnsi="Arial"/>
                <w:sz w:val="16"/>
                <w:szCs w:val="16"/>
                <w:color w:val="auto"/>
              </w:rPr>
              <w:t>Revenues and other income</w:t>
            </w:r>
          </w:p>
        </w:tc>
        <w:tc>
          <w:tcPr>
            <w:tcW w:w="2460" w:type="dxa"/>
            <w:vAlign w:val="bottom"/>
          </w:tcPr>
          <w:p>
            <w:pPr>
              <w:spacing w:after="0"/>
              <w:rPr>
                <w:sz w:val="20"/>
                <w:szCs w:val="20"/>
                <w:color w:val="auto"/>
              </w:rPr>
            </w:pPr>
          </w:p>
        </w:tc>
        <w:tc>
          <w:tcPr>
            <w:tcW w:w="1340" w:type="dxa"/>
            <w:vAlign w:val="bottom"/>
            <w:vMerge w:val="restart"/>
          </w:tcPr>
          <w:p>
            <w:pPr>
              <w:jc w:val="right"/>
              <w:ind w:right="99"/>
              <w:spacing w:after="0"/>
              <w:rPr>
                <w:sz w:val="20"/>
                <w:szCs w:val="20"/>
                <w:color w:val="auto"/>
              </w:rPr>
            </w:pPr>
            <w:r>
              <w:rPr>
                <w:rFonts w:ascii="Arial" w:cs="Arial" w:eastAsia="Arial" w:hAnsi="Arial"/>
                <w:sz w:val="16"/>
                <w:szCs w:val="16"/>
                <w:color w:val="auto"/>
              </w:rPr>
              <w:t>394,105</w:t>
            </w:r>
          </w:p>
        </w:tc>
        <w:tc>
          <w:tcPr>
            <w:tcW w:w="1700" w:type="dxa"/>
            <w:vAlign w:val="bottom"/>
            <w:vMerge w:val="restart"/>
          </w:tcPr>
          <w:p>
            <w:pPr>
              <w:jc w:val="right"/>
              <w:ind w:right="340"/>
              <w:spacing w:after="0"/>
              <w:rPr>
                <w:sz w:val="20"/>
                <w:szCs w:val="20"/>
                <w:color w:val="auto"/>
              </w:rPr>
            </w:pPr>
            <w:r>
              <w:rPr>
                <w:rFonts w:ascii="Arial" w:cs="Arial" w:eastAsia="Arial" w:hAnsi="Arial"/>
                <w:sz w:val="16"/>
                <w:szCs w:val="16"/>
                <w:color w:val="auto"/>
              </w:rPr>
              <w:t>420,836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880" w:type="dxa"/>
            <w:vAlign w:val="bottom"/>
          </w:tcPr>
          <w:p>
            <w:pPr>
              <w:ind w:left="340"/>
              <w:spacing w:after="0"/>
              <w:rPr>
                <w:sz w:val="20"/>
                <w:szCs w:val="20"/>
                <w:color w:val="auto"/>
              </w:rPr>
            </w:pPr>
            <w:r>
              <w:rPr>
                <w:rFonts w:ascii="Arial" w:cs="Arial" w:eastAsia="Arial" w:hAnsi="Arial"/>
                <w:sz w:val="16"/>
                <w:szCs w:val="16"/>
                <w:color w:val="auto"/>
              </w:rPr>
              <w:t xml:space="preserve">Sales and other operating revenue </w:t>
            </w:r>
            <w:r>
              <w:rPr>
                <w:rFonts w:ascii="Arial" w:cs="Arial" w:eastAsia="Arial" w:hAnsi="Arial"/>
                <w:sz w:val="14"/>
                <w:szCs w:val="14"/>
                <w:i w:val="1"/>
                <w:iCs w:val="1"/>
                <w:color w:val="auto"/>
              </w:rPr>
              <w:t>(1)</w:t>
            </w:r>
          </w:p>
        </w:tc>
        <w:tc>
          <w:tcPr>
            <w:tcW w:w="24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880" w:type="dxa"/>
            <w:vAlign w:val="bottom"/>
          </w:tcPr>
          <w:p>
            <w:pPr>
              <w:ind w:left="340"/>
              <w:spacing w:after="0"/>
              <w:rPr>
                <w:sz w:val="20"/>
                <w:szCs w:val="20"/>
                <w:color w:val="auto"/>
              </w:rPr>
            </w:pPr>
            <w:r>
              <w:rPr>
                <w:rFonts w:ascii="Arial" w:cs="Arial" w:eastAsia="Arial" w:hAnsi="Arial"/>
                <w:sz w:val="16"/>
                <w:szCs w:val="16"/>
                <w:color w:val="auto"/>
              </w:rPr>
              <w:t>Income from equity affiliates</w:t>
            </w:r>
          </w:p>
        </w:tc>
        <w:tc>
          <w:tcPr>
            <w:tcW w:w="2460" w:type="dxa"/>
            <w:vAlign w:val="bottom"/>
          </w:tcPr>
          <w:p>
            <w:pPr>
              <w:jc w:val="center"/>
              <w:ind w:left="335"/>
              <w:spacing w:after="0"/>
              <w:rPr>
                <w:sz w:val="20"/>
                <w:szCs w:val="20"/>
                <w:color w:val="auto"/>
              </w:rPr>
            </w:pPr>
            <w:r>
              <w:rPr>
                <w:rFonts w:ascii="Arial" w:cs="Arial" w:eastAsia="Arial" w:hAnsi="Arial"/>
                <w:sz w:val="13"/>
                <w:szCs w:val="13"/>
                <w:color w:val="auto"/>
                <w:w w:val="82"/>
              </w:rPr>
              <w:t>7</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13,323</w:t>
            </w:r>
          </w:p>
        </w:tc>
        <w:tc>
          <w:tcPr>
            <w:tcW w:w="1700" w:type="dxa"/>
            <w:vAlign w:val="bottom"/>
          </w:tcPr>
          <w:p>
            <w:pPr>
              <w:jc w:val="right"/>
              <w:ind w:right="340"/>
              <w:spacing w:after="0"/>
              <w:rPr>
                <w:sz w:val="20"/>
                <w:szCs w:val="20"/>
                <w:color w:val="auto"/>
              </w:rPr>
            </w:pPr>
            <w:r>
              <w:rPr>
                <w:rFonts w:ascii="Arial" w:cs="Arial" w:eastAsia="Arial" w:hAnsi="Arial"/>
                <w:sz w:val="16"/>
                <w:szCs w:val="16"/>
                <w:color w:val="auto"/>
              </w:rPr>
              <w:t>13,927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340"/>
              <w:spacing w:after="0"/>
              <w:rPr>
                <w:sz w:val="20"/>
                <w:szCs w:val="20"/>
                <w:color w:val="auto"/>
              </w:rPr>
            </w:pPr>
            <w:r>
              <w:rPr>
                <w:rFonts w:ascii="Arial" w:cs="Arial" w:eastAsia="Arial" w:hAnsi="Arial"/>
                <w:sz w:val="16"/>
                <w:szCs w:val="16"/>
                <w:color w:val="auto"/>
              </w:rPr>
              <w:t>Other income</w:t>
            </w:r>
          </w:p>
        </w:tc>
        <w:tc>
          <w:tcPr>
            <w:tcW w:w="2460" w:type="dxa"/>
            <w:vAlign w:val="bottom"/>
          </w:tcPr>
          <w:p>
            <w:pPr>
              <w:spacing w:after="0"/>
              <w:rPr>
                <w:sz w:val="19"/>
                <w:szCs w:val="19"/>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4,511</w:t>
            </w:r>
          </w:p>
        </w:tc>
        <w:tc>
          <w:tcPr>
            <w:tcW w:w="17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3,492</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880" w:type="dxa"/>
            <w:vAlign w:val="bottom"/>
          </w:tcPr>
          <w:p>
            <w:pPr>
              <w:ind w:left="700"/>
              <w:spacing w:after="0"/>
              <w:rPr>
                <w:sz w:val="20"/>
                <w:szCs w:val="20"/>
                <w:color w:val="auto"/>
              </w:rPr>
            </w:pPr>
            <w:r>
              <w:rPr>
                <w:rFonts w:ascii="Arial" w:cs="Arial" w:eastAsia="Arial" w:hAnsi="Arial"/>
                <w:sz w:val="16"/>
                <w:szCs w:val="16"/>
                <w:color w:val="auto"/>
              </w:rPr>
              <w:t>Total revenues and other income</w:t>
            </w:r>
          </w:p>
        </w:tc>
        <w:tc>
          <w:tcPr>
            <w:tcW w:w="2460" w:type="dxa"/>
            <w:vAlign w:val="bottom"/>
          </w:tcPr>
          <w:p>
            <w:pPr>
              <w:spacing w:after="0"/>
              <w:rPr>
                <w:sz w:val="16"/>
                <w:szCs w:val="16"/>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411,939</w:t>
            </w:r>
          </w:p>
        </w:tc>
        <w:tc>
          <w:tcPr>
            <w:tcW w:w="17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438,255</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880" w:type="dxa"/>
            <w:vAlign w:val="bottom"/>
          </w:tcPr>
          <w:p>
            <w:pPr>
              <w:spacing w:after="0"/>
              <w:rPr>
                <w:sz w:val="20"/>
                <w:szCs w:val="20"/>
                <w:color w:val="auto"/>
              </w:rPr>
            </w:pPr>
            <w:r>
              <w:rPr>
                <w:rFonts w:ascii="Arial" w:cs="Arial" w:eastAsia="Arial" w:hAnsi="Arial"/>
                <w:sz w:val="16"/>
                <w:szCs w:val="16"/>
                <w:color w:val="auto"/>
              </w:rPr>
              <w:t>Costs and other deductions</w:t>
            </w:r>
          </w:p>
        </w:tc>
        <w:tc>
          <w:tcPr>
            <w:tcW w:w="2460" w:type="dxa"/>
            <w:vAlign w:val="bottom"/>
          </w:tcPr>
          <w:p>
            <w:pPr>
              <w:spacing w:after="0"/>
              <w:rPr>
                <w:sz w:val="16"/>
                <w:szCs w:val="16"/>
                <w:color w:val="auto"/>
              </w:rPr>
            </w:pPr>
          </w:p>
        </w:tc>
        <w:tc>
          <w:tcPr>
            <w:tcW w:w="1340" w:type="dxa"/>
            <w:vAlign w:val="bottom"/>
            <w:vMerge w:val="restart"/>
          </w:tcPr>
          <w:p>
            <w:pPr>
              <w:jc w:val="right"/>
              <w:ind w:right="99"/>
              <w:spacing w:after="0"/>
              <w:rPr>
                <w:sz w:val="20"/>
                <w:szCs w:val="20"/>
                <w:color w:val="auto"/>
              </w:rPr>
            </w:pPr>
            <w:r>
              <w:rPr>
                <w:rFonts w:ascii="Arial" w:cs="Arial" w:eastAsia="Arial" w:hAnsi="Arial"/>
                <w:sz w:val="16"/>
                <w:szCs w:val="16"/>
                <w:color w:val="auto"/>
              </w:rPr>
              <w:t>225,972</w:t>
            </w:r>
          </w:p>
        </w:tc>
        <w:tc>
          <w:tcPr>
            <w:tcW w:w="1700" w:type="dxa"/>
            <w:vAlign w:val="bottom"/>
            <w:vMerge w:val="restart"/>
          </w:tcPr>
          <w:p>
            <w:pPr>
              <w:jc w:val="right"/>
              <w:ind w:right="340"/>
              <w:spacing w:after="0"/>
              <w:rPr>
                <w:sz w:val="20"/>
                <w:szCs w:val="20"/>
                <w:color w:val="auto"/>
              </w:rPr>
            </w:pPr>
            <w:r>
              <w:rPr>
                <w:rFonts w:ascii="Arial" w:cs="Arial" w:eastAsia="Arial" w:hAnsi="Arial"/>
                <w:sz w:val="16"/>
                <w:szCs w:val="16"/>
                <w:color w:val="auto"/>
              </w:rPr>
              <w:t>244,156</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880" w:type="dxa"/>
            <w:vAlign w:val="bottom"/>
          </w:tcPr>
          <w:p>
            <w:pPr>
              <w:ind w:left="340"/>
              <w:spacing w:after="0"/>
              <w:rPr>
                <w:sz w:val="20"/>
                <w:szCs w:val="20"/>
                <w:color w:val="auto"/>
              </w:rPr>
            </w:pPr>
            <w:r>
              <w:rPr>
                <w:rFonts w:ascii="Arial" w:cs="Arial" w:eastAsia="Arial" w:hAnsi="Arial"/>
                <w:sz w:val="16"/>
                <w:szCs w:val="16"/>
                <w:color w:val="auto"/>
              </w:rPr>
              <w:t>Crude oil and product purchases</w:t>
            </w:r>
          </w:p>
        </w:tc>
        <w:tc>
          <w:tcPr>
            <w:tcW w:w="24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880" w:type="dxa"/>
            <w:vAlign w:val="bottom"/>
          </w:tcPr>
          <w:p>
            <w:pPr>
              <w:ind w:left="340"/>
              <w:spacing w:after="0"/>
              <w:rPr>
                <w:sz w:val="20"/>
                <w:szCs w:val="20"/>
                <w:color w:val="auto"/>
              </w:rPr>
            </w:pPr>
            <w:r>
              <w:rPr>
                <w:rFonts w:ascii="Arial" w:cs="Arial" w:eastAsia="Arial" w:hAnsi="Arial"/>
                <w:sz w:val="16"/>
                <w:szCs w:val="16"/>
                <w:color w:val="auto"/>
              </w:rPr>
              <w:t>Production and manufacturing expenses</w:t>
            </w:r>
          </w:p>
        </w:tc>
        <w:tc>
          <w:tcPr>
            <w:tcW w:w="2460" w:type="dxa"/>
            <w:vAlign w:val="bottom"/>
          </w:tcPr>
          <w:p>
            <w:pPr>
              <w:spacing w:after="0"/>
              <w:rPr>
                <w:sz w:val="18"/>
                <w:szCs w:val="18"/>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40,859</w:t>
            </w:r>
          </w:p>
        </w:tc>
        <w:tc>
          <w:tcPr>
            <w:tcW w:w="1700" w:type="dxa"/>
            <w:vAlign w:val="bottom"/>
          </w:tcPr>
          <w:p>
            <w:pPr>
              <w:jc w:val="right"/>
              <w:ind w:right="340"/>
              <w:spacing w:after="0"/>
              <w:rPr>
                <w:sz w:val="20"/>
                <w:szCs w:val="20"/>
                <w:color w:val="auto"/>
              </w:rPr>
            </w:pPr>
            <w:r>
              <w:rPr>
                <w:rFonts w:ascii="Arial" w:cs="Arial" w:eastAsia="Arial" w:hAnsi="Arial"/>
                <w:sz w:val="16"/>
                <w:szCs w:val="16"/>
                <w:color w:val="auto"/>
              </w:rPr>
              <w:t>40,525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80" w:type="dxa"/>
            <w:vAlign w:val="bottom"/>
          </w:tcPr>
          <w:p>
            <w:pPr>
              <w:ind w:left="340"/>
              <w:spacing w:after="0"/>
              <w:rPr>
                <w:sz w:val="20"/>
                <w:szCs w:val="20"/>
                <w:color w:val="auto"/>
              </w:rPr>
            </w:pPr>
            <w:r>
              <w:rPr>
                <w:rFonts w:ascii="Arial" w:cs="Arial" w:eastAsia="Arial" w:hAnsi="Arial"/>
                <w:sz w:val="16"/>
                <w:szCs w:val="16"/>
                <w:color w:val="auto"/>
              </w:rPr>
              <w:t>Selling, general and administrative expenses</w:t>
            </w:r>
          </w:p>
        </w:tc>
        <w:tc>
          <w:tcPr>
            <w:tcW w:w="2460" w:type="dxa"/>
            <w:vAlign w:val="bottom"/>
          </w:tcPr>
          <w:p>
            <w:pPr>
              <w:spacing w:after="0"/>
              <w:rPr>
                <w:sz w:val="18"/>
                <w:szCs w:val="18"/>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12,598</w:t>
            </w:r>
          </w:p>
        </w:tc>
        <w:tc>
          <w:tcPr>
            <w:tcW w:w="1700" w:type="dxa"/>
            <w:vAlign w:val="bottom"/>
          </w:tcPr>
          <w:p>
            <w:pPr>
              <w:jc w:val="right"/>
              <w:ind w:right="340"/>
              <w:spacing w:after="0"/>
              <w:rPr>
                <w:sz w:val="20"/>
                <w:szCs w:val="20"/>
                <w:color w:val="auto"/>
              </w:rPr>
            </w:pPr>
            <w:r>
              <w:rPr>
                <w:rFonts w:ascii="Arial" w:cs="Arial" w:eastAsia="Arial" w:hAnsi="Arial"/>
                <w:sz w:val="16"/>
                <w:szCs w:val="16"/>
                <w:color w:val="auto"/>
              </w:rPr>
              <w:t>12,877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80" w:type="dxa"/>
            <w:vAlign w:val="bottom"/>
          </w:tcPr>
          <w:p>
            <w:pPr>
              <w:ind w:left="340"/>
              <w:spacing w:after="0"/>
              <w:rPr>
                <w:sz w:val="20"/>
                <w:szCs w:val="20"/>
                <w:color w:val="auto"/>
              </w:rPr>
            </w:pPr>
            <w:r>
              <w:rPr>
                <w:rFonts w:ascii="Arial" w:cs="Arial" w:eastAsia="Arial" w:hAnsi="Arial"/>
                <w:sz w:val="16"/>
                <w:szCs w:val="16"/>
                <w:color w:val="auto"/>
              </w:rPr>
              <w:t>Depreciation and depletion</w:t>
            </w:r>
          </w:p>
        </w:tc>
        <w:tc>
          <w:tcPr>
            <w:tcW w:w="2460" w:type="dxa"/>
            <w:vAlign w:val="bottom"/>
          </w:tcPr>
          <w:p>
            <w:pPr>
              <w:spacing w:after="0"/>
              <w:rPr>
                <w:sz w:val="18"/>
                <w:szCs w:val="18"/>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17,297</w:t>
            </w:r>
          </w:p>
        </w:tc>
        <w:tc>
          <w:tcPr>
            <w:tcW w:w="1700" w:type="dxa"/>
            <w:vAlign w:val="bottom"/>
          </w:tcPr>
          <w:p>
            <w:pPr>
              <w:jc w:val="right"/>
              <w:ind w:right="340"/>
              <w:spacing w:after="0"/>
              <w:rPr>
                <w:sz w:val="20"/>
                <w:szCs w:val="20"/>
                <w:color w:val="auto"/>
              </w:rPr>
            </w:pPr>
            <w:r>
              <w:rPr>
                <w:rFonts w:ascii="Arial" w:cs="Arial" w:eastAsia="Arial" w:hAnsi="Arial"/>
                <w:sz w:val="16"/>
                <w:szCs w:val="16"/>
                <w:color w:val="auto"/>
              </w:rPr>
              <w:t>17,182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80" w:type="dxa"/>
            <w:vAlign w:val="bottom"/>
          </w:tcPr>
          <w:p>
            <w:pPr>
              <w:ind w:left="340"/>
              <w:spacing w:after="0"/>
              <w:rPr>
                <w:sz w:val="20"/>
                <w:szCs w:val="20"/>
                <w:color w:val="auto"/>
              </w:rPr>
            </w:pPr>
            <w:r>
              <w:rPr>
                <w:rFonts w:ascii="Arial" w:cs="Arial" w:eastAsia="Arial" w:hAnsi="Arial"/>
                <w:sz w:val="16"/>
                <w:szCs w:val="16"/>
                <w:color w:val="auto"/>
              </w:rPr>
              <w:t>Exploration expenses, including dry holes</w:t>
            </w:r>
          </w:p>
        </w:tc>
        <w:tc>
          <w:tcPr>
            <w:tcW w:w="2460" w:type="dxa"/>
            <w:vAlign w:val="bottom"/>
          </w:tcPr>
          <w:p>
            <w:pPr>
              <w:spacing w:after="0"/>
              <w:rPr>
                <w:sz w:val="18"/>
                <w:szCs w:val="18"/>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1,669</w:t>
            </w:r>
          </w:p>
        </w:tc>
        <w:tc>
          <w:tcPr>
            <w:tcW w:w="1700" w:type="dxa"/>
            <w:vAlign w:val="bottom"/>
          </w:tcPr>
          <w:p>
            <w:pPr>
              <w:jc w:val="right"/>
              <w:ind w:right="340"/>
              <w:spacing w:after="0"/>
              <w:rPr>
                <w:sz w:val="20"/>
                <w:szCs w:val="20"/>
                <w:color w:val="auto"/>
              </w:rPr>
            </w:pPr>
            <w:r>
              <w:rPr>
                <w:rFonts w:ascii="Arial" w:cs="Arial" w:eastAsia="Arial" w:hAnsi="Arial"/>
                <w:sz w:val="16"/>
                <w:szCs w:val="16"/>
                <w:color w:val="auto"/>
              </w:rPr>
              <w:t>1,976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8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2460" w:type="dxa"/>
            <w:vAlign w:val="bottom"/>
          </w:tcPr>
          <w:p>
            <w:pPr>
              <w:spacing w:after="0"/>
              <w:rPr>
                <w:sz w:val="18"/>
                <w:szCs w:val="18"/>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286</w:t>
            </w:r>
          </w:p>
        </w:tc>
        <w:tc>
          <w:tcPr>
            <w:tcW w:w="1700" w:type="dxa"/>
            <w:vAlign w:val="bottom"/>
          </w:tcPr>
          <w:p>
            <w:pPr>
              <w:jc w:val="right"/>
              <w:ind w:right="340"/>
              <w:spacing w:after="0"/>
              <w:rPr>
                <w:sz w:val="20"/>
                <w:szCs w:val="20"/>
                <w:color w:val="auto"/>
              </w:rPr>
            </w:pPr>
            <w:r>
              <w:rPr>
                <w:rFonts w:ascii="Arial" w:cs="Arial" w:eastAsia="Arial" w:hAnsi="Arial"/>
                <w:sz w:val="16"/>
                <w:szCs w:val="16"/>
                <w:color w:val="auto"/>
              </w:rPr>
              <w:t>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80" w:type="dxa"/>
            <w:vAlign w:val="bottom"/>
          </w:tcPr>
          <w:p>
            <w:pPr>
              <w:ind w:left="340"/>
              <w:spacing w:after="0"/>
              <w:rPr>
                <w:sz w:val="20"/>
                <w:szCs w:val="20"/>
                <w:color w:val="auto"/>
              </w:rPr>
            </w:pPr>
            <w:r>
              <w:rPr>
                <w:rFonts w:ascii="Arial" w:cs="Arial" w:eastAsia="Arial" w:hAnsi="Arial"/>
                <w:sz w:val="16"/>
                <w:szCs w:val="16"/>
                <w:color w:val="auto"/>
              </w:rPr>
              <w:t xml:space="preserve">Sales-based taxes </w:t>
            </w:r>
            <w:r>
              <w:rPr>
                <w:rFonts w:ascii="Arial" w:cs="Arial" w:eastAsia="Arial" w:hAnsi="Arial"/>
                <w:sz w:val="14"/>
                <w:szCs w:val="14"/>
                <w:i w:val="1"/>
                <w:iCs w:val="1"/>
                <w:color w:val="auto"/>
              </w:rPr>
              <w:t>(1)</w:t>
            </w:r>
          </w:p>
        </w:tc>
        <w:tc>
          <w:tcPr>
            <w:tcW w:w="2460" w:type="dxa"/>
            <w:vAlign w:val="bottom"/>
          </w:tcPr>
          <w:p>
            <w:pPr>
              <w:jc w:val="center"/>
              <w:ind w:left="315"/>
              <w:spacing w:after="0"/>
              <w:rPr>
                <w:sz w:val="20"/>
                <w:szCs w:val="20"/>
                <w:color w:val="auto"/>
              </w:rPr>
            </w:pPr>
            <w:r>
              <w:rPr>
                <w:rFonts w:ascii="Arial" w:cs="Arial" w:eastAsia="Arial" w:hAnsi="Arial"/>
                <w:sz w:val="13"/>
                <w:szCs w:val="13"/>
                <w:color w:val="auto"/>
                <w:w w:val="82"/>
              </w:rPr>
              <w:t>19</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29,342</w:t>
            </w:r>
          </w:p>
        </w:tc>
        <w:tc>
          <w:tcPr>
            <w:tcW w:w="1700" w:type="dxa"/>
            <w:vAlign w:val="bottom"/>
          </w:tcPr>
          <w:p>
            <w:pPr>
              <w:jc w:val="right"/>
              <w:ind w:right="340"/>
              <w:spacing w:after="0"/>
              <w:rPr>
                <w:sz w:val="20"/>
                <w:szCs w:val="20"/>
                <w:color w:val="auto"/>
              </w:rPr>
            </w:pPr>
            <w:r>
              <w:rPr>
                <w:rFonts w:ascii="Arial" w:cs="Arial" w:eastAsia="Arial" w:hAnsi="Arial"/>
                <w:sz w:val="16"/>
                <w:szCs w:val="16"/>
                <w:color w:val="auto"/>
              </w:rPr>
              <w:t>30,589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340"/>
              <w:spacing w:after="0"/>
              <w:rPr>
                <w:sz w:val="20"/>
                <w:szCs w:val="20"/>
                <w:color w:val="auto"/>
              </w:rPr>
            </w:pPr>
            <w:r>
              <w:rPr>
                <w:rFonts w:ascii="Arial" w:cs="Arial" w:eastAsia="Arial" w:hAnsi="Arial"/>
                <w:sz w:val="16"/>
                <w:szCs w:val="16"/>
                <w:color w:val="auto"/>
              </w:rPr>
              <w:t>Other taxes and duties</w:t>
            </w:r>
          </w:p>
        </w:tc>
        <w:tc>
          <w:tcPr>
            <w:tcW w:w="2460" w:type="dxa"/>
            <w:vAlign w:val="bottom"/>
          </w:tcPr>
          <w:p>
            <w:pPr>
              <w:jc w:val="center"/>
              <w:ind w:left="315"/>
              <w:spacing w:after="0"/>
              <w:rPr>
                <w:sz w:val="20"/>
                <w:szCs w:val="20"/>
                <w:color w:val="auto"/>
              </w:rPr>
            </w:pPr>
            <w:r>
              <w:rPr>
                <w:rFonts w:ascii="Arial" w:cs="Arial" w:eastAsia="Arial" w:hAnsi="Arial"/>
                <w:sz w:val="13"/>
                <w:szCs w:val="13"/>
                <w:color w:val="auto"/>
                <w:w w:val="82"/>
              </w:rPr>
              <w:t>19</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32,286</w:t>
            </w:r>
          </w:p>
        </w:tc>
        <w:tc>
          <w:tcPr>
            <w:tcW w:w="17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33,230</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880" w:type="dxa"/>
            <w:vAlign w:val="bottom"/>
          </w:tcPr>
          <w:p>
            <w:pPr>
              <w:ind w:left="700"/>
              <w:spacing w:after="0"/>
              <w:rPr>
                <w:sz w:val="20"/>
                <w:szCs w:val="20"/>
                <w:color w:val="auto"/>
              </w:rPr>
            </w:pPr>
            <w:r>
              <w:rPr>
                <w:rFonts w:ascii="Arial" w:cs="Arial" w:eastAsia="Arial" w:hAnsi="Arial"/>
                <w:sz w:val="16"/>
                <w:szCs w:val="16"/>
                <w:color w:val="auto"/>
              </w:rPr>
              <w:t>Total costs and other deductions</w:t>
            </w:r>
          </w:p>
        </w:tc>
        <w:tc>
          <w:tcPr>
            <w:tcW w:w="2460" w:type="dxa"/>
            <w:vAlign w:val="bottom"/>
          </w:tcPr>
          <w:p>
            <w:pPr>
              <w:spacing w:after="0"/>
              <w:rPr>
                <w:sz w:val="16"/>
                <w:szCs w:val="16"/>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360,309</w:t>
            </w:r>
          </w:p>
        </w:tc>
        <w:tc>
          <w:tcPr>
            <w:tcW w:w="17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380,544</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80" w:type="dxa"/>
            <w:vAlign w:val="bottom"/>
          </w:tcPr>
          <w:p>
            <w:pPr>
              <w:spacing w:after="0" w:line="176" w:lineRule="exact"/>
              <w:rPr>
                <w:sz w:val="20"/>
                <w:szCs w:val="20"/>
                <w:color w:val="auto"/>
              </w:rPr>
            </w:pPr>
            <w:r>
              <w:rPr>
                <w:rFonts w:ascii="Arial" w:cs="Arial" w:eastAsia="Arial" w:hAnsi="Arial"/>
                <w:sz w:val="16"/>
                <w:szCs w:val="16"/>
                <w:color w:val="auto"/>
              </w:rPr>
              <w:t>Income before income taxes</w:t>
            </w:r>
          </w:p>
        </w:tc>
        <w:tc>
          <w:tcPr>
            <w:tcW w:w="2460" w:type="dxa"/>
            <w:vAlign w:val="bottom"/>
          </w:tcPr>
          <w:p>
            <w:pPr>
              <w:spacing w:after="0"/>
              <w:rPr>
                <w:sz w:val="15"/>
                <w:szCs w:val="15"/>
                <w:color w:val="auto"/>
              </w:rPr>
            </w:pPr>
          </w:p>
        </w:tc>
        <w:tc>
          <w:tcPr>
            <w:tcW w:w="1340" w:type="dxa"/>
            <w:vAlign w:val="bottom"/>
          </w:tcPr>
          <w:p>
            <w:pPr>
              <w:jc w:val="right"/>
              <w:ind w:right="99"/>
              <w:spacing w:after="0" w:line="176" w:lineRule="exact"/>
              <w:rPr>
                <w:sz w:val="20"/>
                <w:szCs w:val="20"/>
                <w:color w:val="auto"/>
              </w:rPr>
            </w:pPr>
            <w:r>
              <w:rPr>
                <w:rFonts w:ascii="Arial" w:cs="Arial" w:eastAsia="Arial" w:hAnsi="Arial"/>
                <w:sz w:val="16"/>
                <w:szCs w:val="16"/>
                <w:color w:val="auto"/>
              </w:rPr>
              <w:t>51,630</w:t>
            </w:r>
          </w:p>
        </w:tc>
        <w:tc>
          <w:tcPr>
            <w:tcW w:w="1700" w:type="dxa"/>
            <w:vAlign w:val="bottom"/>
          </w:tcPr>
          <w:p>
            <w:pPr>
              <w:jc w:val="right"/>
              <w:ind w:right="340"/>
              <w:spacing w:after="0" w:line="176" w:lineRule="exact"/>
              <w:rPr>
                <w:sz w:val="20"/>
                <w:szCs w:val="20"/>
                <w:color w:val="auto"/>
              </w:rPr>
            </w:pPr>
            <w:r>
              <w:rPr>
                <w:rFonts w:ascii="Arial" w:cs="Arial" w:eastAsia="Arial" w:hAnsi="Arial"/>
                <w:sz w:val="16"/>
                <w:szCs w:val="16"/>
                <w:color w:val="auto"/>
              </w:rPr>
              <w:t>57,711</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340"/>
              <w:spacing w:after="0"/>
              <w:rPr>
                <w:sz w:val="20"/>
                <w:szCs w:val="20"/>
                <w:color w:val="auto"/>
              </w:rPr>
            </w:pPr>
            <w:r>
              <w:rPr>
                <w:rFonts w:ascii="Arial" w:cs="Arial" w:eastAsia="Arial" w:hAnsi="Arial"/>
                <w:sz w:val="16"/>
                <w:szCs w:val="16"/>
                <w:color w:val="auto"/>
              </w:rPr>
              <w:t>Income taxes</w:t>
            </w:r>
          </w:p>
        </w:tc>
        <w:tc>
          <w:tcPr>
            <w:tcW w:w="2460" w:type="dxa"/>
            <w:vAlign w:val="bottom"/>
          </w:tcPr>
          <w:p>
            <w:pPr>
              <w:jc w:val="center"/>
              <w:ind w:left="315"/>
              <w:spacing w:after="0"/>
              <w:rPr>
                <w:sz w:val="20"/>
                <w:szCs w:val="20"/>
                <w:color w:val="auto"/>
              </w:rPr>
            </w:pPr>
            <w:r>
              <w:rPr>
                <w:rFonts w:ascii="Arial" w:cs="Arial" w:eastAsia="Arial" w:hAnsi="Arial"/>
                <w:sz w:val="13"/>
                <w:szCs w:val="13"/>
                <w:color w:val="auto"/>
                <w:w w:val="82"/>
              </w:rPr>
              <w:t>19</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18,015</w:t>
            </w:r>
          </w:p>
        </w:tc>
        <w:tc>
          <w:tcPr>
            <w:tcW w:w="17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24,263</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880" w:type="dxa"/>
            <w:vAlign w:val="bottom"/>
          </w:tcPr>
          <w:p>
            <w:pPr>
              <w:spacing w:after="0" w:line="177" w:lineRule="exact"/>
              <w:rPr>
                <w:sz w:val="20"/>
                <w:szCs w:val="20"/>
                <w:color w:val="auto"/>
              </w:rPr>
            </w:pPr>
            <w:r>
              <w:rPr>
                <w:rFonts w:ascii="Arial" w:cs="Arial" w:eastAsia="Arial" w:hAnsi="Arial"/>
                <w:sz w:val="16"/>
                <w:szCs w:val="16"/>
                <w:color w:val="auto"/>
              </w:rPr>
              <w:t>Net income including noncontrolling interests</w:t>
            </w:r>
          </w:p>
        </w:tc>
        <w:tc>
          <w:tcPr>
            <w:tcW w:w="2460" w:type="dxa"/>
            <w:vAlign w:val="bottom"/>
          </w:tcPr>
          <w:p>
            <w:pPr>
              <w:spacing w:after="0"/>
              <w:rPr>
                <w:sz w:val="15"/>
                <w:szCs w:val="15"/>
                <w:color w:val="auto"/>
              </w:rPr>
            </w:pPr>
          </w:p>
        </w:tc>
        <w:tc>
          <w:tcPr>
            <w:tcW w:w="1340" w:type="dxa"/>
            <w:vAlign w:val="bottom"/>
          </w:tcPr>
          <w:p>
            <w:pPr>
              <w:jc w:val="right"/>
              <w:ind w:right="99"/>
              <w:spacing w:after="0" w:line="177" w:lineRule="exact"/>
              <w:rPr>
                <w:sz w:val="20"/>
                <w:szCs w:val="20"/>
                <w:color w:val="auto"/>
              </w:rPr>
            </w:pPr>
            <w:r>
              <w:rPr>
                <w:rFonts w:ascii="Arial" w:cs="Arial" w:eastAsia="Arial" w:hAnsi="Arial"/>
                <w:sz w:val="16"/>
                <w:szCs w:val="16"/>
                <w:color w:val="auto"/>
              </w:rPr>
              <w:t>33,615</w:t>
            </w:r>
          </w:p>
        </w:tc>
        <w:tc>
          <w:tcPr>
            <w:tcW w:w="1700" w:type="dxa"/>
            <w:vAlign w:val="bottom"/>
          </w:tcPr>
          <w:p>
            <w:pPr>
              <w:jc w:val="right"/>
              <w:ind w:right="340"/>
              <w:spacing w:after="0" w:line="177" w:lineRule="exact"/>
              <w:rPr>
                <w:sz w:val="20"/>
                <w:szCs w:val="20"/>
                <w:color w:val="auto"/>
              </w:rPr>
            </w:pPr>
            <w:r>
              <w:rPr>
                <w:rFonts w:ascii="Arial" w:cs="Arial" w:eastAsia="Arial" w:hAnsi="Arial"/>
                <w:sz w:val="16"/>
                <w:szCs w:val="16"/>
                <w:color w:val="auto"/>
              </w:rPr>
              <w:t>33,448</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340"/>
              <w:spacing w:after="0"/>
              <w:rPr>
                <w:sz w:val="20"/>
                <w:szCs w:val="20"/>
                <w:color w:val="auto"/>
              </w:rPr>
            </w:pPr>
            <w:r>
              <w:rPr>
                <w:rFonts w:ascii="Arial" w:cs="Arial" w:eastAsia="Arial" w:hAnsi="Arial"/>
                <w:sz w:val="16"/>
                <w:szCs w:val="16"/>
                <w:color w:val="auto"/>
              </w:rPr>
              <w:t>Net income attributable to noncontrolling interests</w:t>
            </w:r>
          </w:p>
        </w:tc>
        <w:tc>
          <w:tcPr>
            <w:tcW w:w="2460" w:type="dxa"/>
            <w:vAlign w:val="bottom"/>
          </w:tcPr>
          <w:p>
            <w:pPr>
              <w:spacing w:after="0"/>
              <w:rPr>
                <w:sz w:val="19"/>
                <w:szCs w:val="19"/>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1,095</w:t>
            </w:r>
          </w:p>
        </w:tc>
        <w:tc>
          <w:tcPr>
            <w:tcW w:w="17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868</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Net income attributable to ExxonMobil</w:t>
            </w:r>
          </w:p>
        </w:tc>
        <w:tc>
          <w:tcPr>
            <w:tcW w:w="2460" w:type="dxa"/>
            <w:vAlign w:val="bottom"/>
          </w:tcPr>
          <w:p>
            <w:pPr>
              <w:spacing w:after="0"/>
              <w:rPr>
                <w:sz w:val="16"/>
                <w:szCs w:val="16"/>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32,520</w:t>
            </w:r>
          </w:p>
        </w:tc>
        <w:tc>
          <w:tcPr>
            <w:tcW w:w="17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32,580</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6"/>
        </w:trPr>
        <w:tc>
          <w:tcPr>
            <w:tcW w:w="4880" w:type="dxa"/>
            <w:vAlign w:val="bottom"/>
          </w:tcPr>
          <w:p>
            <w:pPr>
              <w:spacing w:after="0"/>
              <w:rPr>
                <w:sz w:val="20"/>
                <w:szCs w:val="20"/>
                <w:color w:val="auto"/>
              </w:rPr>
            </w:pPr>
            <w:r>
              <w:rPr>
                <w:rFonts w:ascii="Arial" w:cs="Arial" w:eastAsia="Arial" w:hAnsi="Arial"/>
                <w:sz w:val="16"/>
                <w:szCs w:val="16"/>
                <w:color w:val="auto"/>
              </w:rPr>
              <w:t xml:space="preserve">Earnings per common share </w:t>
            </w:r>
            <w:r>
              <w:rPr>
                <w:rFonts w:ascii="Arial" w:cs="Arial" w:eastAsia="Arial" w:hAnsi="Arial"/>
                <w:sz w:val="16"/>
                <w:szCs w:val="16"/>
                <w:i w:val="1"/>
                <w:iCs w:val="1"/>
                <w:color w:val="auto"/>
              </w:rPr>
              <w:t>(dollars)</w:t>
            </w:r>
          </w:p>
        </w:tc>
        <w:tc>
          <w:tcPr>
            <w:tcW w:w="2460" w:type="dxa"/>
            <w:vAlign w:val="bottom"/>
          </w:tcPr>
          <w:p>
            <w:pPr>
              <w:jc w:val="center"/>
              <w:ind w:left="315"/>
              <w:spacing w:after="0"/>
              <w:rPr>
                <w:sz w:val="20"/>
                <w:szCs w:val="20"/>
                <w:color w:val="auto"/>
              </w:rPr>
            </w:pPr>
            <w:r>
              <w:rPr>
                <w:rFonts w:ascii="Arial" w:cs="Arial" w:eastAsia="Arial" w:hAnsi="Arial"/>
                <w:sz w:val="13"/>
                <w:szCs w:val="13"/>
                <w:color w:val="auto"/>
                <w:w w:val="82"/>
              </w:rPr>
              <w:t>12</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7.60</w:t>
            </w:r>
          </w:p>
        </w:tc>
        <w:tc>
          <w:tcPr>
            <w:tcW w:w="1700" w:type="dxa"/>
            <w:vAlign w:val="bottom"/>
          </w:tcPr>
          <w:p>
            <w:pPr>
              <w:jc w:val="right"/>
              <w:ind w:right="340"/>
              <w:spacing w:after="0"/>
              <w:rPr>
                <w:sz w:val="20"/>
                <w:szCs w:val="20"/>
                <w:color w:val="auto"/>
              </w:rPr>
            </w:pPr>
            <w:r>
              <w:rPr>
                <w:rFonts w:ascii="Arial" w:cs="Arial" w:eastAsia="Arial" w:hAnsi="Arial"/>
                <w:sz w:val="16"/>
                <w:szCs w:val="16"/>
                <w:color w:val="auto"/>
              </w:rPr>
              <w:t>7.37</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4880" w:type="dxa"/>
            <w:vAlign w:val="bottom"/>
          </w:tcPr>
          <w:p>
            <w:pPr>
              <w:spacing w:after="0"/>
              <w:rPr>
                <w:sz w:val="20"/>
                <w:szCs w:val="20"/>
                <w:color w:val="auto"/>
              </w:rPr>
            </w:pPr>
            <w:r>
              <w:rPr>
                <w:rFonts w:ascii="Arial" w:cs="Arial" w:eastAsia="Arial" w:hAnsi="Arial"/>
                <w:sz w:val="16"/>
                <w:szCs w:val="16"/>
                <w:color w:val="auto"/>
              </w:rPr>
              <w:t xml:space="preserve">Earnings per common share - assuming dilution </w:t>
            </w:r>
            <w:r>
              <w:rPr>
                <w:rFonts w:ascii="Arial" w:cs="Arial" w:eastAsia="Arial" w:hAnsi="Arial"/>
                <w:sz w:val="16"/>
                <w:szCs w:val="16"/>
                <w:i w:val="1"/>
                <w:iCs w:val="1"/>
                <w:color w:val="auto"/>
              </w:rPr>
              <w:t>(dollars)</w:t>
            </w:r>
          </w:p>
        </w:tc>
        <w:tc>
          <w:tcPr>
            <w:tcW w:w="2460" w:type="dxa"/>
            <w:vAlign w:val="bottom"/>
          </w:tcPr>
          <w:p>
            <w:pPr>
              <w:jc w:val="center"/>
              <w:ind w:left="315"/>
              <w:spacing w:after="0"/>
              <w:rPr>
                <w:sz w:val="20"/>
                <w:szCs w:val="20"/>
                <w:color w:val="auto"/>
              </w:rPr>
            </w:pPr>
            <w:r>
              <w:rPr>
                <w:rFonts w:ascii="Arial" w:cs="Arial" w:eastAsia="Arial" w:hAnsi="Arial"/>
                <w:sz w:val="13"/>
                <w:szCs w:val="13"/>
                <w:color w:val="auto"/>
                <w:w w:val="82"/>
              </w:rPr>
              <w:t>12</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7.60</w:t>
            </w:r>
          </w:p>
        </w:tc>
        <w:tc>
          <w:tcPr>
            <w:tcW w:w="1700" w:type="dxa"/>
            <w:vAlign w:val="bottom"/>
          </w:tcPr>
          <w:p>
            <w:pPr>
              <w:jc w:val="right"/>
              <w:ind w:right="340"/>
              <w:spacing w:after="0"/>
              <w:rPr>
                <w:sz w:val="20"/>
                <w:szCs w:val="20"/>
                <w:color w:val="auto"/>
              </w:rPr>
            </w:pPr>
            <w:r>
              <w:rPr>
                <w:rFonts w:ascii="Arial" w:cs="Arial" w:eastAsia="Arial" w:hAnsi="Arial"/>
                <w:sz w:val="16"/>
                <w:szCs w:val="16"/>
                <w:color w:val="auto"/>
              </w:rPr>
              <w:t>7.37</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1060" w:firstLine="6"/>
        <w:spacing w:after="0" w:line="606" w:lineRule="auto"/>
        <w:tabs>
          <w:tab w:leader="none" w:pos="313" w:val="left"/>
        </w:tabs>
        <w:numPr>
          <w:ilvl w:val="0"/>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Sales and other operating revenue includes sales-based taxes of $29,342 million for 2014, $30,589 million for 2013 and $32,409 million for 2012. The information in the Notes to Consolidated Financial Statements is an integral part of these statements.</w:t>
      </w:r>
    </w:p>
    <w:p>
      <w:pPr>
        <w:spacing w:after="0" w:line="198"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613" w:right="1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color w:val="auto"/>
        </w:rPr>
        <w:t>CONSOLIDATED STATEMENT OF COMPREHENSIVE INCOME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120" w:type="dxa"/>
            <w:vAlign w:val="bottom"/>
          </w:tcPr>
          <w:p>
            <w:pPr>
              <w:spacing w:after="0"/>
              <w:rPr>
                <w:sz w:val="14"/>
                <w:szCs w:val="14"/>
                <w:color w:val="auto"/>
              </w:rPr>
            </w:pPr>
          </w:p>
        </w:tc>
        <w:tc>
          <w:tcPr>
            <w:tcW w:w="1380" w:type="dxa"/>
            <w:vAlign w:val="bottom"/>
          </w:tcPr>
          <w:p>
            <w:pPr>
              <w:jc w:val="right"/>
              <w:ind w:right="600"/>
              <w:spacing w:after="0"/>
              <w:rPr>
                <w:sz w:val="20"/>
                <w:szCs w:val="20"/>
                <w:color w:val="auto"/>
              </w:rPr>
            </w:pPr>
            <w:r>
              <w:rPr>
                <w:rFonts w:ascii="Arial" w:cs="Arial" w:eastAsia="Arial" w:hAnsi="Arial"/>
                <w:sz w:val="13"/>
                <w:szCs w:val="13"/>
                <w:b w:val="1"/>
                <w:bCs w:val="1"/>
                <w:color w:val="auto"/>
              </w:rPr>
              <w:t>2014</w:t>
            </w:r>
          </w:p>
        </w:tc>
        <w:tc>
          <w:tcPr>
            <w:tcW w:w="1800" w:type="dxa"/>
            <w:vAlign w:val="bottom"/>
          </w:tcPr>
          <w:p>
            <w:pPr>
              <w:jc w:val="right"/>
              <w:ind w:right="821"/>
              <w:spacing w:after="0"/>
              <w:rPr>
                <w:sz w:val="20"/>
                <w:szCs w:val="20"/>
                <w:color w:val="auto"/>
              </w:rPr>
            </w:pPr>
            <w:r>
              <w:rPr>
                <w:rFonts w:ascii="Arial" w:cs="Arial" w:eastAsia="Arial" w:hAnsi="Arial"/>
                <w:sz w:val="13"/>
                <w:szCs w:val="13"/>
                <w:b w:val="1"/>
                <w:bCs w:val="1"/>
                <w:color w:val="auto"/>
              </w:rPr>
              <w:t>2013</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201</w:t>
            </w:r>
          </w:p>
        </w:tc>
      </w:tr>
      <w:tr>
        <w:trPr>
          <w:trHeight w:val="23"/>
        </w:trPr>
        <w:tc>
          <w:tcPr>
            <w:tcW w:w="7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65"/>
        </w:trPr>
        <w:tc>
          <w:tcPr>
            <w:tcW w:w="7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0" w:type="dxa"/>
            <w:vAlign w:val="bottom"/>
          </w:tcPr>
          <w:p>
            <w:pPr>
              <w:jc w:val="right"/>
              <w:ind w:right="421"/>
              <w:spacing w:after="0"/>
              <w:rPr>
                <w:sz w:val="20"/>
                <w:szCs w:val="20"/>
                <w:color w:val="auto"/>
              </w:rPr>
            </w:pPr>
            <w:r>
              <w:rPr>
                <w:rFonts w:ascii="Arial" w:cs="Arial" w:eastAsia="Arial" w:hAnsi="Arial"/>
                <w:sz w:val="13"/>
                <w:szCs w:val="13"/>
                <w:i w:val="1"/>
                <w:iCs w:val="1"/>
                <w:color w:val="auto"/>
              </w:rPr>
              <w:t>(millions of dollars)</w:t>
            </w:r>
          </w:p>
        </w:tc>
        <w:tc>
          <w:tcPr>
            <w:tcW w:w="640" w:type="dxa"/>
            <w:vAlign w:val="bottom"/>
          </w:tcPr>
          <w:p>
            <w:pPr>
              <w:spacing w:after="0"/>
              <w:rPr>
                <w:sz w:val="14"/>
                <w:szCs w:val="14"/>
                <w:color w:val="auto"/>
              </w:rPr>
            </w:pPr>
          </w:p>
        </w:tc>
      </w:tr>
      <w:tr>
        <w:trPr>
          <w:trHeight w:val="414"/>
        </w:trPr>
        <w:tc>
          <w:tcPr>
            <w:tcW w:w="7120" w:type="dxa"/>
            <w:vAlign w:val="bottom"/>
          </w:tcPr>
          <w:p>
            <w:pPr>
              <w:spacing w:after="0"/>
              <w:rPr>
                <w:sz w:val="20"/>
                <w:szCs w:val="20"/>
                <w:color w:val="auto"/>
              </w:rPr>
            </w:pPr>
            <w:r>
              <w:rPr>
                <w:rFonts w:ascii="Arial" w:cs="Arial" w:eastAsia="Arial" w:hAnsi="Arial"/>
                <w:sz w:val="16"/>
                <w:szCs w:val="16"/>
                <w:color w:val="auto"/>
              </w:rPr>
              <w:t>Net income including noncontrolling interests</w:t>
            </w:r>
          </w:p>
        </w:tc>
        <w:tc>
          <w:tcPr>
            <w:tcW w:w="1380" w:type="dxa"/>
            <w:vAlign w:val="bottom"/>
          </w:tcPr>
          <w:p>
            <w:pPr>
              <w:jc w:val="right"/>
              <w:ind w:right="220"/>
              <w:spacing w:after="0"/>
              <w:rPr>
                <w:sz w:val="20"/>
                <w:szCs w:val="20"/>
                <w:color w:val="auto"/>
              </w:rPr>
            </w:pPr>
            <w:r>
              <w:rPr>
                <w:rFonts w:ascii="Arial" w:cs="Arial" w:eastAsia="Arial" w:hAnsi="Arial"/>
                <w:sz w:val="16"/>
                <w:szCs w:val="16"/>
                <w:color w:val="auto"/>
              </w:rPr>
              <w:t>33,615</w:t>
            </w:r>
          </w:p>
        </w:tc>
        <w:tc>
          <w:tcPr>
            <w:tcW w:w="1800" w:type="dxa"/>
            <w:vAlign w:val="bottom"/>
          </w:tcPr>
          <w:p>
            <w:pPr>
              <w:jc w:val="right"/>
              <w:ind w:right="421"/>
              <w:spacing w:after="0"/>
              <w:rPr>
                <w:sz w:val="20"/>
                <w:szCs w:val="20"/>
                <w:color w:val="auto"/>
              </w:rPr>
            </w:pPr>
            <w:r>
              <w:rPr>
                <w:rFonts w:ascii="Arial" w:cs="Arial" w:eastAsia="Arial" w:hAnsi="Arial"/>
                <w:sz w:val="16"/>
                <w:szCs w:val="16"/>
                <w:color w:val="auto"/>
              </w:rPr>
              <w:t>33,448</w:t>
            </w:r>
          </w:p>
        </w:tc>
        <w:tc>
          <w:tcPr>
            <w:tcW w:w="640" w:type="dxa"/>
            <w:vAlign w:val="bottom"/>
          </w:tcPr>
          <w:p>
            <w:pPr>
              <w:spacing w:after="0"/>
              <w:rPr>
                <w:sz w:val="24"/>
                <w:szCs w:val="24"/>
                <w:color w:val="auto"/>
              </w:rPr>
            </w:pPr>
          </w:p>
        </w:tc>
      </w:tr>
      <w:tr>
        <w:trPr>
          <w:trHeight w:val="208"/>
        </w:trPr>
        <w:tc>
          <w:tcPr>
            <w:tcW w:w="7120" w:type="dxa"/>
            <w:vAlign w:val="bottom"/>
          </w:tcPr>
          <w:p>
            <w:pPr>
              <w:spacing w:after="0"/>
              <w:rPr>
                <w:sz w:val="20"/>
                <w:szCs w:val="20"/>
                <w:color w:val="auto"/>
              </w:rPr>
            </w:pPr>
            <w:r>
              <w:rPr>
                <w:rFonts w:ascii="Arial" w:cs="Arial" w:eastAsia="Arial" w:hAnsi="Arial"/>
                <w:sz w:val="16"/>
                <w:szCs w:val="16"/>
                <w:color w:val="auto"/>
              </w:rPr>
              <w:t>Other comprehensive income (net of income taxes)</w:t>
            </w:r>
          </w:p>
        </w:tc>
        <w:tc>
          <w:tcPr>
            <w:tcW w:w="13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8"/>
        </w:trPr>
        <w:tc>
          <w:tcPr>
            <w:tcW w:w="7120" w:type="dxa"/>
            <w:vAlign w:val="bottom"/>
          </w:tcPr>
          <w:p>
            <w:pPr>
              <w:ind w:left="340"/>
              <w:spacing w:after="0"/>
              <w:rPr>
                <w:sz w:val="20"/>
                <w:szCs w:val="20"/>
                <w:color w:val="auto"/>
              </w:rPr>
            </w:pPr>
            <w:r>
              <w:rPr>
                <w:rFonts w:ascii="Arial" w:cs="Arial" w:eastAsia="Arial" w:hAnsi="Arial"/>
                <w:sz w:val="16"/>
                <w:szCs w:val="16"/>
                <w:color w:val="auto"/>
              </w:rPr>
              <w:t>Foreign exchange translation adjustment</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(5,847)</w:t>
            </w:r>
          </w:p>
        </w:tc>
        <w:tc>
          <w:tcPr>
            <w:tcW w:w="1800" w:type="dxa"/>
            <w:vAlign w:val="bottom"/>
          </w:tcPr>
          <w:p>
            <w:pPr>
              <w:jc w:val="right"/>
              <w:ind w:right="381"/>
              <w:spacing w:after="0"/>
              <w:rPr>
                <w:sz w:val="20"/>
                <w:szCs w:val="20"/>
                <w:color w:val="auto"/>
              </w:rPr>
            </w:pPr>
            <w:r>
              <w:rPr>
                <w:rFonts w:ascii="Arial" w:cs="Arial" w:eastAsia="Arial" w:hAnsi="Arial"/>
                <w:sz w:val="16"/>
                <w:szCs w:val="16"/>
                <w:color w:val="auto"/>
              </w:rPr>
              <w:t>(3,620)</w:t>
            </w:r>
          </w:p>
        </w:tc>
        <w:tc>
          <w:tcPr>
            <w:tcW w:w="640" w:type="dxa"/>
            <w:vAlign w:val="bottom"/>
          </w:tcPr>
          <w:p>
            <w:pPr>
              <w:spacing w:after="0"/>
              <w:rPr>
                <w:sz w:val="18"/>
                <w:szCs w:val="18"/>
                <w:color w:val="auto"/>
              </w:rPr>
            </w:pPr>
          </w:p>
        </w:tc>
      </w:tr>
      <w:tr>
        <w:trPr>
          <w:trHeight w:val="208"/>
        </w:trPr>
        <w:tc>
          <w:tcPr>
            <w:tcW w:w="7120" w:type="dxa"/>
            <w:vAlign w:val="bottom"/>
          </w:tcPr>
          <w:p>
            <w:pPr>
              <w:ind w:left="340"/>
              <w:spacing w:after="0"/>
              <w:rPr>
                <w:sz w:val="20"/>
                <w:szCs w:val="20"/>
                <w:color w:val="auto"/>
              </w:rPr>
            </w:pPr>
            <w:r>
              <w:rPr>
                <w:rFonts w:ascii="Arial" w:cs="Arial" w:eastAsia="Arial" w:hAnsi="Arial"/>
                <w:sz w:val="16"/>
                <w:szCs w:val="16"/>
                <w:color w:val="auto"/>
              </w:rPr>
              <w:t>Adjustment for foreign exchange translation (gain)/loss</w:t>
            </w:r>
          </w:p>
        </w:tc>
        <w:tc>
          <w:tcPr>
            <w:tcW w:w="13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8"/>
        </w:trPr>
        <w:tc>
          <w:tcPr>
            <w:tcW w:w="7120" w:type="dxa"/>
            <w:vAlign w:val="bottom"/>
          </w:tcPr>
          <w:p>
            <w:pPr>
              <w:ind w:left="700"/>
              <w:spacing w:after="0"/>
              <w:rPr>
                <w:sz w:val="20"/>
                <w:szCs w:val="20"/>
                <w:color w:val="auto"/>
              </w:rPr>
            </w:pPr>
            <w:r>
              <w:rPr>
                <w:rFonts w:ascii="Arial" w:cs="Arial" w:eastAsia="Arial" w:hAnsi="Arial"/>
                <w:sz w:val="16"/>
                <w:szCs w:val="16"/>
                <w:color w:val="auto"/>
              </w:rPr>
              <w:t>included in net income</w:t>
            </w:r>
          </w:p>
        </w:tc>
        <w:tc>
          <w:tcPr>
            <w:tcW w:w="1380" w:type="dxa"/>
            <w:vAlign w:val="bottom"/>
          </w:tcPr>
          <w:p>
            <w:pPr>
              <w:jc w:val="right"/>
              <w:ind w:right="220"/>
              <w:spacing w:after="0"/>
              <w:rPr>
                <w:sz w:val="20"/>
                <w:szCs w:val="20"/>
                <w:color w:val="auto"/>
              </w:rPr>
            </w:pPr>
            <w:r>
              <w:rPr>
                <w:rFonts w:ascii="Arial" w:cs="Arial" w:eastAsia="Arial" w:hAnsi="Arial"/>
                <w:sz w:val="16"/>
                <w:szCs w:val="16"/>
                <w:color w:val="auto"/>
              </w:rPr>
              <w:t>152</w:t>
            </w:r>
          </w:p>
        </w:tc>
        <w:tc>
          <w:tcPr>
            <w:tcW w:w="1800" w:type="dxa"/>
            <w:vAlign w:val="bottom"/>
          </w:tcPr>
          <w:p>
            <w:pPr>
              <w:jc w:val="right"/>
              <w:ind w:right="381"/>
              <w:spacing w:after="0"/>
              <w:rPr>
                <w:sz w:val="20"/>
                <w:szCs w:val="20"/>
                <w:color w:val="auto"/>
              </w:rPr>
            </w:pPr>
            <w:r>
              <w:rPr>
                <w:rFonts w:ascii="Arial" w:cs="Arial" w:eastAsia="Arial" w:hAnsi="Arial"/>
                <w:sz w:val="16"/>
                <w:szCs w:val="16"/>
                <w:color w:val="auto"/>
              </w:rPr>
              <w:t>(23)</w:t>
            </w:r>
          </w:p>
        </w:tc>
        <w:tc>
          <w:tcPr>
            <w:tcW w:w="640" w:type="dxa"/>
            <w:vAlign w:val="bottom"/>
          </w:tcPr>
          <w:p>
            <w:pPr>
              <w:spacing w:after="0"/>
              <w:rPr>
                <w:sz w:val="18"/>
                <w:szCs w:val="18"/>
                <w:color w:val="auto"/>
              </w:rPr>
            </w:pPr>
          </w:p>
        </w:tc>
      </w:tr>
      <w:tr>
        <w:trPr>
          <w:trHeight w:val="208"/>
        </w:trPr>
        <w:tc>
          <w:tcPr>
            <w:tcW w:w="7120" w:type="dxa"/>
            <w:vAlign w:val="bottom"/>
          </w:tcPr>
          <w:p>
            <w:pPr>
              <w:ind w:left="340"/>
              <w:spacing w:after="0"/>
              <w:rPr>
                <w:sz w:val="20"/>
                <w:szCs w:val="20"/>
                <w:color w:val="auto"/>
              </w:rPr>
            </w:pPr>
            <w:r>
              <w:rPr>
                <w:rFonts w:ascii="Arial" w:cs="Arial" w:eastAsia="Arial" w:hAnsi="Arial"/>
                <w:sz w:val="16"/>
                <w:szCs w:val="16"/>
                <w:color w:val="auto"/>
              </w:rPr>
              <w:t>Postretirement benefits reserves adjustment (excluding amortization)</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(4,262)</w:t>
            </w:r>
          </w:p>
        </w:tc>
        <w:tc>
          <w:tcPr>
            <w:tcW w:w="1800" w:type="dxa"/>
            <w:vAlign w:val="bottom"/>
          </w:tcPr>
          <w:p>
            <w:pPr>
              <w:jc w:val="right"/>
              <w:ind w:right="421"/>
              <w:spacing w:after="0"/>
              <w:rPr>
                <w:sz w:val="20"/>
                <w:szCs w:val="20"/>
                <w:color w:val="auto"/>
              </w:rPr>
            </w:pPr>
            <w:r>
              <w:rPr>
                <w:rFonts w:ascii="Arial" w:cs="Arial" w:eastAsia="Arial" w:hAnsi="Arial"/>
                <w:sz w:val="16"/>
                <w:szCs w:val="16"/>
                <w:color w:val="auto"/>
              </w:rPr>
              <w:t>3,174</w:t>
            </w:r>
          </w:p>
        </w:tc>
        <w:tc>
          <w:tcPr>
            <w:tcW w:w="640" w:type="dxa"/>
            <w:vAlign w:val="bottom"/>
          </w:tcPr>
          <w:p>
            <w:pPr>
              <w:spacing w:after="0"/>
              <w:rPr>
                <w:sz w:val="18"/>
                <w:szCs w:val="18"/>
                <w:color w:val="auto"/>
              </w:rPr>
            </w:pPr>
          </w:p>
        </w:tc>
      </w:tr>
      <w:tr>
        <w:trPr>
          <w:trHeight w:val="208"/>
        </w:trPr>
        <w:tc>
          <w:tcPr>
            <w:tcW w:w="7120" w:type="dxa"/>
            <w:vAlign w:val="bottom"/>
          </w:tcPr>
          <w:p>
            <w:pPr>
              <w:ind w:left="340"/>
              <w:spacing w:after="0"/>
              <w:rPr>
                <w:sz w:val="20"/>
                <w:szCs w:val="20"/>
                <w:color w:val="auto"/>
              </w:rPr>
            </w:pPr>
            <w:r>
              <w:rPr>
                <w:rFonts w:ascii="Arial" w:cs="Arial" w:eastAsia="Arial" w:hAnsi="Arial"/>
                <w:sz w:val="16"/>
                <w:szCs w:val="16"/>
                <w:color w:val="auto"/>
              </w:rPr>
              <w:t>Amortization and settlement of postretirement benefits reserves</w:t>
            </w:r>
          </w:p>
        </w:tc>
        <w:tc>
          <w:tcPr>
            <w:tcW w:w="13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8"/>
        </w:trPr>
        <w:tc>
          <w:tcPr>
            <w:tcW w:w="7120" w:type="dxa"/>
            <w:vAlign w:val="bottom"/>
          </w:tcPr>
          <w:p>
            <w:pPr>
              <w:ind w:left="700"/>
              <w:spacing w:after="0"/>
              <w:rPr>
                <w:sz w:val="20"/>
                <w:szCs w:val="20"/>
                <w:color w:val="auto"/>
              </w:rPr>
            </w:pPr>
            <w:r>
              <w:rPr>
                <w:rFonts w:ascii="Arial" w:cs="Arial" w:eastAsia="Arial" w:hAnsi="Arial"/>
                <w:sz w:val="16"/>
                <w:szCs w:val="16"/>
                <w:color w:val="auto"/>
              </w:rPr>
              <w:t>adjustment included in net periodic benefit costs</w:t>
            </w:r>
          </w:p>
        </w:tc>
        <w:tc>
          <w:tcPr>
            <w:tcW w:w="1380" w:type="dxa"/>
            <w:vAlign w:val="bottom"/>
          </w:tcPr>
          <w:p>
            <w:pPr>
              <w:jc w:val="right"/>
              <w:ind w:right="220"/>
              <w:spacing w:after="0"/>
              <w:rPr>
                <w:sz w:val="20"/>
                <w:szCs w:val="20"/>
                <w:color w:val="auto"/>
              </w:rPr>
            </w:pPr>
            <w:r>
              <w:rPr>
                <w:rFonts w:ascii="Arial" w:cs="Arial" w:eastAsia="Arial" w:hAnsi="Arial"/>
                <w:sz w:val="16"/>
                <w:szCs w:val="16"/>
                <w:color w:val="auto"/>
              </w:rPr>
              <w:t>1,111</w:t>
            </w:r>
          </w:p>
        </w:tc>
        <w:tc>
          <w:tcPr>
            <w:tcW w:w="1800" w:type="dxa"/>
            <w:vAlign w:val="bottom"/>
          </w:tcPr>
          <w:p>
            <w:pPr>
              <w:jc w:val="right"/>
              <w:ind w:right="421"/>
              <w:spacing w:after="0"/>
              <w:rPr>
                <w:sz w:val="20"/>
                <w:szCs w:val="20"/>
                <w:color w:val="auto"/>
              </w:rPr>
            </w:pPr>
            <w:r>
              <w:rPr>
                <w:rFonts w:ascii="Arial" w:cs="Arial" w:eastAsia="Arial" w:hAnsi="Arial"/>
                <w:sz w:val="16"/>
                <w:szCs w:val="16"/>
                <w:color w:val="auto"/>
              </w:rPr>
              <w:t>1,820</w:t>
            </w:r>
          </w:p>
        </w:tc>
        <w:tc>
          <w:tcPr>
            <w:tcW w:w="640" w:type="dxa"/>
            <w:vAlign w:val="bottom"/>
          </w:tcPr>
          <w:p>
            <w:pPr>
              <w:spacing w:after="0"/>
              <w:rPr>
                <w:sz w:val="18"/>
                <w:szCs w:val="18"/>
                <w:color w:val="auto"/>
              </w:rPr>
            </w:pPr>
          </w:p>
        </w:tc>
      </w:tr>
      <w:tr>
        <w:trPr>
          <w:trHeight w:val="208"/>
        </w:trPr>
        <w:tc>
          <w:tcPr>
            <w:tcW w:w="7120" w:type="dxa"/>
            <w:vAlign w:val="bottom"/>
          </w:tcPr>
          <w:p>
            <w:pPr>
              <w:ind w:left="340"/>
              <w:spacing w:after="0"/>
              <w:rPr>
                <w:sz w:val="20"/>
                <w:szCs w:val="20"/>
                <w:color w:val="auto"/>
              </w:rPr>
            </w:pPr>
            <w:r>
              <w:rPr>
                <w:rFonts w:ascii="Arial" w:cs="Arial" w:eastAsia="Arial" w:hAnsi="Arial"/>
                <w:sz w:val="16"/>
                <w:szCs w:val="16"/>
                <w:color w:val="auto"/>
              </w:rPr>
              <w:t>Unrealized change in fair value of stock investments</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(63)</w:t>
            </w:r>
          </w:p>
        </w:tc>
        <w:tc>
          <w:tcPr>
            <w:tcW w:w="1800" w:type="dxa"/>
            <w:vAlign w:val="bottom"/>
          </w:tcPr>
          <w:p>
            <w:pPr>
              <w:jc w:val="right"/>
              <w:ind w:right="501"/>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r>
      <w:tr>
        <w:trPr>
          <w:trHeight w:val="214"/>
        </w:trPr>
        <w:tc>
          <w:tcPr>
            <w:tcW w:w="7120" w:type="dxa"/>
            <w:vAlign w:val="bottom"/>
          </w:tcPr>
          <w:p>
            <w:pPr>
              <w:ind w:left="340"/>
              <w:spacing w:after="0"/>
              <w:rPr>
                <w:sz w:val="20"/>
                <w:szCs w:val="20"/>
                <w:color w:val="auto"/>
              </w:rPr>
            </w:pPr>
            <w:r>
              <w:rPr>
                <w:rFonts w:ascii="Arial" w:cs="Arial" w:eastAsia="Arial" w:hAnsi="Arial"/>
                <w:sz w:val="16"/>
                <w:szCs w:val="16"/>
                <w:color w:val="auto"/>
              </w:rPr>
              <w:t>Realized (gain)/loss from stock investments included in net income</w:t>
            </w:r>
          </w:p>
        </w:tc>
        <w:tc>
          <w:tcPr>
            <w:tcW w:w="13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3</w:t>
            </w:r>
          </w:p>
        </w:tc>
        <w:tc>
          <w:tcPr>
            <w:tcW w:w="180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spacing w:after="0"/>
              <w:rPr>
                <w:sz w:val="18"/>
                <w:szCs w:val="18"/>
                <w:color w:val="auto"/>
              </w:rPr>
            </w:pPr>
          </w:p>
        </w:tc>
      </w:tr>
      <w:tr>
        <w:trPr>
          <w:trHeight w:val="196"/>
        </w:trPr>
        <w:tc>
          <w:tcPr>
            <w:tcW w:w="7120" w:type="dxa"/>
            <w:vAlign w:val="bottom"/>
          </w:tcPr>
          <w:p>
            <w:pPr>
              <w:ind w:left="700"/>
              <w:spacing w:after="0" w:line="183" w:lineRule="exact"/>
              <w:rPr>
                <w:sz w:val="20"/>
                <w:szCs w:val="20"/>
                <w:color w:val="auto"/>
              </w:rPr>
            </w:pPr>
            <w:r>
              <w:rPr>
                <w:rFonts w:ascii="Arial" w:cs="Arial" w:eastAsia="Arial" w:hAnsi="Arial"/>
                <w:sz w:val="16"/>
                <w:szCs w:val="16"/>
                <w:color w:val="auto"/>
              </w:rPr>
              <w:t>Total other comprehensive income</w:t>
            </w:r>
          </w:p>
        </w:tc>
        <w:tc>
          <w:tcPr>
            <w:tcW w:w="13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(8,906)</w:t>
            </w:r>
          </w:p>
        </w:tc>
        <w:tc>
          <w:tcPr>
            <w:tcW w:w="180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1,351</w:t>
            </w:r>
          </w:p>
        </w:tc>
        <w:tc>
          <w:tcPr>
            <w:tcW w:w="640" w:type="dxa"/>
            <w:vAlign w:val="bottom"/>
            <w:tcBorders>
              <w:bottom w:val="single" w:sz="8" w:color="auto"/>
            </w:tcBorders>
          </w:tcPr>
          <w:p>
            <w:pPr>
              <w:spacing w:after="0"/>
              <w:rPr>
                <w:sz w:val="17"/>
                <w:szCs w:val="17"/>
                <w:color w:val="auto"/>
              </w:rPr>
            </w:pPr>
          </w:p>
        </w:tc>
      </w:tr>
      <w:tr>
        <w:trPr>
          <w:trHeight w:val="176"/>
        </w:trPr>
        <w:tc>
          <w:tcPr>
            <w:tcW w:w="7120" w:type="dxa"/>
            <w:vAlign w:val="bottom"/>
          </w:tcPr>
          <w:p>
            <w:pPr>
              <w:spacing w:after="0" w:line="176" w:lineRule="exact"/>
              <w:rPr>
                <w:sz w:val="20"/>
                <w:szCs w:val="20"/>
                <w:color w:val="auto"/>
              </w:rPr>
            </w:pPr>
            <w:r>
              <w:rPr>
                <w:rFonts w:ascii="Arial" w:cs="Arial" w:eastAsia="Arial" w:hAnsi="Arial"/>
                <w:sz w:val="16"/>
                <w:szCs w:val="16"/>
                <w:color w:val="auto"/>
              </w:rPr>
              <w:t>Comprehensive income including noncontrolling interests</w:t>
            </w:r>
          </w:p>
        </w:tc>
        <w:tc>
          <w:tcPr>
            <w:tcW w:w="1380" w:type="dxa"/>
            <w:vAlign w:val="bottom"/>
          </w:tcPr>
          <w:p>
            <w:pPr>
              <w:jc w:val="right"/>
              <w:ind w:right="220"/>
              <w:spacing w:after="0" w:line="176" w:lineRule="exact"/>
              <w:rPr>
                <w:sz w:val="20"/>
                <w:szCs w:val="20"/>
                <w:color w:val="auto"/>
              </w:rPr>
            </w:pPr>
            <w:r>
              <w:rPr>
                <w:rFonts w:ascii="Arial" w:cs="Arial" w:eastAsia="Arial" w:hAnsi="Arial"/>
                <w:sz w:val="16"/>
                <w:szCs w:val="16"/>
                <w:color w:val="auto"/>
              </w:rPr>
              <w:t>24,709</w:t>
            </w:r>
          </w:p>
        </w:tc>
        <w:tc>
          <w:tcPr>
            <w:tcW w:w="1800" w:type="dxa"/>
            <w:vAlign w:val="bottom"/>
          </w:tcPr>
          <w:p>
            <w:pPr>
              <w:jc w:val="right"/>
              <w:ind w:right="421"/>
              <w:spacing w:after="0" w:line="176" w:lineRule="exact"/>
              <w:rPr>
                <w:sz w:val="20"/>
                <w:szCs w:val="20"/>
                <w:color w:val="auto"/>
              </w:rPr>
            </w:pPr>
            <w:r>
              <w:rPr>
                <w:rFonts w:ascii="Arial" w:cs="Arial" w:eastAsia="Arial" w:hAnsi="Arial"/>
                <w:sz w:val="16"/>
                <w:szCs w:val="16"/>
                <w:color w:val="auto"/>
              </w:rPr>
              <w:t>34,799</w:t>
            </w:r>
          </w:p>
        </w:tc>
        <w:tc>
          <w:tcPr>
            <w:tcW w:w="640" w:type="dxa"/>
            <w:vAlign w:val="bottom"/>
          </w:tcPr>
          <w:p>
            <w:pPr>
              <w:spacing w:after="0"/>
              <w:rPr>
                <w:sz w:val="15"/>
                <w:szCs w:val="15"/>
                <w:color w:val="auto"/>
              </w:rPr>
            </w:pPr>
          </w:p>
        </w:tc>
      </w:tr>
      <w:tr>
        <w:trPr>
          <w:trHeight w:val="213"/>
        </w:trPr>
        <w:tc>
          <w:tcPr>
            <w:tcW w:w="7120" w:type="dxa"/>
            <w:vAlign w:val="bottom"/>
          </w:tcPr>
          <w:p>
            <w:pPr>
              <w:ind w:left="340"/>
              <w:spacing w:after="0"/>
              <w:rPr>
                <w:sz w:val="20"/>
                <w:szCs w:val="20"/>
                <w:color w:val="auto"/>
              </w:rPr>
            </w:pPr>
            <w:r>
              <w:rPr>
                <w:rFonts w:ascii="Arial" w:cs="Arial" w:eastAsia="Arial" w:hAnsi="Arial"/>
                <w:sz w:val="16"/>
                <w:szCs w:val="16"/>
                <w:color w:val="auto"/>
              </w:rPr>
              <w:t>Comprehensive income attributable to noncontrolling interests</w:t>
            </w:r>
          </w:p>
        </w:tc>
        <w:tc>
          <w:tcPr>
            <w:tcW w:w="13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421</w:t>
            </w:r>
          </w:p>
        </w:tc>
        <w:tc>
          <w:tcPr>
            <w:tcW w:w="180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760</w:t>
            </w:r>
          </w:p>
        </w:tc>
        <w:tc>
          <w:tcPr>
            <w:tcW w:w="640" w:type="dxa"/>
            <w:vAlign w:val="bottom"/>
            <w:tcBorders>
              <w:bottom w:val="single" w:sz="8" w:color="auto"/>
            </w:tcBorders>
          </w:tcPr>
          <w:p>
            <w:pPr>
              <w:spacing w:after="0"/>
              <w:rPr>
                <w:sz w:val="18"/>
                <w:szCs w:val="18"/>
                <w:color w:val="auto"/>
              </w:rPr>
            </w:pPr>
          </w:p>
        </w:tc>
      </w:tr>
      <w:tr>
        <w:trPr>
          <w:trHeight w:val="196"/>
        </w:trPr>
        <w:tc>
          <w:tcPr>
            <w:tcW w:w="7120" w:type="dxa"/>
            <w:vAlign w:val="bottom"/>
          </w:tcPr>
          <w:p>
            <w:pPr>
              <w:spacing w:after="0" w:line="183" w:lineRule="exact"/>
              <w:rPr>
                <w:sz w:val="20"/>
                <w:szCs w:val="20"/>
                <w:color w:val="auto"/>
              </w:rPr>
            </w:pPr>
            <w:r>
              <w:rPr>
                <w:rFonts w:ascii="Arial" w:cs="Arial" w:eastAsia="Arial" w:hAnsi="Arial"/>
                <w:sz w:val="16"/>
                <w:szCs w:val="16"/>
                <w:color w:val="auto"/>
              </w:rPr>
              <w:t>Comprehensive income attributable to ExxonMobil</w:t>
            </w:r>
          </w:p>
        </w:tc>
        <w:tc>
          <w:tcPr>
            <w:tcW w:w="13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24,288</w:t>
            </w:r>
          </w:p>
        </w:tc>
        <w:tc>
          <w:tcPr>
            <w:tcW w:w="180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34,039</w:t>
            </w:r>
          </w:p>
        </w:tc>
        <w:tc>
          <w:tcPr>
            <w:tcW w:w="640" w:type="dxa"/>
            <w:vAlign w:val="bottom"/>
            <w:tcBorders>
              <w:bottom w:val="single" w:sz="8" w:color="auto"/>
            </w:tcBorders>
          </w:tcPr>
          <w:p>
            <w:pPr>
              <w:spacing w:after="0"/>
              <w:rPr>
                <w:sz w:val="17"/>
                <w:szCs w:val="17"/>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information in the Notes to Consolidated Financial Statements is an integral part of these statements.</w:t>
      </w:r>
    </w:p>
    <w:p>
      <w:pPr>
        <w:spacing w:after="0" w:line="200" w:lineRule="exact"/>
        <w:rPr>
          <w:sz w:val="20"/>
          <w:szCs w:val="20"/>
          <w:color w:val="auto"/>
        </w:rPr>
      </w:pPr>
    </w:p>
    <w:p>
      <w:pPr>
        <w:spacing w:after="0" w:line="302"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color w:val="auto"/>
        </w:rPr>
        <w:t>CONSOLIDATED BALANCE SHEET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60" w:type="dxa"/>
            <w:vAlign w:val="bottom"/>
          </w:tcPr>
          <w:p>
            <w:pPr>
              <w:spacing w:after="0"/>
              <w:rPr>
                <w:sz w:val="14"/>
                <w:szCs w:val="14"/>
                <w:color w:val="auto"/>
              </w:rPr>
            </w:pPr>
          </w:p>
        </w:tc>
        <w:tc>
          <w:tcPr>
            <w:tcW w:w="2540" w:type="dxa"/>
            <w:vAlign w:val="bottom"/>
          </w:tcPr>
          <w:p>
            <w:pPr>
              <w:jc w:val="center"/>
              <w:ind w:left="535"/>
              <w:spacing w:after="0"/>
              <w:rPr>
                <w:sz w:val="20"/>
                <w:szCs w:val="20"/>
                <w:color w:val="auto"/>
              </w:rPr>
            </w:pPr>
            <w:r>
              <w:rPr>
                <w:rFonts w:ascii="Arial" w:cs="Arial" w:eastAsia="Arial" w:hAnsi="Arial"/>
                <w:sz w:val="13"/>
                <w:szCs w:val="13"/>
                <w:b w:val="1"/>
                <w:bCs w:val="1"/>
                <w:color w:val="auto"/>
                <w:w w:val="89"/>
              </w:rPr>
              <w:t>Note</w:t>
            </w: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160" w:type="dxa"/>
            <w:vAlign w:val="bottom"/>
          </w:tcPr>
          <w:p>
            <w:pPr>
              <w:spacing w:after="0"/>
              <w:rPr>
                <w:sz w:val="19"/>
                <w:szCs w:val="19"/>
                <w:color w:val="auto"/>
              </w:rPr>
            </w:pPr>
          </w:p>
        </w:tc>
        <w:tc>
          <w:tcPr>
            <w:tcW w:w="2540" w:type="dxa"/>
            <w:vAlign w:val="bottom"/>
          </w:tcPr>
          <w:p>
            <w:pPr>
              <w:jc w:val="center"/>
              <w:ind w:left="515"/>
              <w:spacing w:after="0"/>
              <w:rPr>
                <w:sz w:val="20"/>
                <w:szCs w:val="20"/>
                <w:color w:val="auto"/>
              </w:rPr>
            </w:pPr>
            <w:r>
              <w:rPr>
                <w:rFonts w:ascii="Arial" w:cs="Arial" w:eastAsia="Arial" w:hAnsi="Arial"/>
                <w:sz w:val="13"/>
                <w:szCs w:val="13"/>
                <w:b w:val="1"/>
                <w:bCs w:val="1"/>
                <w:color w:val="auto"/>
                <w:w w:val="89"/>
              </w:rPr>
              <w:t>Reference</w:t>
            </w:r>
          </w:p>
        </w:tc>
        <w:tc>
          <w:tcPr>
            <w:tcW w:w="1920" w:type="dxa"/>
            <w:vAlign w:val="bottom"/>
          </w:tcPr>
          <w:p>
            <w:pPr>
              <w:jc w:val="right"/>
              <w:ind w:right="1060"/>
              <w:spacing w:after="0"/>
              <w:rPr>
                <w:sz w:val="20"/>
                <w:szCs w:val="20"/>
                <w:color w:val="auto"/>
              </w:rPr>
            </w:pPr>
            <w:r>
              <w:rPr>
                <w:rFonts w:ascii="Arial" w:cs="Arial" w:eastAsia="Arial" w:hAnsi="Arial"/>
                <w:sz w:val="13"/>
                <w:szCs w:val="13"/>
                <w:b w:val="1"/>
                <w:bCs w:val="1"/>
                <w:color w:val="auto"/>
              </w:rPr>
              <w:t>Dec. 31</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94"/>
              </w:rPr>
              <w:t>Dec.</w:t>
            </w:r>
          </w:p>
        </w:tc>
        <w:tc>
          <w:tcPr>
            <w:tcW w:w="0" w:type="dxa"/>
            <w:vAlign w:val="bottom"/>
          </w:tcPr>
          <w:p>
            <w:pPr>
              <w:spacing w:after="0"/>
              <w:rPr>
                <w:sz w:val="1"/>
                <w:szCs w:val="1"/>
                <w:color w:val="auto"/>
              </w:rPr>
            </w:pPr>
          </w:p>
        </w:tc>
      </w:tr>
      <w:tr>
        <w:trPr>
          <w:trHeight w:val="192"/>
        </w:trPr>
        <w:tc>
          <w:tcPr>
            <w:tcW w:w="6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jc w:val="center"/>
              <w:ind w:left="535"/>
              <w:spacing w:after="0"/>
              <w:rPr>
                <w:sz w:val="20"/>
                <w:szCs w:val="20"/>
                <w:color w:val="auto"/>
              </w:rPr>
            </w:pPr>
            <w:r>
              <w:rPr>
                <w:rFonts w:ascii="Arial" w:cs="Arial" w:eastAsia="Arial" w:hAnsi="Arial"/>
                <w:sz w:val="13"/>
                <w:szCs w:val="13"/>
                <w:b w:val="1"/>
                <w:bCs w:val="1"/>
                <w:color w:val="auto"/>
                <w:w w:val="93"/>
              </w:rPr>
              <w:t>Number</w:t>
            </w:r>
          </w:p>
        </w:tc>
        <w:tc>
          <w:tcPr>
            <w:tcW w:w="1920" w:type="dxa"/>
            <w:vAlign w:val="bottom"/>
            <w:tcBorders>
              <w:bottom w:val="single" w:sz="8" w:color="auto"/>
            </w:tcBorders>
          </w:tcPr>
          <w:p>
            <w:pPr>
              <w:jc w:val="right"/>
              <w:ind w:right="1140"/>
              <w:spacing w:after="0"/>
              <w:rPr>
                <w:sz w:val="20"/>
                <w:szCs w:val="20"/>
                <w:color w:val="auto"/>
              </w:rPr>
            </w:pPr>
            <w:r>
              <w:rPr>
                <w:rFonts w:ascii="Arial" w:cs="Arial" w:eastAsia="Arial" w:hAnsi="Arial"/>
                <w:sz w:val="13"/>
                <w:szCs w:val="13"/>
                <w:b w:val="1"/>
                <w:bCs w:val="1"/>
                <w:color w:val="auto"/>
              </w:rPr>
              <w:t>2014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w:t>
            </w:r>
          </w:p>
        </w:tc>
        <w:tc>
          <w:tcPr>
            <w:tcW w:w="0" w:type="dxa"/>
            <w:vAlign w:val="bottom"/>
          </w:tcPr>
          <w:p>
            <w:pPr>
              <w:spacing w:after="0"/>
              <w:rPr>
                <w:sz w:val="1"/>
                <w:szCs w:val="1"/>
                <w:color w:val="auto"/>
              </w:rPr>
            </w:pPr>
          </w:p>
        </w:tc>
      </w:tr>
      <w:tr>
        <w:trPr>
          <w:trHeight w:val="165"/>
        </w:trPr>
        <w:tc>
          <w:tcPr>
            <w:tcW w:w="61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3"/>
                <w:szCs w:val="13"/>
                <w:i w:val="1"/>
                <w:iCs w:val="1"/>
                <w:color w:val="auto"/>
              </w:rPr>
              <w:t>(millions of dollars)</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6160" w:type="dxa"/>
            <w:vAlign w:val="bottom"/>
          </w:tcPr>
          <w:p>
            <w:pPr>
              <w:spacing w:after="0"/>
              <w:rPr>
                <w:sz w:val="20"/>
                <w:szCs w:val="20"/>
                <w:color w:val="auto"/>
              </w:rPr>
            </w:pPr>
            <w:r>
              <w:rPr>
                <w:rFonts w:ascii="Arial" w:cs="Arial" w:eastAsia="Arial" w:hAnsi="Arial"/>
                <w:sz w:val="16"/>
                <w:szCs w:val="16"/>
                <w:color w:val="auto"/>
              </w:rPr>
              <w:t>Assets</w:t>
            </w:r>
          </w:p>
        </w:tc>
        <w:tc>
          <w:tcPr>
            <w:tcW w:w="25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160" w:type="dxa"/>
            <w:vAlign w:val="bottom"/>
          </w:tcPr>
          <w:p>
            <w:pPr>
              <w:ind w:left="340"/>
              <w:spacing w:after="0"/>
              <w:rPr>
                <w:sz w:val="20"/>
                <w:szCs w:val="20"/>
                <w:color w:val="auto"/>
              </w:rPr>
            </w:pPr>
            <w:r>
              <w:rPr>
                <w:rFonts w:ascii="Arial" w:cs="Arial" w:eastAsia="Arial" w:hAnsi="Arial"/>
                <w:sz w:val="16"/>
                <w:szCs w:val="16"/>
                <w:color w:val="auto"/>
              </w:rPr>
              <w:t>Current assets</w:t>
            </w:r>
          </w:p>
        </w:tc>
        <w:tc>
          <w:tcPr>
            <w:tcW w:w="2540" w:type="dxa"/>
            <w:vAlign w:val="bottom"/>
          </w:tcPr>
          <w:p>
            <w:pPr>
              <w:spacing w:after="0"/>
              <w:rPr>
                <w:sz w:val="18"/>
                <w:szCs w:val="18"/>
                <w:color w:val="auto"/>
              </w:rPr>
            </w:pPr>
          </w:p>
        </w:tc>
        <w:tc>
          <w:tcPr>
            <w:tcW w:w="1920" w:type="dxa"/>
            <w:vAlign w:val="bottom"/>
            <w:vMerge w:val="restart"/>
          </w:tcPr>
          <w:p>
            <w:pPr>
              <w:jc w:val="right"/>
              <w:ind w:right="740"/>
              <w:spacing w:after="0"/>
              <w:rPr>
                <w:sz w:val="20"/>
                <w:szCs w:val="20"/>
                <w:color w:val="auto"/>
              </w:rPr>
            </w:pPr>
            <w:r>
              <w:rPr>
                <w:rFonts w:ascii="Arial" w:cs="Arial" w:eastAsia="Arial" w:hAnsi="Arial"/>
                <w:sz w:val="16"/>
                <w:szCs w:val="16"/>
                <w:color w:val="auto"/>
              </w:rPr>
              <w:t>4,616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160" w:type="dxa"/>
            <w:vAlign w:val="bottom"/>
          </w:tcPr>
          <w:p>
            <w:pPr>
              <w:ind w:left="700"/>
              <w:spacing w:after="0"/>
              <w:rPr>
                <w:sz w:val="20"/>
                <w:szCs w:val="20"/>
                <w:color w:val="auto"/>
              </w:rPr>
            </w:pPr>
            <w:r>
              <w:rPr>
                <w:rFonts w:ascii="Arial" w:cs="Arial" w:eastAsia="Arial" w:hAnsi="Arial"/>
                <w:sz w:val="16"/>
                <w:szCs w:val="16"/>
                <w:color w:val="auto"/>
              </w:rPr>
              <w:t>Cash and cash equivalents</w:t>
            </w:r>
          </w:p>
        </w:tc>
        <w:tc>
          <w:tcPr>
            <w:tcW w:w="2540" w:type="dxa"/>
            <w:vAlign w:val="bottom"/>
          </w:tcPr>
          <w:p>
            <w:pPr>
              <w:spacing w:after="0"/>
              <w:rPr>
                <w:sz w:val="17"/>
                <w:szCs w:val="17"/>
                <w:color w:val="auto"/>
              </w:rPr>
            </w:pPr>
          </w:p>
        </w:tc>
        <w:tc>
          <w:tcPr>
            <w:tcW w:w="19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160" w:type="dxa"/>
            <w:vAlign w:val="bottom"/>
          </w:tcPr>
          <w:p>
            <w:pPr>
              <w:ind w:left="700"/>
              <w:spacing w:after="0"/>
              <w:rPr>
                <w:sz w:val="20"/>
                <w:szCs w:val="20"/>
                <w:color w:val="auto"/>
              </w:rPr>
            </w:pPr>
            <w:r>
              <w:rPr>
                <w:rFonts w:ascii="Arial" w:cs="Arial" w:eastAsia="Arial" w:hAnsi="Arial"/>
                <w:sz w:val="16"/>
                <w:szCs w:val="16"/>
                <w:color w:val="auto"/>
              </w:rPr>
              <w:t>Cash and cash equivalents - restricted</w:t>
            </w:r>
          </w:p>
        </w:tc>
        <w:tc>
          <w:tcPr>
            <w:tcW w:w="2540" w:type="dxa"/>
            <w:vAlign w:val="bottom"/>
          </w:tcPr>
          <w:p>
            <w:pPr>
              <w:spacing w:after="0"/>
              <w:rPr>
                <w:sz w:val="18"/>
                <w:szCs w:val="18"/>
                <w:color w:val="auto"/>
              </w:rPr>
            </w:pPr>
          </w:p>
        </w:tc>
        <w:tc>
          <w:tcPr>
            <w:tcW w:w="1920" w:type="dxa"/>
            <w:vAlign w:val="bottom"/>
          </w:tcPr>
          <w:p>
            <w:pPr>
              <w:jc w:val="right"/>
              <w:ind w:right="740"/>
              <w:spacing w:after="0"/>
              <w:rPr>
                <w:sz w:val="20"/>
                <w:szCs w:val="20"/>
                <w:color w:val="auto"/>
              </w:rPr>
            </w:pPr>
            <w:r>
              <w:rPr>
                <w:rFonts w:ascii="Arial" w:cs="Arial" w:eastAsia="Arial" w:hAnsi="Arial"/>
                <w:sz w:val="16"/>
                <w:szCs w:val="16"/>
                <w:color w:val="auto"/>
              </w:rPr>
              <w:t>42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160" w:type="dxa"/>
            <w:vAlign w:val="bottom"/>
          </w:tcPr>
          <w:p>
            <w:pPr>
              <w:ind w:left="700"/>
              <w:spacing w:after="0"/>
              <w:rPr>
                <w:sz w:val="20"/>
                <w:szCs w:val="20"/>
                <w:color w:val="auto"/>
              </w:rPr>
            </w:pPr>
            <w:r>
              <w:rPr>
                <w:rFonts w:ascii="Arial" w:cs="Arial" w:eastAsia="Arial" w:hAnsi="Arial"/>
                <w:sz w:val="16"/>
                <w:szCs w:val="16"/>
                <w:color w:val="auto"/>
              </w:rPr>
              <w:t>Notes and accounts receivable, less estimated doubtful amounts</w:t>
            </w:r>
          </w:p>
        </w:tc>
        <w:tc>
          <w:tcPr>
            <w:tcW w:w="2540" w:type="dxa"/>
            <w:vAlign w:val="bottom"/>
          </w:tcPr>
          <w:p>
            <w:pPr>
              <w:jc w:val="center"/>
              <w:ind w:left="535"/>
              <w:spacing w:after="0"/>
              <w:rPr>
                <w:sz w:val="20"/>
                <w:szCs w:val="20"/>
                <w:color w:val="auto"/>
              </w:rPr>
            </w:pPr>
            <w:r>
              <w:rPr>
                <w:rFonts w:ascii="Arial" w:cs="Arial" w:eastAsia="Arial" w:hAnsi="Arial"/>
                <w:sz w:val="13"/>
                <w:szCs w:val="13"/>
                <w:color w:val="auto"/>
                <w:w w:val="82"/>
              </w:rPr>
              <w:t>6</w:t>
            </w:r>
          </w:p>
        </w:tc>
        <w:tc>
          <w:tcPr>
            <w:tcW w:w="1920" w:type="dxa"/>
            <w:vAlign w:val="bottom"/>
          </w:tcPr>
          <w:p>
            <w:pPr>
              <w:jc w:val="right"/>
              <w:ind w:right="740"/>
              <w:spacing w:after="0"/>
              <w:rPr>
                <w:sz w:val="20"/>
                <w:szCs w:val="20"/>
                <w:color w:val="auto"/>
              </w:rPr>
            </w:pPr>
            <w:r>
              <w:rPr>
                <w:rFonts w:ascii="Arial" w:cs="Arial" w:eastAsia="Arial" w:hAnsi="Arial"/>
                <w:sz w:val="16"/>
                <w:szCs w:val="16"/>
                <w:color w:val="auto"/>
              </w:rPr>
              <w:t>28,009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160" w:type="dxa"/>
            <w:vAlign w:val="bottom"/>
          </w:tcPr>
          <w:p>
            <w:pPr>
              <w:ind w:left="700"/>
              <w:spacing w:after="0"/>
              <w:rPr>
                <w:sz w:val="20"/>
                <w:szCs w:val="20"/>
                <w:color w:val="auto"/>
              </w:rPr>
            </w:pPr>
            <w:r>
              <w:rPr>
                <w:rFonts w:ascii="Arial" w:cs="Arial" w:eastAsia="Arial" w:hAnsi="Arial"/>
                <w:sz w:val="16"/>
                <w:szCs w:val="16"/>
                <w:color w:val="auto"/>
              </w:rPr>
              <w:t>Inventories</w:t>
            </w:r>
          </w:p>
        </w:tc>
        <w:tc>
          <w:tcPr>
            <w:tcW w:w="2540" w:type="dxa"/>
            <w:vAlign w:val="bottom"/>
          </w:tcPr>
          <w:p>
            <w:pPr>
              <w:spacing w:after="0"/>
              <w:rPr>
                <w:sz w:val="18"/>
                <w:szCs w:val="18"/>
                <w:color w:val="auto"/>
              </w:rPr>
            </w:pPr>
          </w:p>
        </w:tc>
        <w:tc>
          <w:tcPr>
            <w:tcW w:w="1920" w:type="dxa"/>
            <w:vAlign w:val="bottom"/>
            <w:vMerge w:val="restart"/>
          </w:tcPr>
          <w:p>
            <w:pPr>
              <w:jc w:val="right"/>
              <w:ind w:right="740"/>
              <w:spacing w:after="0"/>
              <w:rPr>
                <w:sz w:val="20"/>
                <w:szCs w:val="20"/>
                <w:color w:val="auto"/>
              </w:rPr>
            </w:pPr>
            <w:r>
              <w:rPr>
                <w:rFonts w:ascii="Arial" w:cs="Arial" w:eastAsia="Arial" w:hAnsi="Arial"/>
                <w:sz w:val="16"/>
                <w:szCs w:val="16"/>
                <w:color w:val="auto"/>
              </w:rPr>
              <w:t>12,384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160" w:type="dxa"/>
            <w:vAlign w:val="bottom"/>
          </w:tcPr>
          <w:p>
            <w:pPr>
              <w:ind w:left="1040"/>
              <w:spacing w:after="0"/>
              <w:rPr>
                <w:sz w:val="20"/>
                <w:szCs w:val="20"/>
                <w:color w:val="auto"/>
              </w:rPr>
            </w:pPr>
            <w:r>
              <w:rPr>
                <w:rFonts w:ascii="Arial" w:cs="Arial" w:eastAsia="Arial" w:hAnsi="Arial"/>
                <w:sz w:val="16"/>
                <w:szCs w:val="16"/>
                <w:color w:val="auto"/>
              </w:rPr>
              <w:t>Crude oil, products and merchandise</w:t>
            </w:r>
          </w:p>
        </w:tc>
        <w:tc>
          <w:tcPr>
            <w:tcW w:w="2540" w:type="dxa"/>
            <w:vAlign w:val="bottom"/>
          </w:tcPr>
          <w:p>
            <w:pPr>
              <w:jc w:val="center"/>
              <w:ind w:left="535"/>
              <w:spacing w:after="0"/>
              <w:rPr>
                <w:sz w:val="20"/>
                <w:szCs w:val="20"/>
                <w:color w:val="auto"/>
              </w:rPr>
            </w:pPr>
            <w:r>
              <w:rPr>
                <w:rFonts w:ascii="Arial" w:cs="Arial" w:eastAsia="Arial" w:hAnsi="Arial"/>
                <w:sz w:val="13"/>
                <w:szCs w:val="13"/>
                <w:color w:val="auto"/>
                <w:w w:val="82"/>
              </w:rPr>
              <w:t>3</w:t>
            </w:r>
          </w:p>
        </w:tc>
        <w:tc>
          <w:tcPr>
            <w:tcW w:w="19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160" w:type="dxa"/>
            <w:vAlign w:val="bottom"/>
          </w:tcPr>
          <w:p>
            <w:pPr>
              <w:ind w:left="1040"/>
              <w:spacing w:after="0"/>
              <w:rPr>
                <w:sz w:val="20"/>
                <w:szCs w:val="20"/>
                <w:color w:val="auto"/>
              </w:rPr>
            </w:pPr>
            <w:r>
              <w:rPr>
                <w:rFonts w:ascii="Arial" w:cs="Arial" w:eastAsia="Arial" w:hAnsi="Arial"/>
                <w:sz w:val="16"/>
                <w:szCs w:val="16"/>
                <w:color w:val="auto"/>
              </w:rPr>
              <w:t>Materials and supplies</w:t>
            </w:r>
          </w:p>
        </w:tc>
        <w:tc>
          <w:tcPr>
            <w:tcW w:w="2540" w:type="dxa"/>
            <w:vAlign w:val="bottom"/>
          </w:tcPr>
          <w:p>
            <w:pPr>
              <w:spacing w:after="0"/>
              <w:rPr>
                <w:sz w:val="18"/>
                <w:szCs w:val="18"/>
                <w:color w:val="auto"/>
              </w:rPr>
            </w:pPr>
          </w:p>
        </w:tc>
        <w:tc>
          <w:tcPr>
            <w:tcW w:w="1920" w:type="dxa"/>
            <w:vAlign w:val="bottom"/>
          </w:tcPr>
          <w:p>
            <w:pPr>
              <w:jc w:val="right"/>
              <w:ind w:right="740"/>
              <w:spacing w:after="0"/>
              <w:rPr>
                <w:sz w:val="20"/>
                <w:szCs w:val="20"/>
                <w:color w:val="auto"/>
              </w:rPr>
            </w:pPr>
            <w:r>
              <w:rPr>
                <w:rFonts w:ascii="Arial" w:cs="Arial" w:eastAsia="Arial" w:hAnsi="Arial"/>
                <w:sz w:val="16"/>
                <w:szCs w:val="16"/>
                <w:color w:val="auto"/>
              </w:rPr>
              <w:t>4,294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160" w:type="dxa"/>
            <w:vAlign w:val="bottom"/>
          </w:tcPr>
          <w:p>
            <w:pPr>
              <w:ind w:left="700"/>
              <w:spacing w:after="0"/>
              <w:rPr>
                <w:sz w:val="20"/>
                <w:szCs w:val="20"/>
                <w:color w:val="auto"/>
              </w:rPr>
            </w:pPr>
            <w:r>
              <w:rPr>
                <w:rFonts w:ascii="Arial" w:cs="Arial" w:eastAsia="Arial" w:hAnsi="Arial"/>
                <w:sz w:val="16"/>
                <w:szCs w:val="16"/>
                <w:color w:val="auto"/>
              </w:rPr>
              <w:t>Other current assets</w:t>
            </w:r>
          </w:p>
        </w:tc>
        <w:tc>
          <w:tcPr>
            <w:tcW w:w="2540" w:type="dxa"/>
            <w:vAlign w:val="bottom"/>
          </w:tcPr>
          <w:p>
            <w:pPr>
              <w:spacing w:after="0"/>
              <w:rPr>
                <w:sz w:val="19"/>
                <w:szCs w:val="19"/>
                <w:color w:val="auto"/>
              </w:rPr>
            </w:pPr>
          </w:p>
        </w:tc>
        <w:tc>
          <w:tcPr>
            <w:tcW w:w="192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rPr>
              <w:t>3,565</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160" w:type="dxa"/>
            <w:vAlign w:val="bottom"/>
          </w:tcPr>
          <w:p>
            <w:pPr>
              <w:ind w:left="1040"/>
              <w:spacing w:after="0" w:line="177" w:lineRule="exact"/>
              <w:rPr>
                <w:sz w:val="20"/>
                <w:szCs w:val="20"/>
                <w:color w:val="auto"/>
              </w:rPr>
            </w:pPr>
            <w:r>
              <w:rPr>
                <w:rFonts w:ascii="Arial" w:cs="Arial" w:eastAsia="Arial" w:hAnsi="Arial"/>
                <w:sz w:val="16"/>
                <w:szCs w:val="16"/>
                <w:color w:val="auto"/>
              </w:rPr>
              <w:t>Total current assets</w:t>
            </w:r>
          </w:p>
        </w:tc>
        <w:tc>
          <w:tcPr>
            <w:tcW w:w="2540" w:type="dxa"/>
            <w:vAlign w:val="bottom"/>
          </w:tcPr>
          <w:p>
            <w:pPr>
              <w:spacing w:after="0"/>
              <w:rPr>
                <w:sz w:val="15"/>
                <w:szCs w:val="15"/>
                <w:color w:val="auto"/>
              </w:rPr>
            </w:pPr>
          </w:p>
        </w:tc>
        <w:tc>
          <w:tcPr>
            <w:tcW w:w="1920" w:type="dxa"/>
            <w:vAlign w:val="bottom"/>
          </w:tcPr>
          <w:p>
            <w:pPr>
              <w:jc w:val="right"/>
              <w:ind w:right="740"/>
              <w:spacing w:after="0" w:line="177" w:lineRule="exact"/>
              <w:rPr>
                <w:sz w:val="20"/>
                <w:szCs w:val="20"/>
                <w:color w:val="auto"/>
              </w:rPr>
            </w:pPr>
            <w:r>
              <w:rPr>
                <w:rFonts w:ascii="Arial" w:cs="Arial" w:eastAsia="Arial" w:hAnsi="Arial"/>
                <w:sz w:val="16"/>
                <w:szCs w:val="16"/>
                <w:color w:val="auto"/>
              </w:rPr>
              <w:t>52,910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160" w:type="dxa"/>
            <w:vAlign w:val="bottom"/>
          </w:tcPr>
          <w:p>
            <w:pPr>
              <w:ind w:left="340"/>
              <w:spacing w:after="0"/>
              <w:rPr>
                <w:sz w:val="20"/>
                <w:szCs w:val="20"/>
                <w:color w:val="auto"/>
              </w:rPr>
            </w:pPr>
            <w:r>
              <w:rPr>
                <w:rFonts w:ascii="Arial" w:cs="Arial" w:eastAsia="Arial" w:hAnsi="Arial"/>
                <w:sz w:val="16"/>
                <w:szCs w:val="16"/>
                <w:color w:val="auto"/>
              </w:rPr>
              <w:t>Investments, advances and long-term receivables</w:t>
            </w:r>
          </w:p>
        </w:tc>
        <w:tc>
          <w:tcPr>
            <w:tcW w:w="2540" w:type="dxa"/>
            <w:vAlign w:val="bottom"/>
          </w:tcPr>
          <w:p>
            <w:pPr>
              <w:jc w:val="center"/>
              <w:ind w:left="535"/>
              <w:spacing w:after="0"/>
              <w:rPr>
                <w:sz w:val="20"/>
                <w:szCs w:val="20"/>
                <w:color w:val="auto"/>
              </w:rPr>
            </w:pPr>
            <w:r>
              <w:rPr>
                <w:rFonts w:ascii="Arial" w:cs="Arial" w:eastAsia="Arial" w:hAnsi="Arial"/>
                <w:sz w:val="13"/>
                <w:szCs w:val="13"/>
                <w:color w:val="auto"/>
                <w:w w:val="82"/>
              </w:rPr>
              <w:t>8</w:t>
            </w:r>
          </w:p>
        </w:tc>
        <w:tc>
          <w:tcPr>
            <w:tcW w:w="1920" w:type="dxa"/>
            <w:vAlign w:val="bottom"/>
          </w:tcPr>
          <w:p>
            <w:pPr>
              <w:jc w:val="right"/>
              <w:ind w:right="740"/>
              <w:spacing w:after="0"/>
              <w:rPr>
                <w:sz w:val="20"/>
                <w:szCs w:val="20"/>
                <w:color w:val="auto"/>
              </w:rPr>
            </w:pPr>
            <w:r>
              <w:rPr>
                <w:rFonts w:ascii="Arial" w:cs="Arial" w:eastAsia="Arial" w:hAnsi="Arial"/>
                <w:sz w:val="16"/>
                <w:szCs w:val="16"/>
                <w:color w:val="auto"/>
              </w:rPr>
              <w:t>35,239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160" w:type="dxa"/>
            <w:vAlign w:val="bottom"/>
          </w:tcPr>
          <w:p>
            <w:pPr>
              <w:ind w:left="340"/>
              <w:spacing w:after="0"/>
              <w:rPr>
                <w:sz w:val="20"/>
                <w:szCs w:val="20"/>
                <w:color w:val="auto"/>
              </w:rPr>
            </w:pPr>
            <w:r>
              <w:rPr>
                <w:rFonts w:ascii="Arial" w:cs="Arial" w:eastAsia="Arial" w:hAnsi="Arial"/>
                <w:sz w:val="16"/>
                <w:szCs w:val="16"/>
                <w:color w:val="auto"/>
              </w:rPr>
              <w:t>Property, plant and equipment, at cost, less accumulated depreciation</w:t>
            </w:r>
          </w:p>
        </w:tc>
        <w:tc>
          <w:tcPr>
            <w:tcW w:w="2540" w:type="dxa"/>
            <w:vAlign w:val="bottom"/>
          </w:tcPr>
          <w:p>
            <w:pPr>
              <w:spacing w:after="0"/>
              <w:rPr>
                <w:sz w:val="18"/>
                <w:szCs w:val="18"/>
                <w:color w:val="auto"/>
              </w:rPr>
            </w:pPr>
          </w:p>
        </w:tc>
        <w:tc>
          <w:tcPr>
            <w:tcW w:w="1920" w:type="dxa"/>
            <w:vAlign w:val="bottom"/>
            <w:vMerge w:val="restart"/>
          </w:tcPr>
          <w:p>
            <w:pPr>
              <w:jc w:val="right"/>
              <w:ind w:right="740"/>
              <w:spacing w:after="0"/>
              <w:rPr>
                <w:sz w:val="20"/>
                <w:szCs w:val="20"/>
                <w:color w:val="auto"/>
              </w:rPr>
            </w:pPr>
            <w:r>
              <w:rPr>
                <w:rFonts w:ascii="Arial" w:cs="Arial" w:eastAsia="Arial" w:hAnsi="Arial"/>
                <w:sz w:val="16"/>
                <w:szCs w:val="16"/>
                <w:color w:val="auto"/>
              </w:rPr>
              <w:t>252,668</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7"/>
        </w:trPr>
        <w:tc>
          <w:tcPr>
            <w:tcW w:w="6160" w:type="dxa"/>
            <w:vAlign w:val="bottom"/>
          </w:tcPr>
          <w:p>
            <w:pPr>
              <w:ind w:left="700"/>
              <w:spacing w:after="0"/>
              <w:rPr>
                <w:sz w:val="20"/>
                <w:szCs w:val="20"/>
                <w:color w:val="auto"/>
              </w:rPr>
            </w:pPr>
            <w:r>
              <w:rPr>
                <w:rFonts w:ascii="Arial" w:cs="Arial" w:eastAsia="Arial" w:hAnsi="Arial"/>
                <w:sz w:val="16"/>
                <w:szCs w:val="16"/>
                <w:color w:val="auto"/>
              </w:rPr>
              <w:t>and depletion</w:t>
            </w:r>
          </w:p>
        </w:tc>
        <w:tc>
          <w:tcPr>
            <w:tcW w:w="2540" w:type="dxa"/>
            <w:vAlign w:val="bottom"/>
          </w:tcPr>
          <w:p>
            <w:pPr>
              <w:jc w:val="center"/>
              <w:ind w:left="535"/>
              <w:spacing w:after="0"/>
              <w:rPr>
                <w:sz w:val="20"/>
                <w:szCs w:val="20"/>
                <w:color w:val="auto"/>
              </w:rPr>
            </w:pPr>
            <w:r>
              <w:rPr>
                <w:rFonts w:ascii="Arial" w:cs="Arial" w:eastAsia="Arial" w:hAnsi="Arial"/>
                <w:sz w:val="13"/>
                <w:szCs w:val="13"/>
                <w:color w:val="auto"/>
                <w:w w:val="82"/>
              </w:rPr>
              <w:t>9</w:t>
            </w:r>
          </w:p>
        </w:tc>
        <w:tc>
          <w:tcPr>
            <w:tcW w:w="19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160" w:type="dxa"/>
            <w:vAlign w:val="bottom"/>
          </w:tcPr>
          <w:p>
            <w:pPr>
              <w:ind w:left="340"/>
              <w:spacing w:after="0"/>
              <w:rPr>
                <w:sz w:val="20"/>
                <w:szCs w:val="20"/>
                <w:color w:val="auto"/>
              </w:rPr>
            </w:pPr>
            <w:r>
              <w:rPr>
                <w:rFonts w:ascii="Arial" w:cs="Arial" w:eastAsia="Arial" w:hAnsi="Arial"/>
                <w:sz w:val="16"/>
                <w:szCs w:val="16"/>
                <w:color w:val="auto"/>
              </w:rPr>
              <w:t>Other assets, including intangibles, net</w:t>
            </w:r>
          </w:p>
        </w:tc>
        <w:tc>
          <w:tcPr>
            <w:tcW w:w="2540" w:type="dxa"/>
            <w:vAlign w:val="bottom"/>
          </w:tcPr>
          <w:p>
            <w:pPr>
              <w:spacing w:after="0"/>
              <w:rPr>
                <w:sz w:val="19"/>
                <w:szCs w:val="19"/>
                <w:color w:val="auto"/>
              </w:rPr>
            </w:pPr>
          </w:p>
        </w:tc>
        <w:tc>
          <w:tcPr>
            <w:tcW w:w="192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rPr>
              <w:t>8,676</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160" w:type="dxa"/>
            <w:vAlign w:val="bottom"/>
          </w:tcPr>
          <w:p>
            <w:pPr>
              <w:ind w:left="1040"/>
              <w:spacing w:after="0"/>
              <w:rPr>
                <w:sz w:val="20"/>
                <w:szCs w:val="20"/>
                <w:color w:val="auto"/>
              </w:rPr>
            </w:pPr>
            <w:r>
              <w:rPr>
                <w:rFonts w:ascii="Arial" w:cs="Arial" w:eastAsia="Arial" w:hAnsi="Arial"/>
                <w:sz w:val="16"/>
                <w:szCs w:val="16"/>
                <w:color w:val="auto"/>
              </w:rPr>
              <w:t>Total assets</w:t>
            </w:r>
          </w:p>
        </w:tc>
        <w:tc>
          <w:tcPr>
            <w:tcW w:w="2540" w:type="dxa"/>
            <w:vAlign w:val="bottom"/>
          </w:tcPr>
          <w:p>
            <w:pPr>
              <w:spacing w:after="0"/>
              <w:rPr>
                <w:sz w:val="16"/>
                <w:szCs w:val="16"/>
                <w:color w:val="auto"/>
              </w:rPr>
            </w:pPr>
          </w:p>
        </w:tc>
        <w:tc>
          <w:tcPr>
            <w:tcW w:w="192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rPr>
              <w:t>349,493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96"/>
        </w:trPr>
        <w:tc>
          <w:tcPr>
            <w:tcW w:w="6160" w:type="dxa"/>
            <w:vAlign w:val="bottom"/>
          </w:tcPr>
          <w:p>
            <w:pPr>
              <w:spacing w:after="0"/>
              <w:rPr>
                <w:sz w:val="20"/>
                <w:szCs w:val="20"/>
                <w:color w:val="auto"/>
              </w:rPr>
            </w:pPr>
            <w:r>
              <w:rPr>
                <w:rFonts w:ascii="Arial" w:cs="Arial" w:eastAsia="Arial" w:hAnsi="Arial"/>
                <w:sz w:val="16"/>
                <w:szCs w:val="16"/>
                <w:color w:val="auto"/>
              </w:rPr>
              <w:t>Liabilities</w:t>
            </w:r>
          </w:p>
        </w:tc>
        <w:tc>
          <w:tcPr>
            <w:tcW w:w="25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160" w:type="dxa"/>
            <w:vAlign w:val="bottom"/>
          </w:tcPr>
          <w:p>
            <w:pPr>
              <w:ind w:left="340"/>
              <w:spacing w:after="0"/>
              <w:rPr>
                <w:sz w:val="20"/>
                <w:szCs w:val="20"/>
                <w:color w:val="auto"/>
              </w:rPr>
            </w:pPr>
            <w:r>
              <w:rPr>
                <w:rFonts w:ascii="Arial" w:cs="Arial" w:eastAsia="Arial" w:hAnsi="Arial"/>
                <w:sz w:val="16"/>
                <w:szCs w:val="16"/>
                <w:color w:val="auto"/>
              </w:rPr>
              <w:t>Current liabilities</w:t>
            </w:r>
          </w:p>
        </w:tc>
        <w:tc>
          <w:tcPr>
            <w:tcW w:w="2540" w:type="dxa"/>
            <w:vAlign w:val="bottom"/>
          </w:tcPr>
          <w:p>
            <w:pPr>
              <w:spacing w:after="0"/>
              <w:rPr>
                <w:sz w:val="18"/>
                <w:szCs w:val="18"/>
                <w:color w:val="auto"/>
              </w:rPr>
            </w:pPr>
          </w:p>
        </w:tc>
        <w:tc>
          <w:tcPr>
            <w:tcW w:w="1920" w:type="dxa"/>
            <w:vAlign w:val="bottom"/>
            <w:vMerge w:val="restart"/>
          </w:tcPr>
          <w:p>
            <w:pPr>
              <w:jc w:val="right"/>
              <w:ind w:right="740"/>
              <w:spacing w:after="0"/>
              <w:rPr>
                <w:sz w:val="20"/>
                <w:szCs w:val="20"/>
                <w:color w:val="auto"/>
              </w:rPr>
            </w:pPr>
            <w:r>
              <w:rPr>
                <w:rFonts w:ascii="Arial" w:cs="Arial" w:eastAsia="Arial" w:hAnsi="Arial"/>
                <w:sz w:val="16"/>
                <w:szCs w:val="16"/>
                <w:color w:val="auto"/>
              </w:rPr>
              <w:t>17,468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160" w:type="dxa"/>
            <w:vAlign w:val="bottom"/>
          </w:tcPr>
          <w:p>
            <w:pPr>
              <w:ind w:left="700"/>
              <w:spacing w:after="0"/>
              <w:rPr>
                <w:sz w:val="20"/>
                <w:szCs w:val="20"/>
                <w:color w:val="auto"/>
              </w:rPr>
            </w:pPr>
            <w:r>
              <w:rPr>
                <w:rFonts w:ascii="Arial" w:cs="Arial" w:eastAsia="Arial" w:hAnsi="Arial"/>
                <w:sz w:val="16"/>
                <w:szCs w:val="16"/>
                <w:color w:val="auto"/>
              </w:rPr>
              <w:t>Notes and loans payable</w:t>
            </w:r>
          </w:p>
        </w:tc>
        <w:tc>
          <w:tcPr>
            <w:tcW w:w="2540" w:type="dxa"/>
            <w:vAlign w:val="bottom"/>
          </w:tcPr>
          <w:p>
            <w:pPr>
              <w:jc w:val="center"/>
              <w:ind w:left="535"/>
              <w:spacing w:after="0"/>
              <w:rPr>
                <w:sz w:val="20"/>
                <w:szCs w:val="20"/>
                <w:color w:val="auto"/>
              </w:rPr>
            </w:pPr>
            <w:r>
              <w:rPr>
                <w:rFonts w:ascii="Arial" w:cs="Arial" w:eastAsia="Arial" w:hAnsi="Arial"/>
                <w:sz w:val="13"/>
                <w:szCs w:val="13"/>
                <w:color w:val="auto"/>
                <w:w w:val="82"/>
              </w:rPr>
              <w:t>6</w:t>
            </w:r>
          </w:p>
        </w:tc>
        <w:tc>
          <w:tcPr>
            <w:tcW w:w="19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160" w:type="dxa"/>
            <w:vAlign w:val="bottom"/>
          </w:tcPr>
          <w:p>
            <w:pPr>
              <w:ind w:left="700"/>
              <w:spacing w:after="0"/>
              <w:rPr>
                <w:sz w:val="20"/>
                <w:szCs w:val="20"/>
                <w:color w:val="auto"/>
              </w:rPr>
            </w:pPr>
            <w:r>
              <w:rPr>
                <w:rFonts w:ascii="Arial" w:cs="Arial" w:eastAsia="Arial" w:hAnsi="Arial"/>
                <w:sz w:val="16"/>
                <w:szCs w:val="16"/>
                <w:color w:val="auto"/>
              </w:rPr>
              <w:t>Accounts payable and accrued liabilities</w:t>
            </w:r>
          </w:p>
        </w:tc>
        <w:tc>
          <w:tcPr>
            <w:tcW w:w="2540" w:type="dxa"/>
            <w:vAlign w:val="bottom"/>
          </w:tcPr>
          <w:p>
            <w:pPr>
              <w:jc w:val="center"/>
              <w:ind w:left="535"/>
              <w:spacing w:after="0"/>
              <w:rPr>
                <w:sz w:val="20"/>
                <w:szCs w:val="20"/>
                <w:color w:val="auto"/>
              </w:rPr>
            </w:pPr>
            <w:r>
              <w:rPr>
                <w:rFonts w:ascii="Arial" w:cs="Arial" w:eastAsia="Arial" w:hAnsi="Arial"/>
                <w:sz w:val="13"/>
                <w:szCs w:val="13"/>
                <w:color w:val="auto"/>
                <w:w w:val="82"/>
              </w:rPr>
              <w:t>6</w:t>
            </w:r>
          </w:p>
        </w:tc>
        <w:tc>
          <w:tcPr>
            <w:tcW w:w="1920" w:type="dxa"/>
            <w:vAlign w:val="bottom"/>
          </w:tcPr>
          <w:p>
            <w:pPr>
              <w:jc w:val="right"/>
              <w:ind w:right="740"/>
              <w:spacing w:after="0"/>
              <w:rPr>
                <w:sz w:val="20"/>
                <w:szCs w:val="20"/>
                <w:color w:val="auto"/>
              </w:rPr>
            </w:pPr>
            <w:r>
              <w:rPr>
                <w:rFonts w:ascii="Arial" w:cs="Arial" w:eastAsia="Arial" w:hAnsi="Arial"/>
                <w:sz w:val="16"/>
                <w:szCs w:val="16"/>
                <w:color w:val="auto"/>
              </w:rPr>
              <w:t>42,227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160" w:type="dxa"/>
            <w:vAlign w:val="bottom"/>
          </w:tcPr>
          <w:p>
            <w:pPr>
              <w:ind w:left="700"/>
              <w:spacing w:after="0"/>
              <w:rPr>
                <w:sz w:val="20"/>
                <w:szCs w:val="20"/>
                <w:color w:val="auto"/>
              </w:rPr>
            </w:pPr>
            <w:r>
              <w:rPr>
                <w:rFonts w:ascii="Arial" w:cs="Arial" w:eastAsia="Arial" w:hAnsi="Arial"/>
                <w:sz w:val="16"/>
                <w:szCs w:val="16"/>
                <w:color w:val="auto"/>
              </w:rPr>
              <w:t>Income taxes payable</w:t>
            </w:r>
          </w:p>
        </w:tc>
        <w:tc>
          <w:tcPr>
            <w:tcW w:w="2540" w:type="dxa"/>
            <w:vAlign w:val="bottom"/>
          </w:tcPr>
          <w:p>
            <w:pPr>
              <w:spacing w:after="0"/>
              <w:rPr>
                <w:sz w:val="19"/>
                <w:szCs w:val="19"/>
                <w:color w:val="auto"/>
              </w:rPr>
            </w:pPr>
          </w:p>
        </w:tc>
        <w:tc>
          <w:tcPr>
            <w:tcW w:w="192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rPr>
              <w:t>4,938</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160" w:type="dxa"/>
            <w:vAlign w:val="bottom"/>
          </w:tcPr>
          <w:p>
            <w:pPr>
              <w:ind w:left="1040"/>
              <w:spacing w:after="0" w:line="177" w:lineRule="exact"/>
              <w:rPr>
                <w:sz w:val="20"/>
                <w:szCs w:val="20"/>
                <w:color w:val="auto"/>
              </w:rPr>
            </w:pPr>
            <w:r>
              <w:rPr>
                <w:rFonts w:ascii="Arial" w:cs="Arial" w:eastAsia="Arial" w:hAnsi="Arial"/>
                <w:sz w:val="16"/>
                <w:szCs w:val="16"/>
                <w:color w:val="auto"/>
              </w:rPr>
              <w:t>Total current liabilities</w:t>
            </w:r>
          </w:p>
        </w:tc>
        <w:tc>
          <w:tcPr>
            <w:tcW w:w="2540" w:type="dxa"/>
            <w:vAlign w:val="bottom"/>
          </w:tcPr>
          <w:p>
            <w:pPr>
              <w:spacing w:after="0"/>
              <w:rPr>
                <w:sz w:val="15"/>
                <w:szCs w:val="15"/>
                <w:color w:val="auto"/>
              </w:rPr>
            </w:pPr>
          </w:p>
        </w:tc>
        <w:tc>
          <w:tcPr>
            <w:tcW w:w="1920" w:type="dxa"/>
            <w:vAlign w:val="bottom"/>
          </w:tcPr>
          <w:p>
            <w:pPr>
              <w:jc w:val="right"/>
              <w:ind w:right="740"/>
              <w:spacing w:after="0" w:line="177" w:lineRule="exact"/>
              <w:rPr>
                <w:sz w:val="20"/>
                <w:szCs w:val="20"/>
                <w:color w:val="auto"/>
              </w:rPr>
            </w:pPr>
            <w:r>
              <w:rPr>
                <w:rFonts w:ascii="Arial" w:cs="Arial" w:eastAsia="Arial" w:hAnsi="Arial"/>
                <w:sz w:val="16"/>
                <w:szCs w:val="16"/>
                <w:color w:val="auto"/>
              </w:rPr>
              <w:t>64,633</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160" w:type="dxa"/>
            <w:vAlign w:val="bottom"/>
          </w:tcPr>
          <w:p>
            <w:pPr>
              <w:ind w:left="340"/>
              <w:spacing w:after="0"/>
              <w:rPr>
                <w:sz w:val="20"/>
                <w:szCs w:val="20"/>
                <w:color w:val="auto"/>
              </w:rPr>
            </w:pPr>
            <w:r>
              <w:rPr>
                <w:rFonts w:ascii="Arial" w:cs="Arial" w:eastAsia="Arial" w:hAnsi="Arial"/>
                <w:sz w:val="16"/>
                <w:szCs w:val="16"/>
                <w:color w:val="auto"/>
              </w:rPr>
              <w:t>Long-term debt</w:t>
            </w:r>
          </w:p>
        </w:tc>
        <w:tc>
          <w:tcPr>
            <w:tcW w:w="2540" w:type="dxa"/>
            <w:vAlign w:val="bottom"/>
          </w:tcPr>
          <w:p>
            <w:pPr>
              <w:jc w:val="center"/>
              <w:ind w:left="535"/>
              <w:spacing w:after="0"/>
              <w:rPr>
                <w:sz w:val="20"/>
                <w:szCs w:val="20"/>
                <w:color w:val="auto"/>
              </w:rPr>
            </w:pPr>
            <w:r>
              <w:rPr>
                <w:rFonts w:ascii="Arial" w:cs="Arial" w:eastAsia="Arial" w:hAnsi="Arial"/>
                <w:sz w:val="13"/>
                <w:szCs w:val="13"/>
                <w:color w:val="auto"/>
                <w:w w:val="96"/>
              </w:rPr>
              <w:t>14</w:t>
            </w:r>
          </w:p>
        </w:tc>
        <w:tc>
          <w:tcPr>
            <w:tcW w:w="1920" w:type="dxa"/>
            <w:vAlign w:val="bottom"/>
          </w:tcPr>
          <w:p>
            <w:pPr>
              <w:jc w:val="right"/>
              <w:ind w:right="740"/>
              <w:spacing w:after="0"/>
              <w:rPr>
                <w:sz w:val="20"/>
                <w:szCs w:val="20"/>
                <w:color w:val="auto"/>
              </w:rPr>
            </w:pPr>
            <w:r>
              <w:rPr>
                <w:rFonts w:ascii="Arial" w:cs="Arial" w:eastAsia="Arial" w:hAnsi="Arial"/>
                <w:sz w:val="16"/>
                <w:szCs w:val="16"/>
                <w:color w:val="auto"/>
              </w:rPr>
              <w:t>11,653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60" w:type="dxa"/>
            <w:vAlign w:val="bottom"/>
          </w:tcPr>
          <w:p>
            <w:pPr>
              <w:ind w:left="340"/>
              <w:spacing w:after="0"/>
              <w:rPr>
                <w:sz w:val="20"/>
                <w:szCs w:val="20"/>
                <w:color w:val="auto"/>
              </w:rPr>
            </w:pPr>
            <w:r>
              <w:rPr>
                <w:rFonts w:ascii="Arial" w:cs="Arial" w:eastAsia="Arial" w:hAnsi="Arial"/>
                <w:sz w:val="16"/>
                <w:szCs w:val="16"/>
                <w:color w:val="auto"/>
              </w:rPr>
              <w:t>Postretirement benefits reserves</w:t>
            </w:r>
          </w:p>
        </w:tc>
        <w:tc>
          <w:tcPr>
            <w:tcW w:w="2540" w:type="dxa"/>
            <w:vAlign w:val="bottom"/>
          </w:tcPr>
          <w:p>
            <w:pPr>
              <w:jc w:val="center"/>
              <w:ind w:left="535"/>
              <w:spacing w:after="0"/>
              <w:rPr>
                <w:sz w:val="20"/>
                <w:szCs w:val="20"/>
                <w:color w:val="auto"/>
              </w:rPr>
            </w:pPr>
            <w:r>
              <w:rPr>
                <w:rFonts w:ascii="Arial" w:cs="Arial" w:eastAsia="Arial" w:hAnsi="Arial"/>
                <w:sz w:val="13"/>
                <w:szCs w:val="13"/>
                <w:color w:val="auto"/>
                <w:w w:val="96"/>
              </w:rPr>
              <w:t>17</w:t>
            </w:r>
          </w:p>
        </w:tc>
        <w:tc>
          <w:tcPr>
            <w:tcW w:w="1920" w:type="dxa"/>
            <w:vAlign w:val="bottom"/>
          </w:tcPr>
          <w:p>
            <w:pPr>
              <w:jc w:val="right"/>
              <w:ind w:right="740"/>
              <w:spacing w:after="0"/>
              <w:rPr>
                <w:sz w:val="20"/>
                <w:szCs w:val="20"/>
                <w:color w:val="auto"/>
              </w:rPr>
            </w:pPr>
            <w:r>
              <w:rPr>
                <w:rFonts w:ascii="Arial" w:cs="Arial" w:eastAsia="Arial" w:hAnsi="Arial"/>
                <w:sz w:val="16"/>
                <w:szCs w:val="16"/>
                <w:color w:val="auto"/>
              </w:rPr>
              <w:t>25,802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60" w:type="dxa"/>
            <w:vAlign w:val="bottom"/>
          </w:tcPr>
          <w:p>
            <w:pPr>
              <w:ind w:left="340"/>
              <w:spacing w:after="0"/>
              <w:rPr>
                <w:sz w:val="20"/>
                <w:szCs w:val="20"/>
                <w:color w:val="auto"/>
              </w:rPr>
            </w:pPr>
            <w:r>
              <w:rPr>
                <w:rFonts w:ascii="Arial" w:cs="Arial" w:eastAsia="Arial" w:hAnsi="Arial"/>
                <w:sz w:val="16"/>
                <w:szCs w:val="16"/>
                <w:color w:val="auto"/>
              </w:rPr>
              <w:t>Deferred income tax liabilities</w:t>
            </w:r>
          </w:p>
        </w:tc>
        <w:tc>
          <w:tcPr>
            <w:tcW w:w="2540" w:type="dxa"/>
            <w:vAlign w:val="bottom"/>
          </w:tcPr>
          <w:p>
            <w:pPr>
              <w:jc w:val="center"/>
              <w:ind w:left="535"/>
              <w:spacing w:after="0"/>
              <w:rPr>
                <w:sz w:val="20"/>
                <w:szCs w:val="20"/>
                <w:color w:val="auto"/>
              </w:rPr>
            </w:pPr>
            <w:r>
              <w:rPr>
                <w:rFonts w:ascii="Arial" w:cs="Arial" w:eastAsia="Arial" w:hAnsi="Arial"/>
                <w:sz w:val="13"/>
                <w:szCs w:val="13"/>
                <w:color w:val="auto"/>
                <w:w w:val="96"/>
              </w:rPr>
              <w:t>19</w:t>
            </w:r>
          </w:p>
        </w:tc>
        <w:tc>
          <w:tcPr>
            <w:tcW w:w="1920" w:type="dxa"/>
            <w:vAlign w:val="bottom"/>
          </w:tcPr>
          <w:p>
            <w:pPr>
              <w:jc w:val="right"/>
              <w:ind w:right="740"/>
              <w:spacing w:after="0"/>
              <w:rPr>
                <w:sz w:val="20"/>
                <w:szCs w:val="20"/>
                <w:color w:val="auto"/>
              </w:rPr>
            </w:pPr>
            <w:r>
              <w:rPr>
                <w:rFonts w:ascii="Arial" w:cs="Arial" w:eastAsia="Arial" w:hAnsi="Arial"/>
                <w:sz w:val="16"/>
                <w:szCs w:val="16"/>
                <w:color w:val="auto"/>
              </w:rPr>
              <w:t>39,230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60" w:type="dxa"/>
            <w:vAlign w:val="bottom"/>
          </w:tcPr>
          <w:p>
            <w:pPr>
              <w:ind w:left="340"/>
              <w:spacing w:after="0"/>
              <w:rPr>
                <w:sz w:val="20"/>
                <w:szCs w:val="20"/>
                <w:color w:val="auto"/>
              </w:rPr>
            </w:pPr>
            <w:r>
              <w:rPr>
                <w:rFonts w:ascii="Arial" w:cs="Arial" w:eastAsia="Arial" w:hAnsi="Arial"/>
                <w:sz w:val="16"/>
                <w:szCs w:val="16"/>
                <w:color w:val="auto"/>
              </w:rPr>
              <w:t>Long-term obligations to equity companies</w:t>
            </w:r>
          </w:p>
        </w:tc>
        <w:tc>
          <w:tcPr>
            <w:tcW w:w="2540" w:type="dxa"/>
            <w:vAlign w:val="bottom"/>
          </w:tcPr>
          <w:p>
            <w:pPr>
              <w:spacing w:after="0"/>
              <w:rPr>
                <w:sz w:val="18"/>
                <w:szCs w:val="18"/>
                <w:color w:val="auto"/>
              </w:rPr>
            </w:pPr>
          </w:p>
        </w:tc>
        <w:tc>
          <w:tcPr>
            <w:tcW w:w="1920" w:type="dxa"/>
            <w:vAlign w:val="bottom"/>
          </w:tcPr>
          <w:p>
            <w:pPr>
              <w:jc w:val="right"/>
              <w:ind w:right="740"/>
              <w:spacing w:after="0"/>
              <w:rPr>
                <w:sz w:val="20"/>
                <w:szCs w:val="20"/>
                <w:color w:val="auto"/>
              </w:rPr>
            </w:pPr>
            <w:r>
              <w:rPr>
                <w:rFonts w:ascii="Arial" w:cs="Arial" w:eastAsia="Arial" w:hAnsi="Arial"/>
                <w:sz w:val="16"/>
                <w:szCs w:val="16"/>
                <w:color w:val="auto"/>
              </w:rPr>
              <w:t>5,325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160" w:type="dxa"/>
            <w:vAlign w:val="bottom"/>
          </w:tcPr>
          <w:p>
            <w:pPr>
              <w:ind w:left="340"/>
              <w:spacing w:after="0"/>
              <w:rPr>
                <w:sz w:val="20"/>
                <w:szCs w:val="20"/>
                <w:color w:val="auto"/>
              </w:rPr>
            </w:pPr>
            <w:r>
              <w:rPr>
                <w:rFonts w:ascii="Arial" w:cs="Arial" w:eastAsia="Arial" w:hAnsi="Arial"/>
                <w:sz w:val="16"/>
                <w:szCs w:val="16"/>
                <w:color w:val="auto"/>
              </w:rPr>
              <w:t>Other long-term obligations</w:t>
            </w:r>
          </w:p>
        </w:tc>
        <w:tc>
          <w:tcPr>
            <w:tcW w:w="2540" w:type="dxa"/>
            <w:vAlign w:val="bottom"/>
          </w:tcPr>
          <w:p>
            <w:pPr>
              <w:spacing w:after="0"/>
              <w:rPr>
                <w:sz w:val="19"/>
                <w:szCs w:val="19"/>
                <w:color w:val="auto"/>
              </w:rPr>
            </w:pPr>
          </w:p>
        </w:tc>
        <w:tc>
          <w:tcPr>
            <w:tcW w:w="192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rPr>
              <w:t>21,786</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160" w:type="dxa"/>
            <w:vAlign w:val="bottom"/>
          </w:tcPr>
          <w:p>
            <w:pPr>
              <w:ind w:left="1040"/>
              <w:spacing w:after="0"/>
              <w:rPr>
                <w:sz w:val="20"/>
                <w:szCs w:val="20"/>
                <w:color w:val="auto"/>
              </w:rPr>
            </w:pPr>
            <w:r>
              <w:rPr>
                <w:rFonts w:ascii="Arial" w:cs="Arial" w:eastAsia="Arial" w:hAnsi="Arial"/>
                <w:sz w:val="16"/>
                <w:szCs w:val="16"/>
                <w:color w:val="auto"/>
              </w:rPr>
              <w:t>Total liabilities</w:t>
            </w:r>
          </w:p>
        </w:tc>
        <w:tc>
          <w:tcPr>
            <w:tcW w:w="2540" w:type="dxa"/>
            <w:vAlign w:val="bottom"/>
          </w:tcPr>
          <w:p>
            <w:pPr>
              <w:spacing w:after="0"/>
              <w:rPr>
                <w:sz w:val="16"/>
                <w:szCs w:val="16"/>
                <w:color w:val="auto"/>
              </w:rPr>
            </w:pPr>
          </w:p>
        </w:tc>
        <w:tc>
          <w:tcPr>
            <w:tcW w:w="192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rPr>
              <w:t>168,429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96"/>
        </w:trPr>
        <w:tc>
          <w:tcPr>
            <w:tcW w:w="616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2540" w:type="dxa"/>
            <w:vAlign w:val="bottom"/>
          </w:tcPr>
          <w:p>
            <w:pPr>
              <w:jc w:val="center"/>
              <w:ind w:left="535"/>
              <w:spacing w:after="0"/>
              <w:rPr>
                <w:sz w:val="20"/>
                <w:szCs w:val="20"/>
                <w:color w:val="auto"/>
              </w:rPr>
            </w:pPr>
            <w:r>
              <w:rPr>
                <w:rFonts w:ascii="Arial" w:cs="Arial" w:eastAsia="Arial" w:hAnsi="Arial"/>
                <w:sz w:val="13"/>
                <w:szCs w:val="13"/>
                <w:color w:val="auto"/>
                <w:w w:val="96"/>
              </w:rPr>
              <w:t>16</w:t>
            </w: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6160" w:type="dxa"/>
            <w:vAlign w:val="bottom"/>
          </w:tcPr>
          <w:p>
            <w:pPr>
              <w:spacing w:after="0"/>
              <w:rPr>
                <w:sz w:val="20"/>
                <w:szCs w:val="20"/>
                <w:color w:val="auto"/>
              </w:rPr>
            </w:pPr>
            <w:r>
              <w:rPr>
                <w:rFonts w:ascii="Arial" w:cs="Arial" w:eastAsia="Arial" w:hAnsi="Arial"/>
                <w:sz w:val="16"/>
                <w:szCs w:val="16"/>
                <w:color w:val="auto"/>
              </w:rPr>
              <w:t>Equity</w:t>
            </w:r>
          </w:p>
        </w:tc>
        <w:tc>
          <w:tcPr>
            <w:tcW w:w="25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160" w:type="dxa"/>
            <w:vAlign w:val="bottom"/>
          </w:tcPr>
          <w:p>
            <w:pPr>
              <w:ind w:left="340"/>
              <w:spacing w:after="0"/>
              <w:rPr>
                <w:sz w:val="20"/>
                <w:szCs w:val="20"/>
                <w:color w:val="auto"/>
              </w:rPr>
            </w:pPr>
            <w:r>
              <w:rPr>
                <w:rFonts w:ascii="Arial" w:cs="Arial" w:eastAsia="Arial" w:hAnsi="Arial"/>
                <w:sz w:val="16"/>
                <w:szCs w:val="16"/>
                <w:color w:val="auto"/>
              </w:rPr>
              <w:t>Common stock without par value</w:t>
            </w:r>
          </w:p>
        </w:tc>
        <w:tc>
          <w:tcPr>
            <w:tcW w:w="2540" w:type="dxa"/>
            <w:vAlign w:val="bottom"/>
          </w:tcPr>
          <w:p>
            <w:pPr>
              <w:spacing w:after="0"/>
              <w:rPr>
                <w:sz w:val="18"/>
                <w:szCs w:val="18"/>
                <w:color w:val="auto"/>
              </w:rPr>
            </w:pPr>
          </w:p>
        </w:tc>
        <w:tc>
          <w:tcPr>
            <w:tcW w:w="1920" w:type="dxa"/>
            <w:vAlign w:val="bottom"/>
            <w:vMerge w:val="restart"/>
          </w:tcPr>
          <w:p>
            <w:pPr>
              <w:jc w:val="right"/>
              <w:ind w:right="740"/>
              <w:spacing w:after="0"/>
              <w:rPr>
                <w:sz w:val="20"/>
                <w:szCs w:val="20"/>
                <w:color w:val="auto"/>
              </w:rPr>
            </w:pPr>
            <w:r>
              <w:rPr>
                <w:rFonts w:ascii="Arial" w:cs="Arial" w:eastAsia="Arial" w:hAnsi="Arial"/>
                <w:sz w:val="16"/>
                <w:szCs w:val="16"/>
                <w:color w:val="auto"/>
              </w:rPr>
              <w:t>10,792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160" w:type="dxa"/>
            <w:vAlign w:val="bottom"/>
          </w:tcPr>
          <w:p>
            <w:pPr>
              <w:ind w:left="700"/>
              <w:spacing w:after="0"/>
              <w:rPr>
                <w:sz w:val="20"/>
                <w:szCs w:val="20"/>
                <w:color w:val="auto"/>
              </w:rPr>
            </w:pPr>
            <w:r>
              <w:rPr>
                <w:rFonts w:ascii="Arial" w:cs="Arial" w:eastAsia="Arial" w:hAnsi="Arial"/>
                <w:sz w:val="16"/>
                <w:szCs w:val="16"/>
                <w:color w:val="auto"/>
              </w:rPr>
              <w:t>(9,000 million shares authorized, 8,019 million shares issued)</w:t>
            </w:r>
          </w:p>
        </w:tc>
        <w:tc>
          <w:tcPr>
            <w:tcW w:w="2540" w:type="dxa"/>
            <w:vAlign w:val="bottom"/>
          </w:tcPr>
          <w:p>
            <w:pPr>
              <w:spacing w:after="0"/>
              <w:rPr>
                <w:sz w:val="17"/>
                <w:szCs w:val="17"/>
                <w:color w:val="auto"/>
              </w:rPr>
            </w:pPr>
          </w:p>
        </w:tc>
        <w:tc>
          <w:tcPr>
            <w:tcW w:w="19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160" w:type="dxa"/>
            <w:vAlign w:val="bottom"/>
          </w:tcPr>
          <w:p>
            <w:pPr>
              <w:ind w:left="340"/>
              <w:spacing w:after="0"/>
              <w:rPr>
                <w:sz w:val="20"/>
                <w:szCs w:val="20"/>
                <w:color w:val="auto"/>
              </w:rPr>
            </w:pPr>
            <w:r>
              <w:rPr>
                <w:rFonts w:ascii="Arial" w:cs="Arial" w:eastAsia="Arial" w:hAnsi="Arial"/>
                <w:sz w:val="16"/>
                <w:szCs w:val="16"/>
                <w:color w:val="auto"/>
              </w:rPr>
              <w:t>Earnings reinvested</w:t>
            </w:r>
          </w:p>
        </w:tc>
        <w:tc>
          <w:tcPr>
            <w:tcW w:w="2540" w:type="dxa"/>
            <w:vAlign w:val="bottom"/>
          </w:tcPr>
          <w:p>
            <w:pPr>
              <w:spacing w:after="0"/>
              <w:rPr>
                <w:sz w:val="18"/>
                <w:szCs w:val="18"/>
                <w:color w:val="auto"/>
              </w:rPr>
            </w:pPr>
          </w:p>
        </w:tc>
        <w:tc>
          <w:tcPr>
            <w:tcW w:w="1920" w:type="dxa"/>
            <w:vAlign w:val="bottom"/>
          </w:tcPr>
          <w:p>
            <w:pPr>
              <w:jc w:val="right"/>
              <w:ind w:right="740"/>
              <w:spacing w:after="0"/>
              <w:rPr>
                <w:sz w:val="20"/>
                <w:szCs w:val="20"/>
                <w:color w:val="auto"/>
              </w:rPr>
            </w:pPr>
            <w:r>
              <w:rPr>
                <w:rFonts w:ascii="Arial" w:cs="Arial" w:eastAsia="Arial" w:hAnsi="Arial"/>
                <w:sz w:val="16"/>
                <w:szCs w:val="16"/>
                <w:color w:val="auto"/>
              </w:rPr>
              <w:t>408,384</w:t>
            </w: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0"/>
        </w:trPr>
        <w:tc>
          <w:tcPr>
            <w:tcW w:w="6160" w:type="dxa"/>
            <w:vAlign w:val="bottom"/>
          </w:tcPr>
          <w:p>
            <w:pPr>
              <w:ind w:left="340"/>
              <w:spacing w:after="0"/>
              <w:rPr>
                <w:sz w:val="20"/>
                <w:szCs w:val="20"/>
                <w:color w:val="auto"/>
              </w:rPr>
            </w:pPr>
            <w:r>
              <w:rPr>
                <w:rFonts w:ascii="Arial" w:cs="Arial" w:eastAsia="Arial" w:hAnsi="Arial"/>
                <w:sz w:val="16"/>
                <w:szCs w:val="16"/>
                <w:color w:val="auto"/>
              </w:rPr>
              <w:t>Accumulated other comprehensive income</w:t>
            </w:r>
          </w:p>
        </w:tc>
        <w:tc>
          <w:tcPr>
            <w:tcW w:w="2540" w:type="dxa"/>
            <w:vAlign w:val="bottom"/>
          </w:tcPr>
          <w:p>
            <w:pPr>
              <w:spacing w:after="0"/>
              <w:rPr>
                <w:sz w:val="19"/>
                <w:szCs w:val="19"/>
                <w:color w:val="auto"/>
              </w:rPr>
            </w:pPr>
          </w:p>
        </w:tc>
        <w:tc>
          <w:tcPr>
            <w:tcW w:w="1920" w:type="dxa"/>
            <w:vAlign w:val="bottom"/>
          </w:tcPr>
          <w:p>
            <w:pPr>
              <w:jc w:val="right"/>
              <w:ind w:right="700"/>
              <w:spacing w:after="0"/>
              <w:rPr>
                <w:sz w:val="20"/>
                <w:szCs w:val="20"/>
                <w:color w:val="auto"/>
              </w:rPr>
            </w:pPr>
            <w:r>
              <w:rPr>
                <w:rFonts w:ascii="Arial" w:cs="Arial" w:eastAsia="Arial" w:hAnsi="Arial"/>
                <w:sz w:val="16"/>
                <w:szCs w:val="16"/>
                <w:color w:val="auto"/>
              </w:rPr>
              <w:t>(18,957)</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6160" w:type="dxa"/>
            <w:vAlign w:val="bottom"/>
          </w:tcPr>
          <w:p>
            <w:pPr>
              <w:ind w:left="340"/>
              <w:spacing w:after="0"/>
              <w:rPr>
                <w:sz w:val="20"/>
                <w:szCs w:val="20"/>
                <w:color w:val="auto"/>
              </w:rPr>
            </w:pPr>
            <w:r>
              <w:rPr>
                <w:rFonts w:ascii="Arial" w:cs="Arial" w:eastAsia="Arial" w:hAnsi="Arial"/>
                <w:sz w:val="16"/>
                <w:szCs w:val="16"/>
                <w:color w:val="auto"/>
              </w:rPr>
              <w:t>Common stock held in treasury</w:t>
            </w:r>
          </w:p>
        </w:tc>
        <w:tc>
          <w:tcPr>
            <w:tcW w:w="2540" w:type="dxa"/>
            <w:vAlign w:val="bottom"/>
          </w:tcPr>
          <w:p>
            <w:pPr>
              <w:spacing w:after="0"/>
              <w:rPr>
                <w:sz w:val="18"/>
                <w:szCs w:val="18"/>
                <w:color w:val="auto"/>
              </w:rPr>
            </w:pPr>
          </w:p>
        </w:tc>
        <w:tc>
          <w:tcPr>
            <w:tcW w:w="1920" w:type="dxa"/>
            <w:vAlign w:val="bottom"/>
            <w:vMerge w:val="restart"/>
          </w:tcPr>
          <w:p>
            <w:pPr>
              <w:jc w:val="right"/>
              <w:ind w:right="700"/>
              <w:spacing w:after="0"/>
              <w:rPr>
                <w:sz w:val="20"/>
                <w:szCs w:val="20"/>
                <w:color w:val="auto"/>
              </w:rPr>
            </w:pPr>
            <w:r>
              <w:rPr>
                <w:rFonts w:ascii="Arial" w:cs="Arial" w:eastAsia="Arial" w:hAnsi="Arial"/>
                <w:sz w:val="16"/>
                <w:szCs w:val="16"/>
                <w:color w:val="auto"/>
              </w:rPr>
              <w:t>(225,820)</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6160" w:type="dxa"/>
            <w:vAlign w:val="bottom"/>
          </w:tcPr>
          <w:p>
            <w:pPr>
              <w:ind w:left="700"/>
              <w:spacing w:after="0"/>
              <w:rPr>
                <w:sz w:val="20"/>
                <w:szCs w:val="20"/>
                <w:color w:val="auto"/>
              </w:rPr>
            </w:pPr>
            <w:r>
              <w:rPr>
                <w:rFonts w:ascii="Arial" w:cs="Arial" w:eastAsia="Arial" w:hAnsi="Arial"/>
                <w:sz w:val="16"/>
                <w:szCs w:val="16"/>
                <w:color w:val="auto"/>
              </w:rPr>
              <w:t>(3,818 million shares in 2014 and 3,684 million shares in 2013)</w:t>
            </w:r>
          </w:p>
        </w:tc>
        <w:tc>
          <w:tcPr>
            <w:tcW w:w="2540" w:type="dxa"/>
            <w:vAlign w:val="bottom"/>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6160" w:type="dxa"/>
            <w:vAlign w:val="bottom"/>
          </w:tcPr>
          <w:p>
            <w:pPr>
              <w:ind w:left="1040"/>
              <w:spacing w:after="0" w:line="177" w:lineRule="exact"/>
              <w:rPr>
                <w:sz w:val="20"/>
                <w:szCs w:val="20"/>
                <w:color w:val="auto"/>
              </w:rPr>
            </w:pPr>
            <w:r>
              <w:rPr>
                <w:rFonts w:ascii="Arial" w:cs="Arial" w:eastAsia="Arial" w:hAnsi="Arial"/>
                <w:sz w:val="16"/>
                <w:szCs w:val="16"/>
                <w:color w:val="auto"/>
              </w:rPr>
              <w:t>ExxonMobil share of equity</w:t>
            </w:r>
          </w:p>
        </w:tc>
        <w:tc>
          <w:tcPr>
            <w:tcW w:w="2540" w:type="dxa"/>
            <w:vAlign w:val="bottom"/>
          </w:tcPr>
          <w:p>
            <w:pPr>
              <w:spacing w:after="0"/>
              <w:rPr>
                <w:sz w:val="15"/>
                <w:szCs w:val="15"/>
                <w:color w:val="auto"/>
              </w:rPr>
            </w:pPr>
          </w:p>
        </w:tc>
        <w:tc>
          <w:tcPr>
            <w:tcW w:w="1920" w:type="dxa"/>
            <w:vAlign w:val="bottom"/>
          </w:tcPr>
          <w:p>
            <w:pPr>
              <w:jc w:val="right"/>
              <w:ind w:right="740"/>
              <w:spacing w:after="0" w:line="177" w:lineRule="exact"/>
              <w:rPr>
                <w:sz w:val="20"/>
                <w:szCs w:val="20"/>
                <w:color w:val="auto"/>
              </w:rPr>
            </w:pPr>
            <w:r>
              <w:rPr>
                <w:rFonts w:ascii="Arial" w:cs="Arial" w:eastAsia="Arial" w:hAnsi="Arial"/>
                <w:sz w:val="16"/>
                <w:szCs w:val="16"/>
                <w:color w:val="auto"/>
              </w:rPr>
              <w:t>174,399</w:t>
            </w:r>
          </w:p>
        </w:tc>
        <w:tc>
          <w:tcPr>
            <w:tcW w:w="320" w:type="dxa"/>
            <w:vAlign w:val="bottom"/>
          </w:tcPr>
          <w:p>
            <w:pPr>
              <w:jc w:val="right"/>
              <w:spacing w:after="0" w:line="177"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0"/>
        </w:trPr>
        <w:tc>
          <w:tcPr>
            <w:tcW w:w="6160" w:type="dxa"/>
            <w:vAlign w:val="bottom"/>
          </w:tcPr>
          <w:p>
            <w:pPr>
              <w:ind w:left="340"/>
              <w:spacing w:after="0"/>
              <w:rPr>
                <w:sz w:val="20"/>
                <w:szCs w:val="20"/>
                <w:color w:val="auto"/>
              </w:rPr>
            </w:pPr>
            <w:r>
              <w:rPr>
                <w:rFonts w:ascii="Arial" w:cs="Arial" w:eastAsia="Arial" w:hAnsi="Arial"/>
                <w:sz w:val="16"/>
                <w:szCs w:val="16"/>
                <w:color w:val="auto"/>
              </w:rPr>
              <w:t>Noncontrolling interests</w:t>
            </w:r>
          </w:p>
        </w:tc>
        <w:tc>
          <w:tcPr>
            <w:tcW w:w="2540" w:type="dxa"/>
            <w:vAlign w:val="bottom"/>
          </w:tcPr>
          <w:p>
            <w:pPr>
              <w:spacing w:after="0"/>
              <w:rPr>
                <w:sz w:val="19"/>
                <w:szCs w:val="19"/>
                <w:color w:val="auto"/>
              </w:rPr>
            </w:pPr>
          </w:p>
        </w:tc>
        <w:tc>
          <w:tcPr>
            <w:tcW w:w="192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rPr>
              <w:t>6,665</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160" w:type="dxa"/>
            <w:vAlign w:val="bottom"/>
          </w:tcPr>
          <w:p>
            <w:pPr>
              <w:ind w:left="1040"/>
              <w:spacing w:after="0"/>
              <w:rPr>
                <w:sz w:val="20"/>
                <w:szCs w:val="20"/>
                <w:color w:val="auto"/>
              </w:rPr>
            </w:pPr>
            <w:r>
              <w:rPr>
                <w:rFonts w:ascii="Arial" w:cs="Arial" w:eastAsia="Arial" w:hAnsi="Arial"/>
                <w:sz w:val="16"/>
                <w:szCs w:val="16"/>
                <w:color w:val="auto"/>
              </w:rPr>
              <w:t>Total equity</w:t>
            </w:r>
          </w:p>
        </w:tc>
        <w:tc>
          <w:tcPr>
            <w:tcW w:w="2540" w:type="dxa"/>
            <w:vAlign w:val="bottom"/>
          </w:tcPr>
          <w:p>
            <w:pPr>
              <w:spacing w:after="0"/>
              <w:rPr>
                <w:sz w:val="16"/>
                <w:szCs w:val="16"/>
                <w:color w:val="auto"/>
              </w:rPr>
            </w:pPr>
          </w:p>
        </w:tc>
        <w:tc>
          <w:tcPr>
            <w:tcW w:w="192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rPr>
              <w:t>181,064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8"/>
        </w:trPr>
        <w:tc>
          <w:tcPr>
            <w:tcW w:w="6160" w:type="dxa"/>
            <w:vAlign w:val="bottom"/>
          </w:tcPr>
          <w:p>
            <w:pPr>
              <w:ind w:left="1040"/>
              <w:spacing w:after="0"/>
              <w:rPr>
                <w:sz w:val="20"/>
                <w:szCs w:val="20"/>
                <w:color w:val="auto"/>
              </w:rPr>
            </w:pPr>
            <w:r>
              <w:rPr>
                <w:rFonts w:ascii="Arial" w:cs="Arial" w:eastAsia="Arial" w:hAnsi="Arial"/>
                <w:sz w:val="16"/>
                <w:szCs w:val="16"/>
                <w:color w:val="auto"/>
              </w:rPr>
              <w:t>Total liabilities and equity</w:t>
            </w:r>
          </w:p>
        </w:tc>
        <w:tc>
          <w:tcPr>
            <w:tcW w:w="2540" w:type="dxa"/>
            <w:vAlign w:val="bottom"/>
          </w:tcPr>
          <w:p>
            <w:pPr>
              <w:spacing w:after="0"/>
              <w:rPr>
                <w:sz w:val="16"/>
                <w:szCs w:val="16"/>
                <w:color w:val="auto"/>
              </w:rPr>
            </w:pPr>
          </w:p>
        </w:tc>
        <w:tc>
          <w:tcPr>
            <w:tcW w:w="192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rPr>
              <w:t>349,493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information in the Notes to Consolidated Financial Statements is an integral part of these statements.</w:t>
      </w:r>
    </w:p>
    <w:p>
      <w:pPr>
        <w:spacing w:after="0" w:line="200" w:lineRule="exact"/>
        <w:rPr>
          <w:sz w:val="20"/>
          <w:szCs w:val="20"/>
          <w:color w:val="auto"/>
        </w:rPr>
      </w:pPr>
    </w:p>
    <w:p>
      <w:pPr>
        <w:spacing w:after="0" w:line="302"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color w:val="auto"/>
        </w:rPr>
        <w:t>CONSOLIDATED STATEMENT OF CASH FLOWS</w:t>
      </w:r>
    </w:p>
    <w:p>
      <w:pPr>
        <w:spacing w:after="0" w:line="131" w:lineRule="exact"/>
        <w:rPr>
          <w:sz w:val="20"/>
          <w:szCs w:val="20"/>
          <w:color w:val="auto"/>
        </w:rPr>
      </w:pPr>
    </w:p>
    <w:tbl>
      <w:tblPr>
        <w:tblLayout w:type="fixed"/>
        <w:tblInd w:w="5860" w:type="dxa"/>
        <w:tblCellMar>
          <w:top w:w="0" w:type="dxa"/>
          <w:left w:w="0" w:type="dxa"/>
          <w:bottom w:w="0" w:type="dxa"/>
          <w:right w:w="0" w:type="dxa"/>
        </w:tblCellMar>
      </w:tblPr>
      <w:tr>
        <w:trPr>
          <w:trHeight w:val="168"/>
        </w:trPr>
        <w:tc>
          <w:tcPr>
            <w:tcW w:w="1120" w:type="dxa"/>
            <w:vAlign w:val="bottom"/>
          </w:tcPr>
          <w:p>
            <w:pPr>
              <w:jc w:val="center"/>
              <w:ind w:right="515"/>
              <w:spacing w:after="0"/>
              <w:rPr>
                <w:sz w:val="20"/>
                <w:szCs w:val="20"/>
                <w:color w:val="auto"/>
              </w:rPr>
            </w:pPr>
            <w:r>
              <w:rPr>
                <w:rFonts w:ascii="Arial" w:cs="Arial" w:eastAsia="Arial" w:hAnsi="Arial"/>
                <w:sz w:val="13"/>
                <w:szCs w:val="13"/>
                <w:b w:val="1"/>
                <w:bCs w:val="1"/>
                <w:color w:val="auto"/>
                <w:w w:val="89"/>
              </w:rPr>
              <w:t>Note</w:t>
            </w:r>
          </w:p>
        </w:tc>
        <w:tc>
          <w:tcPr>
            <w:tcW w:w="1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6"/>
        </w:trPr>
        <w:tc>
          <w:tcPr>
            <w:tcW w:w="1120" w:type="dxa"/>
            <w:vAlign w:val="bottom"/>
          </w:tcPr>
          <w:p>
            <w:pPr>
              <w:jc w:val="center"/>
              <w:ind w:right="495"/>
              <w:spacing w:after="0"/>
              <w:rPr>
                <w:sz w:val="20"/>
                <w:szCs w:val="20"/>
                <w:color w:val="auto"/>
              </w:rPr>
            </w:pPr>
            <w:r>
              <w:rPr>
                <w:rFonts w:ascii="Arial" w:cs="Arial" w:eastAsia="Arial" w:hAnsi="Arial"/>
                <w:sz w:val="13"/>
                <w:szCs w:val="13"/>
                <w:b w:val="1"/>
                <w:bCs w:val="1"/>
                <w:color w:val="auto"/>
                <w:w w:val="89"/>
              </w:rPr>
              <w:t>Reference</w:t>
            </w:r>
          </w:p>
        </w:tc>
        <w:tc>
          <w:tcPr>
            <w:tcW w:w="15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1120" w:type="dxa"/>
            <w:vAlign w:val="bottom"/>
          </w:tcPr>
          <w:p>
            <w:pPr>
              <w:jc w:val="center"/>
              <w:ind w:right="515"/>
              <w:spacing w:after="0"/>
              <w:rPr>
                <w:sz w:val="20"/>
                <w:szCs w:val="20"/>
                <w:color w:val="auto"/>
              </w:rPr>
            </w:pPr>
            <w:r>
              <w:rPr>
                <w:rFonts w:ascii="Arial" w:cs="Arial" w:eastAsia="Arial" w:hAnsi="Arial"/>
                <w:sz w:val="13"/>
                <w:szCs w:val="13"/>
                <w:b w:val="1"/>
                <w:bCs w:val="1"/>
                <w:color w:val="auto"/>
                <w:w w:val="93"/>
              </w:rPr>
              <w:t>Number</w:t>
            </w:r>
          </w:p>
        </w:tc>
        <w:tc>
          <w:tcPr>
            <w:tcW w:w="1500" w:type="dxa"/>
            <w:vAlign w:val="bottom"/>
          </w:tcPr>
          <w:p>
            <w:pPr>
              <w:jc w:val="right"/>
              <w:ind w:right="595"/>
              <w:spacing w:after="0"/>
              <w:rPr>
                <w:sz w:val="20"/>
                <w:szCs w:val="20"/>
                <w:color w:val="auto"/>
              </w:rPr>
            </w:pPr>
            <w:r>
              <w:rPr>
                <w:rFonts w:ascii="Arial" w:cs="Arial" w:eastAsia="Arial" w:hAnsi="Arial"/>
                <w:sz w:val="13"/>
                <w:szCs w:val="13"/>
                <w:b w:val="1"/>
                <w:bCs w:val="1"/>
                <w:color w:val="auto"/>
              </w:rPr>
              <w:t>2014</w:t>
            </w:r>
          </w:p>
        </w:tc>
        <w:tc>
          <w:tcPr>
            <w:tcW w:w="1600" w:type="dxa"/>
            <w:vAlign w:val="bottom"/>
          </w:tcPr>
          <w:p>
            <w:pPr>
              <w:jc w:val="right"/>
              <w:ind w:right="615"/>
              <w:spacing w:after="0"/>
              <w:rPr>
                <w:sz w:val="20"/>
                <w:szCs w:val="20"/>
                <w:color w:val="auto"/>
              </w:rPr>
            </w:pPr>
            <w:r>
              <w:rPr>
                <w:rFonts w:ascii="Arial" w:cs="Arial" w:eastAsia="Arial" w:hAnsi="Arial"/>
                <w:sz w:val="13"/>
                <w:szCs w:val="13"/>
                <w:b w:val="1"/>
                <w:bCs w:val="1"/>
                <w:color w:val="auto"/>
              </w:rPr>
              <w:t>2013</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94309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43090" cy="7620"/>
                    </a:xfrm>
                    <a:prstGeom prst="rect">
                      <a:avLst/>
                    </a:prstGeom>
                    <a:noFill/>
                  </pic:spPr>
                </pic:pic>
              </a:graphicData>
            </a:graphic>
          </wp:anchor>
        </w:drawing>
      </w:r>
    </w:p>
    <w:p>
      <w:pPr>
        <w:ind w:left="8760"/>
        <w:spacing w:after="0"/>
        <w:rPr>
          <w:sz w:val="20"/>
          <w:szCs w:val="20"/>
          <w:color w:val="auto"/>
        </w:rPr>
      </w:pPr>
      <w:r>
        <w:rPr>
          <w:rFonts w:ascii="Arial" w:cs="Arial" w:eastAsia="Arial" w:hAnsi="Arial"/>
          <w:sz w:val="13"/>
          <w:szCs w:val="13"/>
          <w:i w:val="1"/>
          <w:iCs w:val="1"/>
          <w:color w:val="auto"/>
        </w:rPr>
        <w:t>(millions of dollars)</w:t>
      </w:r>
    </w:p>
    <w:p>
      <w:pPr>
        <w:sectPr>
          <w:pgSz w:w="11900" w:h="16838" w:orient="portrait"/>
          <w:cols w:equalWidth="0" w:num="1">
            <w:col w:w="10940"/>
          </w:cols>
          <w:pgMar w:left="820" w:top="613" w:right="139" w:bottom="1440" w:gutter="0" w:footer="0" w:header="0"/>
        </w:sectPr>
      </w:pP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operating activities</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income including noncontrolling interests</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Adjustments for noncash transactions</w:t>
      </w:r>
    </w:p>
    <w:p>
      <w:pPr>
        <w:spacing w:after="0" w:line="3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Depreciation and depletion</w:t>
      </w:r>
    </w:p>
    <w:p>
      <w:pPr>
        <w:spacing w:after="0" w:line="2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Deferred income tax charges/(credits)</w:t>
      </w:r>
    </w:p>
    <w:p>
      <w:pPr>
        <w:spacing w:after="0" w:line="2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Postretirement benefits expense</w:t>
      </w:r>
    </w:p>
    <w:p>
      <w:pPr>
        <w:spacing w:after="0" w:line="24"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in excess of/(less than) net payments</w:t>
      </w:r>
    </w:p>
    <w:p>
      <w:pPr>
        <w:spacing w:after="0" w:line="2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Other long-term obligation provisions</w:t>
      </w:r>
    </w:p>
    <w:p>
      <w:pPr>
        <w:spacing w:after="0" w:line="24"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in excess of/(less than) payments</w:t>
      </w:r>
    </w:p>
    <w:p>
      <w:pPr>
        <w:spacing w:after="0" w:line="24" w:lineRule="exact"/>
        <w:rPr>
          <w:sz w:val="20"/>
          <w:szCs w:val="20"/>
          <w:color w:val="auto"/>
        </w:rPr>
      </w:pPr>
    </w:p>
    <w:p>
      <w:pPr>
        <w:ind w:left="700" w:right="1100" w:hanging="342"/>
        <w:spacing w:after="0" w:line="271" w:lineRule="auto"/>
        <w:rPr>
          <w:sz w:val="20"/>
          <w:szCs w:val="20"/>
          <w:color w:val="auto"/>
        </w:rPr>
      </w:pPr>
      <w:r>
        <w:rPr>
          <w:rFonts w:ascii="Arial" w:cs="Arial" w:eastAsia="Arial" w:hAnsi="Arial"/>
          <w:sz w:val="16"/>
          <w:szCs w:val="16"/>
          <w:color w:val="auto"/>
        </w:rPr>
        <w:t>Dividends received greater than/(less than) equity in current earnings of equity companies</w:t>
      </w:r>
    </w:p>
    <w:p>
      <w:pPr>
        <w:spacing w:after="0" w:line="1" w:lineRule="exact"/>
        <w:rPr>
          <w:sz w:val="20"/>
          <w:szCs w:val="20"/>
          <w:color w:val="auto"/>
        </w:rPr>
      </w:pPr>
    </w:p>
    <w:p>
      <w:pPr>
        <w:jc w:val="right"/>
        <w:ind w:right="800"/>
        <w:spacing w:after="0"/>
        <w:rPr>
          <w:sz w:val="20"/>
          <w:szCs w:val="20"/>
          <w:color w:val="auto"/>
        </w:rPr>
      </w:pPr>
      <w:r>
        <w:rPr>
          <w:rFonts w:ascii="Arial" w:cs="Arial" w:eastAsia="Arial" w:hAnsi="Arial"/>
          <w:sz w:val="16"/>
          <w:szCs w:val="16"/>
          <w:color w:val="auto"/>
        </w:rPr>
        <w:t>Changes in operational working capital, excluding cash and debt</w:t>
      </w:r>
    </w:p>
    <w:p>
      <w:pPr>
        <w:spacing w:after="0" w:line="24" w:lineRule="exact"/>
        <w:rPr>
          <w:sz w:val="20"/>
          <w:szCs w:val="20"/>
          <w:color w:val="auto"/>
        </w:rPr>
      </w:pPr>
    </w:p>
    <w:p>
      <w:pPr>
        <w:jc w:val="both"/>
        <w:ind w:left="700"/>
        <w:spacing w:after="0"/>
        <w:tabs>
          <w:tab w:leader="none" w:pos="2520" w:val="left"/>
        </w:tabs>
        <w:rPr>
          <w:sz w:val="20"/>
          <w:szCs w:val="20"/>
          <w:color w:val="auto"/>
        </w:rPr>
      </w:pPr>
      <w:r>
        <w:rPr>
          <w:rFonts w:ascii="Arial" w:cs="Arial" w:eastAsia="Arial" w:hAnsi="Arial"/>
          <w:sz w:val="16"/>
          <w:szCs w:val="16"/>
          <w:color w:val="auto"/>
        </w:rPr>
        <w:t>Reduction/(increase)</w:t>
      </w:r>
      <w:r>
        <w:rPr>
          <w:sz w:val="20"/>
          <w:szCs w:val="20"/>
          <w:color w:val="auto"/>
        </w:rPr>
        <w:tab/>
      </w:r>
      <w:r>
        <w:rPr>
          <w:rFonts w:ascii="Arial" w:cs="Arial" w:eastAsia="Arial" w:hAnsi="Arial"/>
          <w:sz w:val="16"/>
          <w:szCs w:val="16"/>
          <w:color w:val="auto"/>
        </w:rPr>
        <w:t>- Notes and accounts receivable</w:t>
      </w:r>
    </w:p>
    <w:p>
      <w:pPr>
        <w:spacing w:after="0" w:line="24"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 Inventories</w:t>
      </w:r>
    </w:p>
    <w:p>
      <w:pPr>
        <w:spacing w:after="0" w:line="24"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 Other current assets</w:t>
      </w:r>
    </w:p>
    <w:p>
      <w:pPr>
        <w:spacing w:after="0" w:line="24" w:lineRule="exact"/>
        <w:rPr>
          <w:sz w:val="20"/>
          <w:szCs w:val="20"/>
          <w:color w:val="auto"/>
        </w:rPr>
      </w:pPr>
    </w:p>
    <w:p>
      <w:pPr>
        <w:ind w:left="700"/>
        <w:spacing w:after="0"/>
        <w:tabs>
          <w:tab w:leader="none" w:pos="2520" w:val="left"/>
        </w:tabs>
        <w:rPr>
          <w:sz w:val="20"/>
          <w:szCs w:val="20"/>
          <w:color w:val="auto"/>
        </w:rPr>
      </w:pPr>
      <w:r>
        <w:rPr>
          <w:rFonts w:ascii="Arial" w:cs="Arial" w:eastAsia="Arial" w:hAnsi="Arial"/>
          <w:sz w:val="15"/>
          <w:szCs w:val="15"/>
          <w:color w:val="auto"/>
        </w:rPr>
        <w:t>Increase/(reduction)</w:t>
      </w:r>
      <w:r>
        <w:rPr>
          <w:sz w:val="20"/>
          <w:szCs w:val="20"/>
          <w:color w:val="auto"/>
        </w:rPr>
        <w:tab/>
      </w:r>
      <w:r>
        <w:rPr>
          <w:rFonts w:ascii="Arial" w:cs="Arial" w:eastAsia="Arial" w:hAnsi="Arial"/>
          <w:sz w:val="15"/>
          <w:szCs w:val="15"/>
          <w:color w:val="auto"/>
        </w:rPr>
        <w:t>- Accounts and other payables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(gain) on asset sales</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other items - net</w:t>
      </w:r>
    </w:p>
    <w:p>
      <w:pPr>
        <w:spacing w:after="0" w:line="2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Net cash provided by operating activities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investing activities</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Additions to property, plant and equipment</w:t>
      </w:r>
    </w:p>
    <w:p>
      <w:pPr>
        <w:spacing w:after="0" w:line="24" w:lineRule="exact"/>
        <w:rPr>
          <w:sz w:val="20"/>
          <w:szCs w:val="20"/>
          <w:color w:val="auto"/>
        </w:rPr>
      </w:pPr>
    </w:p>
    <w:p>
      <w:pPr>
        <w:ind w:left="700" w:right="1020" w:hanging="342"/>
        <w:spacing w:after="0" w:line="310" w:lineRule="auto"/>
        <w:rPr>
          <w:sz w:val="20"/>
          <w:szCs w:val="20"/>
          <w:color w:val="auto"/>
        </w:rPr>
      </w:pPr>
      <w:r>
        <w:rPr>
          <w:rFonts w:ascii="Arial" w:cs="Arial" w:eastAsia="Arial" w:hAnsi="Arial"/>
          <w:sz w:val="14"/>
          <w:szCs w:val="14"/>
          <w:color w:val="auto"/>
        </w:rPr>
        <w:t>Proceeds associated with sales of subsidiaries, property, plant and equipment, and sales and returns of investments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Decrease/(increase) in restricted cash and cash equivalents</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Additional investments and advances</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Collection of advances</w:t>
      </w:r>
    </w:p>
    <w:p>
      <w:pPr>
        <w:spacing w:after="0" w:line="2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Net cash used in investing activities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financing activities</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Additions to long-term debt</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Reductions in long-term debt</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Additions to short-term debt</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Reductions in short-term debt</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Additions/(reductions) in debt with three months or less maturity</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Cash dividends to ExxonMobil shareholders</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Cash dividends to noncontrolling interests</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noncontrolling interests</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Tax benefits related to stock-based awards</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Common stock acquired</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Common stock sold</w:t>
      </w:r>
    </w:p>
    <w:p>
      <w:pPr>
        <w:spacing w:after="0" w:line="2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Net cash used in financing activities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Effects of exchange rate changes on cash</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Increase/(decrease) in cash and cash equivalents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year</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end of year</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1020" w:type="dxa"/>
            <w:vAlign w:val="bottom"/>
          </w:tcPr>
          <w:p>
            <w:pPr>
              <w:spacing w:after="0"/>
              <w:rPr>
                <w:sz w:val="18"/>
                <w:szCs w:val="18"/>
                <w:color w:val="auto"/>
              </w:rPr>
            </w:pPr>
          </w:p>
        </w:tc>
        <w:tc>
          <w:tcPr>
            <w:tcW w:w="1660" w:type="dxa"/>
            <w:vAlign w:val="bottom"/>
          </w:tcPr>
          <w:p>
            <w:pPr>
              <w:jc w:val="right"/>
              <w:ind w:right="498"/>
              <w:spacing w:after="0"/>
              <w:rPr>
                <w:sz w:val="20"/>
                <w:szCs w:val="20"/>
                <w:color w:val="auto"/>
              </w:rPr>
            </w:pPr>
            <w:r>
              <w:rPr>
                <w:rFonts w:ascii="Arial" w:cs="Arial" w:eastAsia="Arial" w:hAnsi="Arial"/>
                <w:sz w:val="16"/>
                <w:szCs w:val="16"/>
                <w:color w:val="auto"/>
              </w:rPr>
              <w:t>33,615</w:t>
            </w:r>
          </w:p>
        </w:tc>
        <w:tc>
          <w:tcPr>
            <w:tcW w:w="1580" w:type="dxa"/>
            <w:vAlign w:val="bottom"/>
          </w:tcPr>
          <w:p>
            <w:pPr>
              <w:jc w:val="right"/>
              <w:ind w:right="478"/>
              <w:spacing w:after="0"/>
              <w:rPr>
                <w:sz w:val="20"/>
                <w:szCs w:val="20"/>
                <w:color w:val="auto"/>
              </w:rPr>
            </w:pPr>
            <w:r>
              <w:rPr>
                <w:rFonts w:ascii="Arial" w:cs="Arial" w:eastAsia="Arial" w:hAnsi="Arial"/>
                <w:sz w:val="16"/>
                <w:szCs w:val="16"/>
                <w:color w:val="auto"/>
              </w:rPr>
              <w:t>33,448</w:t>
            </w:r>
          </w:p>
        </w:tc>
        <w:tc>
          <w:tcPr>
            <w:tcW w:w="580" w:type="dxa"/>
            <w:vAlign w:val="bottom"/>
          </w:tcPr>
          <w:p>
            <w:pPr>
              <w:spacing w:after="0"/>
              <w:rPr>
                <w:sz w:val="18"/>
                <w:szCs w:val="18"/>
                <w:color w:val="auto"/>
              </w:rPr>
            </w:pPr>
          </w:p>
        </w:tc>
      </w:tr>
      <w:tr>
        <w:trPr>
          <w:trHeight w:val="417"/>
        </w:trPr>
        <w:tc>
          <w:tcPr>
            <w:tcW w:w="1020" w:type="dxa"/>
            <w:vAlign w:val="bottom"/>
          </w:tcPr>
          <w:p>
            <w:pPr>
              <w:spacing w:after="0"/>
              <w:rPr>
                <w:sz w:val="24"/>
                <w:szCs w:val="24"/>
                <w:color w:val="auto"/>
              </w:rPr>
            </w:pPr>
          </w:p>
        </w:tc>
        <w:tc>
          <w:tcPr>
            <w:tcW w:w="1660" w:type="dxa"/>
            <w:vAlign w:val="bottom"/>
          </w:tcPr>
          <w:p>
            <w:pPr>
              <w:jc w:val="right"/>
              <w:ind w:right="498"/>
              <w:spacing w:after="0"/>
              <w:rPr>
                <w:sz w:val="20"/>
                <w:szCs w:val="20"/>
                <w:color w:val="auto"/>
              </w:rPr>
            </w:pPr>
            <w:r>
              <w:rPr>
                <w:rFonts w:ascii="Arial" w:cs="Arial" w:eastAsia="Arial" w:hAnsi="Arial"/>
                <w:sz w:val="16"/>
                <w:szCs w:val="16"/>
                <w:color w:val="auto"/>
              </w:rPr>
              <w:t>17,297</w:t>
            </w:r>
          </w:p>
        </w:tc>
        <w:tc>
          <w:tcPr>
            <w:tcW w:w="1580" w:type="dxa"/>
            <w:vAlign w:val="bottom"/>
          </w:tcPr>
          <w:p>
            <w:pPr>
              <w:jc w:val="right"/>
              <w:ind w:right="478"/>
              <w:spacing w:after="0"/>
              <w:rPr>
                <w:sz w:val="20"/>
                <w:szCs w:val="20"/>
                <w:color w:val="auto"/>
              </w:rPr>
            </w:pPr>
            <w:r>
              <w:rPr>
                <w:rFonts w:ascii="Arial" w:cs="Arial" w:eastAsia="Arial" w:hAnsi="Arial"/>
                <w:sz w:val="16"/>
                <w:szCs w:val="16"/>
                <w:color w:val="auto"/>
              </w:rPr>
              <w:t>17,182</w:t>
            </w:r>
          </w:p>
        </w:tc>
        <w:tc>
          <w:tcPr>
            <w:tcW w:w="580" w:type="dxa"/>
            <w:vAlign w:val="bottom"/>
          </w:tcPr>
          <w:p>
            <w:pPr>
              <w:spacing w:after="0"/>
              <w:rPr>
                <w:sz w:val="24"/>
                <w:szCs w:val="24"/>
                <w:color w:val="auto"/>
              </w:rPr>
            </w:pPr>
          </w:p>
        </w:tc>
      </w:tr>
      <w:tr>
        <w:trPr>
          <w:trHeight w:val="208"/>
        </w:trPr>
        <w:tc>
          <w:tcPr>
            <w:tcW w:w="1020" w:type="dxa"/>
            <w:vAlign w:val="bottom"/>
          </w:tcPr>
          <w:p>
            <w:pPr>
              <w:spacing w:after="0"/>
              <w:rPr>
                <w:sz w:val="18"/>
                <w:szCs w:val="18"/>
                <w:color w:val="auto"/>
              </w:rPr>
            </w:pPr>
          </w:p>
        </w:tc>
        <w:tc>
          <w:tcPr>
            <w:tcW w:w="1660" w:type="dxa"/>
            <w:vAlign w:val="bottom"/>
          </w:tcPr>
          <w:p>
            <w:pPr>
              <w:jc w:val="right"/>
              <w:ind w:right="498"/>
              <w:spacing w:after="0"/>
              <w:rPr>
                <w:sz w:val="20"/>
                <w:szCs w:val="20"/>
                <w:color w:val="auto"/>
              </w:rPr>
            </w:pPr>
            <w:r>
              <w:rPr>
                <w:rFonts w:ascii="Arial" w:cs="Arial" w:eastAsia="Arial" w:hAnsi="Arial"/>
                <w:sz w:val="16"/>
                <w:szCs w:val="16"/>
                <w:color w:val="auto"/>
              </w:rPr>
              <w:t>1,540</w:t>
            </w:r>
          </w:p>
        </w:tc>
        <w:tc>
          <w:tcPr>
            <w:tcW w:w="1580" w:type="dxa"/>
            <w:vAlign w:val="bottom"/>
          </w:tcPr>
          <w:p>
            <w:pPr>
              <w:jc w:val="right"/>
              <w:ind w:right="478"/>
              <w:spacing w:after="0"/>
              <w:rPr>
                <w:sz w:val="20"/>
                <w:szCs w:val="20"/>
                <w:color w:val="auto"/>
              </w:rPr>
            </w:pPr>
            <w:r>
              <w:rPr>
                <w:rFonts w:ascii="Arial" w:cs="Arial" w:eastAsia="Arial" w:hAnsi="Arial"/>
                <w:sz w:val="16"/>
                <w:szCs w:val="16"/>
                <w:color w:val="auto"/>
              </w:rPr>
              <w:t>754</w:t>
            </w:r>
          </w:p>
        </w:tc>
        <w:tc>
          <w:tcPr>
            <w:tcW w:w="580" w:type="dxa"/>
            <w:vAlign w:val="bottom"/>
          </w:tcPr>
          <w:p>
            <w:pPr>
              <w:spacing w:after="0"/>
              <w:rPr>
                <w:sz w:val="18"/>
                <w:szCs w:val="18"/>
                <w:color w:val="auto"/>
              </w:rPr>
            </w:pPr>
          </w:p>
        </w:tc>
      </w:tr>
      <w:tr>
        <w:trPr>
          <w:trHeight w:val="417"/>
        </w:trPr>
        <w:tc>
          <w:tcPr>
            <w:tcW w:w="1020" w:type="dxa"/>
            <w:vAlign w:val="bottom"/>
          </w:tcPr>
          <w:p>
            <w:pPr>
              <w:spacing w:after="0"/>
              <w:rPr>
                <w:sz w:val="24"/>
                <w:szCs w:val="24"/>
                <w:color w:val="auto"/>
              </w:rPr>
            </w:pPr>
          </w:p>
        </w:tc>
        <w:tc>
          <w:tcPr>
            <w:tcW w:w="1660" w:type="dxa"/>
            <w:vAlign w:val="bottom"/>
          </w:tcPr>
          <w:p>
            <w:pPr>
              <w:jc w:val="right"/>
              <w:ind w:right="498"/>
              <w:spacing w:after="0"/>
              <w:rPr>
                <w:sz w:val="20"/>
                <w:szCs w:val="20"/>
                <w:color w:val="auto"/>
              </w:rPr>
            </w:pPr>
            <w:r>
              <w:rPr>
                <w:rFonts w:ascii="Arial" w:cs="Arial" w:eastAsia="Arial" w:hAnsi="Arial"/>
                <w:sz w:val="16"/>
                <w:szCs w:val="16"/>
                <w:color w:val="auto"/>
              </w:rPr>
              <w:t>524</w:t>
            </w:r>
          </w:p>
        </w:tc>
        <w:tc>
          <w:tcPr>
            <w:tcW w:w="1580" w:type="dxa"/>
            <w:vAlign w:val="bottom"/>
          </w:tcPr>
          <w:p>
            <w:pPr>
              <w:jc w:val="right"/>
              <w:ind w:right="478"/>
              <w:spacing w:after="0"/>
              <w:rPr>
                <w:sz w:val="20"/>
                <w:szCs w:val="20"/>
                <w:color w:val="auto"/>
              </w:rPr>
            </w:pPr>
            <w:r>
              <w:rPr>
                <w:rFonts w:ascii="Arial" w:cs="Arial" w:eastAsia="Arial" w:hAnsi="Arial"/>
                <w:sz w:val="16"/>
                <w:szCs w:val="16"/>
                <w:color w:val="auto"/>
              </w:rPr>
              <w:t>2,291</w:t>
            </w:r>
          </w:p>
        </w:tc>
        <w:tc>
          <w:tcPr>
            <w:tcW w:w="580" w:type="dxa"/>
            <w:vAlign w:val="bottom"/>
          </w:tcPr>
          <w:p>
            <w:pPr>
              <w:spacing w:after="0"/>
              <w:rPr>
                <w:sz w:val="24"/>
                <w:szCs w:val="24"/>
                <w:color w:val="auto"/>
              </w:rPr>
            </w:pPr>
          </w:p>
        </w:tc>
      </w:tr>
      <w:tr>
        <w:trPr>
          <w:trHeight w:val="417"/>
        </w:trPr>
        <w:tc>
          <w:tcPr>
            <w:tcW w:w="1020" w:type="dxa"/>
            <w:vAlign w:val="bottom"/>
          </w:tcPr>
          <w:p>
            <w:pPr>
              <w:spacing w:after="0"/>
              <w:rPr>
                <w:sz w:val="24"/>
                <w:szCs w:val="24"/>
                <w:color w:val="auto"/>
              </w:rPr>
            </w:pPr>
          </w:p>
        </w:tc>
        <w:tc>
          <w:tcPr>
            <w:tcW w:w="1660" w:type="dxa"/>
            <w:vAlign w:val="bottom"/>
          </w:tcPr>
          <w:p>
            <w:pPr>
              <w:jc w:val="right"/>
              <w:ind w:right="498"/>
              <w:spacing w:after="0"/>
              <w:rPr>
                <w:sz w:val="20"/>
                <w:szCs w:val="20"/>
                <w:color w:val="auto"/>
              </w:rPr>
            </w:pPr>
            <w:r>
              <w:rPr>
                <w:rFonts w:ascii="Arial" w:cs="Arial" w:eastAsia="Arial" w:hAnsi="Arial"/>
                <w:sz w:val="16"/>
                <w:szCs w:val="16"/>
                <w:color w:val="auto"/>
              </w:rPr>
              <w:t>1,404</w:t>
            </w:r>
          </w:p>
        </w:tc>
        <w:tc>
          <w:tcPr>
            <w:tcW w:w="1580" w:type="dxa"/>
            <w:vAlign w:val="bottom"/>
          </w:tcPr>
          <w:p>
            <w:pPr>
              <w:jc w:val="right"/>
              <w:ind w:right="438"/>
              <w:spacing w:after="0"/>
              <w:rPr>
                <w:sz w:val="20"/>
                <w:szCs w:val="20"/>
                <w:color w:val="auto"/>
              </w:rPr>
            </w:pPr>
            <w:r>
              <w:rPr>
                <w:rFonts w:ascii="Arial" w:cs="Arial" w:eastAsia="Arial" w:hAnsi="Arial"/>
                <w:sz w:val="16"/>
                <w:szCs w:val="16"/>
                <w:color w:val="auto"/>
              </w:rPr>
              <w:t>(2,566)</w:t>
            </w:r>
          </w:p>
        </w:tc>
        <w:tc>
          <w:tcPr>
            <w:tcW w:w="580" w:type="dxa"/>
            <w:vAlign w:val="bottom"/>
          </w:tcPr>
          <w:p>
            <w:pPr>
              <w:spacing w:after="0"/>
              <w:rPr>
                <w:sz w:val="24"/>
                <w:szCs w:val="24"/>
                <w:color w:val="auto"/>
              </w:rPr>
            </w:pPr>
          </w:p>
        </w:tc>
      </w:tr>
      <w:tr>
        <w:trPr>
          <w:trHeight w:val="417"/>
        </w:trPr>
        <w:tc>
          <w:tcPr>
            <w:tcW w:w="1020" w:type="dxa"/>
            <w:vAlign w:val="bottom"/>
          </w:tcPr>
          <w:p>
            <w:pPr>
              <w:spacing w:after="0"/>
              <w:rPr>
                <w:sz w:val="24"/>
                <w:szCs w:val="24"/>
                <w:color w:val="auto"/>
              </w:rPr>
            </w:pPr>
          </w:p>
        </w:tc>
        <w:tc>
          <w:tcPr>
            <w:tcW w:w="1660" w:type="dxa"/>
            <w:vAlign w:val="bottom"/>
          </w:tcPr>
          <w:p>
            <w:pPr>
              <w:jc w:val="right"/>
              <w:ind w:right="438"/>
              <w:spacing w:after="0"/>
              <w:rPr>
                <w:sz w:val="20"/>
                <w:szCs w:val="20"/>
                <w:color w:val="auto"/>
              </w:rPr>
            </w:pPr>
            <w:r>
              <w:rPr>
                <w:rFonts w:ascii="Arial" w:cs="Arial" w:eastAsia="Arial" w:hAnsi="Arial"/>
                <w:sz w:val="16"/>
                <w:szCs w:val="16"/>
                <w:color w:val="auto"/>
              </w:rPr>
              <w:t>(358)</w:t>
            </w:r>
          </w:p>
        </w:tc>
        <w:tc>
          <w:tcPr>
            <w:tcW w:w="1580" w:type="dxa"/>
            <w:vAlign w:val="bottom"/>
          </w:tcPr>
          <w:p>
            <w:pPr>
              <w:jc w:val="right"/>
              <w:ind w:right="478"/>
              <w:spacing w:after="0"/>
              <w:rPr>
                <w:sz w:val="20"/>
                <w:szCs w:val="20"/>
                <w:color w:val="auto"/>
              </w:rPr>
            </w:pPr>
            <w:r>
              <w:rPr>
                <w:rFonts w:ascii="Arial" w:cs="Arial" w:eastAsia="Arial" w:hAnsi="Arial"/>
                <w:sz w:val="16"/>
                <w:szCs w:val="16"/>
                <w:color w:val="auto"/>
              </w:rPr>
              <w:t>3</w:t>
            </w:r>
          </w:p>
        </w:tc>
        <w:tc>
          <w:tcPr>
            <w:tcW w:w="580" w:type="dxa"/>
            <w:vAlign w:val="bottom"/>
          </w:tcPr>
          <w:p>
            <w:pPr>
              <w:spacing w:after="0"/>
              <w:rPr>
                <w:sz w:val="24"/>
                <w:szCs w:val="24"/>
                <w:color w:val="auto"/>
              </w:rPr>
            </w:pPr>
          </w:p>
        </w:tc>
      </w:tr>
      <w:tr>
        <w:trPr>
          <w:trHeight w:val="417"/>
        </w:trPr>
        <w:tc>
          <w:tcPr>
            <w:tcW w:w="1020" w:type="dxa"/>
            <w:vAlign w:val="bottom"/>
          </w:tcPr>
          <w:p>
            <w:pPr>
              <w:spacing w:after="0"/>
              <w:rPr>
                <w:sz w:val="24"/>
                <w:szCs w:val="24"/>
                <w:color w:val="auto"/>
              </w:rPr>
            </w:pPr>
          </w:p>
        </w:tc>
        <w:tc>
          <w:tcPr>
            <w:tcW w:w="1660" w:type="dxa"/>
            <w:vAlign w:val="bottom"/>
          </w:tcPr>
          <w:p>
            <w:pPr>
              <w:jc w:val="right"/>
              <w:ind w:right="498"/>
              <w:spacing w:after="0"/>
              <w:rPr>
                <w:sz w:val="20"/>
                <w:szCs w:val="20"/>
                <w:color w:val="auto"/>
              </w:rPr>
            </w:pPr>
            <w:r>
              <w:rPr>
                <w:rFonts w:ascii="Arial" w:cs="Arial" w:eastAsia="Arial" w:hAnsi="Arial"/>
                <w:sz w:val="16"/>
                <w:szCs w:val="16"/>
                <w:color w:val="auto"/>
              </w:rPr>
              <w:t>3,118</w:t>
            </w:r>
          </w:p>
        </w:tc>
        <w:tc>
          <w:tcPr>
            <w:tcW w:w="1580" w:type="dxa"/>
            <w:vAlign w:val="bottom"/>
          </w:tcPr>
          <w:p>
            <w:pPr>
              <w:jc w:val="right"/>
              <w:ind w:right="438"/>
              <w:spacing w:after="0"/>
              <w:rPr>
                <w:sz w:val="20"/>
                <w:szCs w:val="20"/>
                <w:color w:val="auto"/>
              </w:rPr>
            </w:pPr>
            <w:r>
              <w:rPr>
                <w:rFonts w:ascii="Arial" w:cs="Arial" w:eastAsia="Arial" w:hAnsi="Arial"/>
                <w:sz w:val="16"/>
                <w:szCs w:val="16"/>
                <w:color w:val="auto"/>
              </w:rPr>
              <w:t>(305)</w:t>
            </w:r>
          </w:p>
        </w:tc>
        <w:tc>
          <w:tcPr>
            <w:tcW w:w="580" w:type="dxa"/>
            <w:vAlign w:val="bottom"/>
          </w:tcPr>
          <w:p>
            <w:pPr>
              <w:spacing w:after="0"/>
              <w:rPr>
                <w:sz w:val="24"/>
                <w:szCs w:val="24"/>
                <w:color w:val="auto"/>
              </w:rPr>
            </w:pPr>
          </w:p>
        </w:tc>
      </w:tr>
      <w:tr>
        <w:trPr>
          <w:trHeight w:val="208"/>
        </w:trPr>
        <w:tc>
          <w:tcPr>
            <w:tcW w:w="1020" w:type="dxa"/>
            <w:vAlign w:val="bottom"/>
          </w:tcPr>
          <w:p>
            <w:pPr>
              <w:spacing w:after="0"/>
              <w:rPr>
                <w:sz w:val="18"/>
                <w:szCs w:val="18"/>
                <w:color w:val="auto"/>
              </w:rPr>
            </w:pPr>
          </w:p>
        </w:tc>
        <w:tc>
          <w:tcPr>
            <w:tcW w:w="1660" w:type="dxa"/>
            <w:vAlign w:val="bottom"/>
          </w:tcPr>
          <w:p>
            <w:pPr>
              <w:jc w:val="right"/>
              <w:ind w:right="438"/>
              <w:spacing w:after="0"/>
              <w:rPr>
                <w:sz w:val="20"/>
                <w:szCs w:val="20"/>
                <w:color w:val="auto"/>
              </w:rPr>
            </w:pPr>
            <w:r>
              <w:rPr>
                <w:rFonts w:ascii="Arial" w:cs="Arial" w:eastAsia="Arial" w:hAnsi="Arial"/>
                <w:sz w:val="16"/>
                <w:szCs w:val="16"/>
                <w:color w:val="auto"/>
              </w:rPr>
              <w:t>(1,343)</w:t>
            </w:r>
          </w:p>
        </w:tc>
        <w:tc>
          <w:tcPr>
            <w:tcW w:w="1580" w:type="dxa"/>
            <w:vAlign w:val="bottom"/>
          </w:tcPr>
          <w:p>
            <w:pPr>
              <w:jc w:val="right"/>
              <w:ind w:right="438"/>
              <w:spacing w:after="0"/>
              <w:rPr>
                <w:sz w:val="20"/>
                <w:szCs w:val="20"/>
                <w:color w:val="auto"/>
              </w:rPr>
            </w:pPr>
            <w:r>
              <w:rPr>
                <w:rFonts w:ascii="Arial" w:cs="Arial" w:eastAsia="Arial" w:hAnsi="Arial"/>
                <w:sz w:val="16"/>
                <w:szCs w:val="16"/>
                <w:color w:val="auto"/>
              </w:rPr>
              <w:t>(1,812)</w:t>
            </w:r>
          </w:p>
        </w:tc>
        <w:tc>
          <w:tcPr>
            <w:tcW w:w="580" w:type="dxa"/>
            <w:vAlign w:val="bottom"/>
          </w:tcPr>
          <w:p>
            <w:pPr>
              <w:spacing w:after="0"/>
              <w:rPr>
                <w:sz w:val="18"/>
                <w:szCs w:val="18"/>
                <w:color w:val="auto"/>
              </w:rPr>
            </w:pPr>
          </w:p>
        </w:tc>
      </w:tr>
      <w:tr>
        <w:trPr>
          <w:trHeight w:val="208"/>
        </w:trPr>
        <w:tc>
          <w:tcPr>
            <w:tcW w:w="1020" w:type="dxa"/>
            <w:vAlign w:val="bottom"/>
          </w:tcPr>
          <w:p>
            <w:pPr>
              <w:spacing w:after="0"/>
              <w:rPr>
                <w:sz w:val="18"/>
                <w:szCs w:val="18"/>
                <w:color w:val="auto"/>
              </w:rPr>
            </w:pPr>
          </w:p>
        </w:tc>
        <w:tc>
          <w:tcPr>
            <w:tcW w:w="1660" w:type="dxa"/>
            <w:vAlign w:val="bottom"/>
          </w:tcPr>
          <w:p>
            <w:pPr>
              <w:jc w:val="right"/>
              <w:ind w:right="438"/>
              <w:spacing w:after="0"/>
              <w:rPr>
                <w:sz w:val="20"/>
                <w:szCs w:val="20"/>
                <w:color w:val="auto"/>
              </w:rPr>
            </w:pPr>
            <w:r>
              <w:rPr>
                <w:rFonts w:ascii="Arial" w:cs="Arial" w:eastAsia="Arial" w:hAnsi="Arial"/>
                <w:sz w:val="16"/>
                <w:szCs w:val="16"/>
                <w:color w:val="auto"/>
              </w:rPr>
              <w:t>(68)</w:t>
            </w:r>
          </w:p>
        </w:tc>
        <w:tc>
          <w:tcPr>
            <w:tcW w:w="1580" w:type="dxa"/>
            <w:vAlign w:val="bottom"/>
          </w:tcPr>
          <w:p>
            <w:pPr>
              <w:jc w:val="right"/>
              <w:ind w:right="438"/>
              <w:spacing w:after="0"/>
              <w:rPr>
                <w:sz w:val="20"/>
                <w:szCs w:val="20"/>
                <w:color w:val="auto"/>
              </w:rPr>
            </w:pPr>
            <w:r>
              <w:rPr>
                <w:rFonts w:ascii="Arial" w:cs="Arial" w:eastAsia="Arial" w:hAnsi="Arial"/>
                <w:sz w:val="16"/>
                <w:szCs w:val="16"/>
                <w:color w:val="auto"/>
              </w:rPr>
              <w:t>(105)</w:t>
            </w:r>
          </w:p>
        </w:tc>
        <w:tc>
          <w:tcPr>
            <w:tcW w:w="580" w:type="dxa"/>
            <w:vAlign w:val="bottom"/>
          </w:tcPr>
          <w:p>
            <w:pPr>
              <w:spacing w:after="0"/>
              <w:rPr>
                <w:sz w:val="18"/>
                <w:szCs w:val="18"/>
                <w:color w:val="auto"/>
              </w:rPr>
            </w:pPr>
          </w:p>
        </w:tc>
      </w:tr>
      <w:tr>
        <w:trPr>
          <w:trHeight w:val="208"/>
        </w:trPr>
        <w:tc>
          <w:tcPr>
            <w:tcW w:w="1020" w:type="dxa"/>
            <w:vAlign w:val="bottom"/>
          </w:tcPr>
          <w:p>
            <w:pPr>
              <w:spacing w:after="0"/>
              <w:rPr>
                <w:sz w:val="18"/>
                <w:szCs w:val="18"/>
                <w:color w:val="auto"/>
              </w:rPr>
            </w:pPr>
          </w:p>
        </w:tc>
        <w:tc>
          <w:tcPr>
            <w:tcW w:w="1660" w:type="dxa"/>
            <w:vAlign w:val="bottom"/>
          </w:tcPr>
          <w:p>
            <w:pPr>
              <w:jc w:val="right"/>
              <w:ind w:right="438"/>
              <w:spacing w:after="0"/>
              <w:rPr>
                <w:sz w:val="20"/>
                <w:szCs w:val="20"/>
                <w:color w:val="auto"/>
              </w:rPr>
            </w:pPr>
            <w:r>
              <w:rPr>
                <w:rFonts w:ascii="Arial" w:cs="Arial" w:eastAsia="Arial" w:hAnsi="Arial"/>
                <w:sz w:val="16"/>
                <w:szCs w:val="16"/>
                <w:color w:val="auto"/>
              </w:rPr>
              <w:t>(6,639)</w:t>
            </w:r>
          </w:p>
        </w:tc>
        <w:tc>
          <w:tcPr>
            <w:tcW w:w="1580" w:type="dxa"/>
            <w:vAlign w:val="bottom"/>
          </w:tcPr>
          <w:p>
            <w:pPr>
              <w:jc w:val="right"/>
              <w:ind w:right="438"/>
              <w:spacing w:after="0"/>
              <w:rPr>
                <w:sz w:val="20"/>
                <w:szCs w:val="20"/>
                <w:color w:val="auto"/>
              </w:rPr>
            </w:pPr>
            <w:r>
              <w:rPr>
                <w:rFonts w:ascii="Arial" w:cs="Arial" w:eastAsia="Arial" w:hAnsi="Arial"/>
                <w:sz w:val="16"/>
                <w:szCs w:val="16"/>
                <w:color w:val="auto"/>
              </w:rPr>
              <w:t>(2,498)</w:t>
            </w:r>
          </w:p>
        </w:tc>
        <w:tc>
          <w:tcPr>
            <w:tcW w:w="580" w:type="dxa"/>
            <w:vAlign w:val="bottom"/>
          </w:tcPr>
          <w:p>
            <w:pPr>
              <w:spacing w:after="0"/>
              <w:rPr>
                <w:sz w:val="18"/>
                <w:szCs w:val="18"/>
                <w:color w:val="auto"/>
              </w:rPr>
            </w:pPr>
          </w:p>
        </w:tc>
      </w:tr>
      <w:tr>
        <w:trPr>
          <w:trHeight w:val="209"/>
        </w:trPr>
        <w:tc>
          <w:tcPr>
            <w:tcW w:w="1020" w:type="dxa"/>
            <w:vAlign w:val="bottom"/>
          </w:tcPr>
          <w:p>
            <w:pPr>
              <w:jc w:val="right"/>
              <w:ind w:right="911"/>
              <w:spacing w:after="0"/>
              <w:rPr>
                <w:sz w:val="20"/>
                <w:szCs w:val="20"/>
                <w:color w:val="auto"/>
              </w:rPr>
            </w:pPr>
            <w:r>
              <w:rPr>
                <w:rFonts w:ascii="Arial" w:cs="Arial" w:eastAsia="Arial" w:hAnsi="Arial"/>
                <w:sz w:val="10"/>
                <w:szCs w:val="10"/>
                <w:color w:val="auto"/>
                <w:w w:val="71"/>
              </w:rPr>
              <w:t>5</w:t>
            </w:r>
          </w:p>
        </w:tc>
        <w:tc>
          <w:tcPr>
            <w:tcW w:w="1660" w:type="dxa"/>
            <w:vAlign w:val="bottom"/>
          </w:tcPr>
          <w:p>
            <w:pPr>
              <w:jc w:val="right"/>
              <w:ind w:right="438"/>
              <w:spacing w:after="0"/>
              <w:rPr>
                <w:sz w:val="20"/>
                <w:szCs w:val="20"/>
                <w:color w:val="auto"/>
              </w:rPr>
            </w:pPr>
            <w:r>
              <w:rPr>
                <w:rFonts w:ascii="Arial" w:cs="Arial" w:eastAsia="Arial" w:hAnsi="Arial"/>
                <w:sz w:val="16"/>
                <w:szCs w:val="16"/>
                <w:color w:val="auto"/>
              </w:rPr>
              <w:t>(3,151)</w:t>
            </w:r>
          </w:p>
        </w:tc>
        <w:tc>
          <w:tcPr>
            <w:tcW w:w="1580" w:type="dxa"/>
            <w:vAlign w:val="bottom"/>
          </w:tcPr>
          <w:p>
            <w:pPr>
              <w:jc w:val="right"/>
              <w:ind w:right="438"/>
              <w:spacing w:after="0"/>
              <w:rPr>
                <w:sz w:val="20"/>
                <w:szCs w:val="20"/>
                <w:color w:val="auto"/>
              </w:rPr>
            </w:pPr>
            <w:r>
              <w:rPr>
                <w:rFonts w:ascii="Arial" w:cs="Arial" w:eastAsia="Arial" w:hAnsi="Arial"/>
                <w:sz w:val="16"/>
                <w:szCs w:val="16"/>
                <w:color w:val="auto"/>
              </w:rPr>
              <w:t>(1,828)</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1020" w:type="dxa"/>
            <w:vAlign w:val="bottom"/>
          </w:tcPr>
          <w:p>
            <w:pPr>
              <w:spacing w:after="0"/>
              <w:rPr>
                <w:sz w:val="18"/>
                <w:szCs w:val="18"/>
                <w:color w:val="auto"/>
              </w:rPr>
            </w:pPr>
          </w:p>
        </w:tc>
        <w:tc>
          <w:tcPr>
            <w:tcW w:w="16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color w:val="auto"/>
              </w:rPr>
              <w:t>(823)</w:t>
            </w:r>
          </w:p>
        </w:tc>
        <w:tc>
          <w:tcPr>
            <w:tcW w:w="158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color w:val="auto"/>
              </w:rPr>
              <w:t>350</w:t>
            </w:r>
          </w:p>
        </w:tc>
        <w:tc>
          <w:tcPr>
            <w:tcW w:w="580" w:type="dxa"/>
            <w:vAlign w:val="bottom"/>
            <w:tcBorders>
              <w:bottom w:val="single" w:sz="8" w:color="auto"/>
            </w:tcBorders>
          </w:tcPr>
          <w:p>
            <w:pPr>
              <w:spacing w:after="0"/>
              <w:rPr>
                <w:sz w:val="18"/>
                <w:szCs w:val="18"/>
                <w:color w:val="auto"/>
              </w:rPr>
            </w:pPr>
          </w:p>
        </w:tc>
      </w:tr>
      <w:tr>
        <w:trPr>
          <w:trHeight w:val="195"/>
        </w:trPr>
        <w:tc>
          <w:tcPr>
            <w:tcW w:w="1020" w:type="dxa"/>
            <w:vAlign w:val="bottom"/>
          </w:tcPr>
          <w:p>
            <w:pPr>
              <w:spacing w:after="0"/>
              <w:rPr>
                <w:sz w:val="16"/>
                <w:szCs w:val="16"/>
                <w:color w:val="auto"/>
              </w:rPr>
            </w:pPr>
          </w:p>
        </w:tc>
        <w:tc>
          <w:tcPr>
            <w:tcW w:w="166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color w:val="auto"/>
              </w:rPr>
              <w:t>45,116</w:t>
            </w:r>
          </w:p>
        </w:tc>
        <w:tc>
          <w:tcPr>
            <w:tcW w:w="158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color w:val="auto"/>
              </w:rPr>
              <w:t>44,914</w:t>
            </w:r>
          </w:p>
        </w:tc>
        <w:tc>
          <w:tcPr>
            <w:tcW w:w="580" w:type="dxa"/>
            <w:vAlign w:val="bottom"/>
            <w:tcBorders>
              <w:bottom w:val="single" w:sz="8" w:color="auto"/>
            </w:tcBorders>
          </w:tcPr>
          <w:p>
            <w:pPr>
              <w:spacing w:after="0"/>
              <w:rPr>
                <w:sz w:val="16"/>
                <w:szCs w:val="16"/>
                <w:color w:val="auto"/>
              </w:rPr>
            </w:pPr>
          </w:p>
        </w:tc>
      </w:tr>
      <w:tr>
        <w:trPr>
          <w:trHeight w:val="592"/>
        </w:trPr>
        <w:tc>
          <w:tcPr>
            <w:tcW w:w="1020" w:type="dxa"/>
            <w:vAlign w:val="bottom"/>
          </w:tcPr>
          <w:p>
            <w:pPr>
              <w:spacing w:after="0"/>
              <w:rPr>
                <w:sz w:val="24"/>
                <w:szCs w:val="24"/>
                <w:color w:val="auto"/>
              </w:rPr>
            </w:pPr>
          </w:p>
        </w:tc>
        <w:tc>
          <w:tcPr>
            <w:tcW w:w="1660" w:type="dxa"/>
            <w:vAlign w:val="bottom"/>
          </w:tcPr>
          <w:p>
            <w:pPr>
              <w:jc w:val="right"/>
              <w:ind w:right="438"/>
              <w:spacing w:after="0"/>
              <w:rPr>
                <w:sz w:val="20"/>
                <w:szCs w:val="20"/>
                <w:color w:val="auto"/>
              </w:rPr>
            </w:pPr>
            <w:r>
              <w:rPr>
                <w:rFonts w:ascii="Arial" w:cs="Arial" w:eastAsia="Arial" w:hAnsi="Arial"/>
                <w:sz w:val="16"/>
                <w:szCs w:val="16"/>
                <w:color w:val="auto"/>
              </w:rPr>
              <w:t>(32,952)</w:t>
            </w:r>
          </w:p>
        </w:tc>
        <w:tc>
          <w:tcPr>
            <w:tcW w:w="1580" w:type="dxa"/>
            <w:vAlign w:val="bottom"/>
          </w:tcPr>
          <w:p>
            <w:pPr>
              <w:jc w:val="right"/>
              <w:ind w:right="438"/>
              <w:spacing w:after="0"/>
              <w:rPr>
                <w:sz w:val="20"/>
                <w:szCs w:val="20"/>
                <w:color w:val="auto"/>
              </w:rPr>
            </w:pPr>
            <w:r>
              <w:rPr>
                <w:rFonts w:ascii="Arial" w:cs="Arial" w:eastAsia="Arial" w:hAnsi="Arial"/>
                <w:sz w:val="16"/>
                <w:szCs w:val="16"/>
                <w:color w:val="auto"/>
              </w:rPr>
              <w:t>(33,669)</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17"/>
        </w:trPr>
        <w:tc>
          <w:tcPr>
            <w:tcW w:w="1020" w:type="dxa"/>
            <w:vAlign w:val="bottom"/>
          </w:tcPr>
          <w:p>
            <w:pPr>
              <w:jc w:val="right"/>
              <w:ind w:right="911"/>
              <w:spacing w:after="0"/>
              <w:rPr>
                <w:sz w:val="20"/>
                <w:szCs w:val="20"/>
                <w:color w:val="auto"/>
              </w:rPr>
            </w:pPr>
            <w:r>
              <w:rPr>
                <w:rFonts w:ascii="Arial" w:cs="Arial" w:eastAsia="Arial" w:hAnsi="Arial"/>
                <w:sz w:val="10"/>
                <w:szCs w:val="10"/>
                <w:color w:val="auto"/>
                <w:w w:val="71"/>
              </w:rPr>
              <w:t>5</w:t>
            </w:r>
          </w:p>
        </w:tc>
        <w:tc>
          <w:tcPr>
            <w:tcW w:w="1660" w:type="dxa"/>
            <w:vAlign w:val="bottom"/>
          </w:tcPr>
          <w:p>
            <w:pPr>
              <w:jc w:val="right"/>
              <w:ind w:right="498"/>
              <w:spacing w:after="0"/>
              <w:rPr>
                <w:sz w:val="20"/>
                <w:szCs w:val="20"/>
                <w:color w:val="auto"/>
              </w:rPr>
            </w:pPr>
            <w:r>
              <w:rPr>
                <w:rFonts w:ascii="Arial" w:cs="Arial" w:eastAsia="Arial" w:hAnsi="Arial"/>
                <w:sz w:val="16"/>
                <w:szCs w:val="16"/>
                <w:color w:val="auto"/>
              </w:rPr>
              <w:t>4,035</w:t>
            </w:r>
          </w:p>
        </w:tc>
        <w:tc>
          <w:tcPr>
            <w:tcW w:w="1580" w:type="dxa"/>
            <w:vAlign w:val="bottom"/>
          </w:tcPr>
          <w:p>
            <w:pPr>
              <w:jc w:val="right"/>
              <w:ind w:right="478"/>
              <w:spacing w:after="0"/>
              <w:rPr>
                <w:sz w:val="20"/>
                <w:szCs w:val="20"/>
                <w:color w:val="auto"/>
              </w:rPr>
            </w:pPr>
            <w:r>
              <w:rPr>
                <w:rFonts w:ascii="Arial" w:cs="Arial" w:eastAsia="Arial" w:hAnsi="Arial"/>
                <w:sz w:val="16"/>
                <w:szCs w:val="16"/>
                <w:color w:val="auto"/>
              </w:rPr>
              <w:t>2,707</w:t>
            </w:r>
          </w:p>
        </w:tc>
        <w:tc>
          <w:tcPr>
            <w:tcW w:w="580" w:type="dxa"/>
            <w:vAlign w:val="bottom"/>
          </w:tcPr>
          <w:p>
            <w:pPr>
              <w:spacing w:after="0"/>
              <w:rPr>
                <w:sz w:val="24"/>
                <w:szCs w:val="24"/>
                <w:color w:val="auto"/>
              </w:rPr>
            </w:pPr>
          </w:p>
        </w:tc>
      </w:tr>
      <w:tr>
        <w:trPr>
          <w:trHeight w:val="208"/>
        </w:trPr>
        <w:tc>
          <w:tcPr>
            <w:tcW w:w="1020" w:type="dxa"/>
            <w:vAlign w:val="bottom"/>
          </w:tcPr>
          <w:p>
            <w:pPr>
              <w:spacing w:after="0"/>
              <w:rPr>
                <w:sz w:val="18"/>
                <w:szCs w:val="18"/>
                <w:color w:val="auto"/>
              </w:rPr>
            </w:pPr>
          </w:p>
        </w:tc>
        <w:tc>
          <w:tcPr>
            <w:tcW w:w="1660" w:type="dxa"/>
            <w:vAlign w:val="bottom"/>
          </w:tcPr>
          <w:p>
            <w:pPr>
              <w:jc w:val="right"/>
              <w:ind w:right="498"/>
              <w:spacing w:after="0"/>
              <w:rPr>
                <w:sz w:val="20"/>
                <w:szCs w:val="20"/>
                <w:color w:val="auto"/>
              </w:rPr>
            </w:pPr>
            <w:r>
              <w:rPr>
                <w:rFonts w:ascii="Arial" w:cs="Arial" w:eastAsia="Arial" w:hAnsi="Arial"/>
                <w:sz w:val="16"/>
                <w:szCs w:val="16"/>
                <w:color w:val="auto"/>
              </w:rPr>
              <w:t>227</w:t>
            </w:r>
          </w:p>
        </w:tc>
        <w:tc>
          <w:tcPr>
            <w:tcW w:w="1580" w:type="dxa"/>
            <w:vAlign w:val="bottom"/>
          </w:tcPr>
          <w:p>
            <w:pPr>
              <w:jc w:val="right"/>
              <w:ind w:right="478"/>
              <w:spacing w:after="0"/>
              <w:rPr>
                <w:sz w:val="20"/>
                <w:szCs w:val="20"/>
                <w:color w:val="auto"/>
              </w:rPr>
            </w:pPr>
            <w:r>
              <w:rPr>
                <w:rFonts w:ascii="Arial" w:cs="Arial" w:eastAsia="Arial" w:hAnsi="Arial"/>
                <w:sz w:val="16"/>
                <w:szCs w:val="16"/>
                <w:color w:val="auto"/>
              </w:rPr>
              <w:t>72</w:t>
            </w:r>
          </w:p>
        </w:tc>
        <w:tc>
          <w:tcPr>
            <w:tcW w:w="580" w:type="dxa"/>
            <w:vAlign w:val="bottom"/>
          </w:tcPr>
          <w:p>
            <w:pPr>
              <w:spacing w:after="0"/>
              <w:rPr>
                <w:sz w:val="18"/>
                <w:szCs w:val="18"/>
                <w:color w:val="auto"/>
              </w:rPr>
            </w:pPr>
          </w:p>
        </w:tc>
      </w:tr>
      <w:tr>
        <w:trPr>
          <w:trHeight w:val="208"/>
        </w:trPr>
        <w:tc>
          <w:tcPr>
            <w:tcW w:w="1020" w:type="dxa"/>
            <w:vAlign w:val="bottom"/>
          </w:tcPr>
          <w:p>
            <w:pPr>
              <w:spacing w:after="0"/>
              <w:rPr>
                <w:sz w:val="18"/>
                <w:szCs w:val="18"/>
                <w:color w:val="auto"/>
              </w:rPr>
            </w:pPr>
          </w:p>
        </w:tc>
        <w:tc>
          <w:tcPr>
            <w:tcW w:w="1660" w:type="dxa"/>
            <w:vAlign w:val="bottom"/>
          </w:tcPr>
          <w:p>
            <w:pPr>
              <w:jc w:val="right"/>
              <w:ind w:right="438"/>
              <w:spacing w:after="0"/>
              <w:rPr>
                <w:sz w:val="20"/>
                <w:szCs w:val="20"/>
                <w:color w:val="auto"/>
              </w:rPr>
            </w:pPr>
            <w:r>
              <w:rPr>
                <w:rFonts w:ascii="Arial" w:cs="Arial" w:eastAsia="Arial" w:hAnsi="Arial"/>
                <w:sz w:val="16"/>
                <w:szCs w:val="16"/>
                <w:color w:val="auto"/>
              </w:rPr>
              <w:t>(1,631)</w:t>
            </w:r>
          </w:p>
        </w:tc>
        <w:tc>
          <w:tcPr>
            <w:tcW w:w="1580" w:type="dxa"/>
            <w:vAlign w:val="bottom"/>
          </w:tcPr>
          <w:p>
            <w:pPr>
              <w:jc w:val="right"/>
              <w:ind w:right="438"/>
              <w:spacing w:after="0"/>
              <w:rPr>
                <w:sz w:val="20"/>
                <w:szCs w:val="20"/>
                <w:color w:val="auto"/>
              </w:rPr>
            </w:pPr>
            <w:r>
              <w:rPr>
                <w:rFonts w:ascii="Arial" w:cs="Arial" w:eastAsia="Arial" w:hAnsi="Arial"/>
                <w:sz w:val="16"/>
                <w:szCs w:val="16"/>
                <w:color w:val="auto"/>
              </w:rPr>
              <w:t>(4,435)</w:t>
            </w:r>
          </w:p>
        </w:tc>
        <w:tc>
          <w:tcPr>
            <w:tcW w:w="580" w:type="dxa"/>
            <w:vAlign w:val="bottom"/>
          </w:tcPr>
          <w:p>
            <w:pPr>
              <w:spacing w:after="0"/>
              <w:rPr>
                <w:sz w:val="18"/>
                <w:szCs w:val="18"/>
                <w:color w:val="auto"/>
              </w:rPr>
            </w:pPr>
          </w:p>
        </w:tc>
      </w:tr>
      <w:tr>
        <w:trPr>
          <w:trHeight w:val="215"/>
        </w:trPr>
        <w:tc>
          <w:tcPr>
            <w:tcW w:w="1020" w:type="dxa"/>
            <w:vAlign w:val="bottom"/>
          </w:tcPr>
          <w:p>
            <w:pPr>
              <w:spacing w:after="0"/>
              <w:rPr>
                <w:sz w:val="18"/>
                <w:szCs w:val="18"/>
                <w:color w:val="auto"/>
              </w:rPr>
            </w:pPr>
          </w:p>
        </w:tc>
        <w:tc>
          <w:tcPr>
            <w:tcW w:w="166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color w:val="auto"/>
              </w:rPr>
              <w:t>3,346</w:t>
            </w:r>
          </w:p>
        </w:tc>
        <w:tc>
          <w:tcPr>
            <w:tcW w:w="158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color w:val="auto"/>
              </w:rPr>
              <w:t>1,124</w:t>
            </w:r>
          </w:p>
        </w:tc>
        <w:tc>
          <w:tcPr>
            <w:tcW w:w="580" w:type="dxa"/>
            <w:vAlign w:val="bottom"/>
            <w:tcBorders>
              <w:bottom w:val="single" w:sz="8" w:color="auto"/>
            </w:tcBorders>
          </w:tcPr>
          <w:p>
            <w:pPr>
              <w:spacing w:after="0"/>
              <w:rPr>
                <w:sz w:val="18"/>
                <w:szCs w:val="18"/>
                <w:color w:val="auto"/>
              </w:rPr>
            </w:pPr>
          </w:p>
        </w:tc>
      </w:tr>
      <w:tr>
        <w:trPr>
          <w:trHeight w:val="195"/>
        </w:trPr>
        <w:tc>
          <w:tcPr>
            <w:tcW w:w="1020" w:type="dxa"/>
            <w:vAlign w:val="bottom"/>
          </w:tcPr>
          <w:p>
            <w:pPr>
              <w:spacing w:after="0"/>
              <w:rPr>
                <w:sz w:val="16"/>
                <w:szCs w:val="16"/>
                <w:color w:val="auto"/>
              </w:rPr>
            </w:pPr>
          </w:p>
        </w:tc>
        <w:tc>
          <w:tcPr>
            <w:tcW w:w="16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color w:val="auto"/>
              </w:rPr>
              <w:t>(26,975)</w:t>
            </w:r>
          </w:p>
        </w:tc>
        <w:tc>
          <w:tcPr>
            <w:tcW w:w="158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color w:val="auto"/>
              </w:rPr>
              <w:t>(34,201)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592"/>
        </w:trPr>
        <w:tc>
          <w:tcPr>
            <w:tcW w:w="1020" w:type="dxa"/>
            <w:vAlign w:val="bottom"/>
          </w:tcPr>
          <w:p>
            <w:pPr>
              <w:spacing w:after="0"/>
              <w:rPr>
                <w:sz w:val="24"/>
                <w:szCs w:val="24"/>
                <w:color w:val="auto"/>
              </w:rPr>
            </w:pPr>
          </w:p>
        </w:tc>
        <w:tc>
          <w:tcPr>
            <w:tcW w:w="1660" w:type="dxa"/>
            <w:vAlign w:val="bottom"/>
          </w:tcPr>
          <w:p>
            <w:pPr>
              <w:jc w:val="right"/>
              <w:ind w:right="498"/>
              <w:spacing w:after="0"/>
              <w:rPr>
                <w:sz w:val="20"/>
                <w:szCs w:val="20"/>
                <w:color w:val="auto"/>
              </w:rPr>
            </w:pPr>
            <w:r>
              <w:rPr>
                <w:rFonts w:ascii="Arial" w:cs="Arial" w:eastAsia="Arial" w:hAnsi="Arial"/>
                <w:sz w:val="16"/>
                <w:szCs w:val="16"/>
                <w:color w:val="auto"/>
              </w:rPr>
              <w:t>5,731</w:t>
            </w:r>
          </w:p>
        </w:tc>
        <w:tc>
          <w:tcPr>
            <w:tcW w:w="1580" w:type="dxa"/>
            <w:vAlign w:val="bottom"/>
          </w:tcPr>
          <w:p>
            <w:pPr>
              <w:jc w:val="right"/>
              <w:ind w:right="478"/>
              <w:spacing w:after="0"/>
              <w:rPr>
                <w:sz w:val="20"/>
                <w:szCs w:val="20"/>
                <w:color w:val="auto"/>
              </w:rPr>
            </w:pPr>
            <w:r>
              <w:rPr>
                <w:rFonts w:ascii="Arial" w:cs="Arial" w:eastAsia="Arial" w:hAnsi="Arial"/>
                <w:sz w:val="16"/>
                <w:szCs w:val="16"/>
                <w:color w:val="auto"/>
              </w:rPr>
              <w:t>345</w:t>
            </w:r>
          </w:p>
        </w:tc>
        <w:tc>
          <w:tcPr>
            <w:tcW w:w="580" w:type="dxa"/>
            <w:vAlign w:val="bottom"/>
          </w:tcPr>
          <w:p>
            <w:pPr>
              <w:spacing w:after="0"/>
              <w:rPr>
                <w:sz w:val="24"/>
                <w:szCs w:val="24"/>
                <w:color w:val="auto"/>
              </w:rPr>
            </w:pPr>
          </w:p>
        </w:tc>
      </w:tr>
      <w:tr>
        <w:trPr>
          <w:trHeight w:val="208"/>
        </w:trPr>
        <w:tc>
          <w:tcPr>
            <w:tcW w:w="1020" w:type="dxa"/>
            <w:vAlign w:val="bottom"/>
          </w:tcPr>
          <w:p>
            <w:pPr>
              <w:spacing w:after="0"/>
              <w:rPr>
                <w:sz w:val="18"/>
                <w:szCs w:val="18"/>
                <w:color w:val="auto"/>
              </w:rPr>
            </w:pPr>
          </w:p>
        </w:tc>
        <w:tc>
          <w:tcPr>
            <w:tcW w:w="1660" w:type="dxa"/>
            <w:vAlign w:val="bottom"/>
          </w:tcPr>
          <w:p>
            <w:pPr>
              <w:jc w:val="right"/>
              <w:ind w:right="438"/>
              <w:spacing w:after="0"/>
              <w:rPr>
                <w:sz w:val="20"/>
                <w:szCs w:val="20"/>
                <w:color w:val="auto"/>
              </w:rPr>
            </w:pPr>
            <w:r>
              <w:rPr>
                <w:rFonts w:ascii="Arial" w:cs="Arial" w:eastAsia="Arial" w:hAnsi="Arial"/>
                <w:sz w:val="16"/>
                <w:szCs w:val="16"/>
                <w:color w:val="auto"/>
              </w:rPr>
              <w:t>(69)</w:t>
            </w:r>
          </w:p>
        </w:tc>
        <w:tc>
          <w:tcPr>
            <w:tcW w:w="1580" w:type="dxa"/>
            <w:vAlign w:val="bottom"/>
          </w:tcPr>
          <w:p>
            <w:pPr>
              <w:jc w:val="right"/>
              <w:ind w:right="438"/>
              <w:spacing w:after="0"/>
              <w:rPr>
                <w:sz w:val="20"/>
                <w:szCs w:val="20"/>
                <w:color w:val="auto"/>
              </w:rPr>
            </w:pPr>
            <w:r>
              <w:rPr>
                <w:rFonts w:ascii="Arial" w:cs="Arial" w:eastAsia="Arial" w:hAnsi="Arial"/>
                <w:sz w:val="16"/>
                <w:szCs w:val="16"/>
                <w:color w:val="auto"/>
              </w:rPr>
              <w:t>(13)</w:t>
            </w:r>
          </w:p>
        </w:tc>
        <w:tc>
          <w:tcPr>
            <w:tcW w:w="580" w:type="dxa"/>
            <w:vAlign w:val="bottom"/>
          </w:tcPr>
          <w:p>
            <w:pPr>
              <w:spacing w:after="0"/>
              <w:rPr>
                <w:sz w:val="18"/>
                <w:szCs w:val="18"/>
                <w:color w:val="auto"/>
              </w:rPr>
            </w:pPr>
          </w:p>
        </w:tc>
      </w:tr>
      <w:tr>
        <w:trPr>
          <w:trHeight w:val="208"/>
        </w:trPr>
        <w:tc>
          <w:tcPr>
            <w:tcW w:w="1020" w:type="dxa"/>
            <w:vAlign w:val="bottom"/>
          </w:tcPr>
          <w:p>
            <w:pPr>
              <w:spacing w:after="0"/>
              <w:rPr>
                <w:sz w:val="18"/>
                <w:szCs w:val="18"/>
                <w:color w:val="auto"/>
              </w:rPr>
            </w:pPr>
          </w:p>
        </w:tc>
        <w:tc>
          <w:tcPr>
            <w:tcW w:w="1660" w:type="dxa"/>
            <w:vAlign w:val="bottom"/>
          </w:tcPr>
          <w:p>
            <w:pPr>
              <w:jc w:val="right"/>
              <w:ind w:right="498"/>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78"/>
              <w:spacing w:after="0"/>
              <w:rPr>
                <w:sz w:val="20"/>
                <w:szCs w:val="20"/>
                <w:color w:val="auto"/>
              </w:rPr>
            </w:pPr>
            <w:r>
              <w:rPr>
                <w:rFonts w:ascii="Arial" w:cs="Arial" w:eastAsia="Arial" w:hAnsi="Arial"/>
                <w:sz w:val="16"/>
                <w:szCs w:val="16"/>
                <w:color w:val="auto"/>
              </w:rPr>
              <w:t>16</w:t>
            </w:r>
          </w:p>
        </w:tc>
        <w:tc>
          <w:tcPr>
            <w:tcW w:w="580" w:type="dxa"/>
            <w:vAlign w:val="bottom"/>
          </w:tcPr>
          <w:p>
            <w:pPr>
              <w:spacing w:after="0"/>
              <w:rPr>
                <w:sz w:val="18"/>
                <w:szCs w:val="18"/>
                <w:color w:val="auto"/>
              </w:rPr>
            </w:pPr>
          </w:p>
        </w:tc>
      </w:tr>
      <w:tr>
        <w:trPr>
          <w:trHeight w:val="208"/>
        </w:trPr>
        <w:tc>
          <w:tcPr>
            <w:tcW w:w="1020" w:type="dxa"/>
            <w:vAlign w:val="bottom"/>
          </w:tcPr>
          <w:p>
            <w:pPr>
              <w:spacing w:after="0"/>
              <w:rPr>
                <w:sz w:val="18"/>
                <w:szCs w:val="18"/>
                <w:color w:val="auto"/>
              </w:rPr>
            </w:pPr>
          </w:p>
        </w:tc>
        <w:tc>
          <w:tcPr>
            <w:tcW w:w="1660" w:type="dxa"/>
            <w:vAlign w:val="bottom"/>
          </w:tcPr>
          <w:p>
            <w:pPr>
              <w:jc w:val="right"/>
              <w:ind w:right="438"/>
              <w:spacing w:after="0"/>
              <w:rPr>
                <w:sz w:val="20"/>
                <w:szCs w:val="20"/>
                <w:color w:val="auto"/>
              </w:rPr>
            </w:pPr>
            <w:r>
              <w:rPr>
                <w:rFonts w:ascii="Arial" w:cs="Arial" w:eastAsia="Arial" w:hAnsi="Arial"/>
                <w:sz w:val="16"/>
                <w:szCs w:val="16"/>
                <w:color w:val="auto"/>
              </w:rPr>
              <w:t>(745)</w:t>
            </w:r>
          </w:p>
        </w:tc>
        <w:tc>
          <w:tcPr>
            <w:tcW w:w="1580" w:type="dxa"/>
            <w:vAlign w:val="bottom"/>
          </w:tcPr>
          <w:p>
            <w:pPr>
              <w:jc w:val="right"/>
              <w:ind w:right="438"/>
              <w:spacing w:after="0"/>
              <w:rPr>
                <w:sz w:val="20"/>
                <w:szCs w:val="20"/>
                <w:color w:val="auto"/>
              </w:rPr>
            </w:pPr>
            <w:r>
              <w:rPr>
                <w:rFonts w:ascii="Arial" w:cs="Arial" w:eastAsia="Arial" w:hAnsi="Arial"/>
                <w:sz w:val="16"/>
                <w:szCs w:val="16"/>
                <w:color w:val="auto"/>
              </w:rPr>
              <w:t>(756)</w:t>
            </w:r>
          </w:p>
        </w:tc>
        <w:tc>
          <w:tcPr>
            <w:tcW w:w="580" w:type="dxa"/>
            <w:vAlign w:val="bottom"/>
          </w:tcPr>
          <w:p>
            <w:pPr>
              <w:spacing w:after="0"/>
              <w:rPr>
                <w:sz w:val="18"/>
                <w:szCs w:val="18"/>
                <w:color w:val="auto"/>
              </w:rPr>
            </w:pPr>
          </w:p>
        </w:tc>
      </w:tr>
      <w:tr>
        <w:trPr>
          <w:trHeight w:val="208"/>
        </w:trPr>
        <w:tc>
          <w:tcPr>
            <w:tcW w:w="1020" w:type="dxa"/>
            <w:vAlign w:val="bottom"/>
          </w:tcPr>
          <w:p>
            <w:pPr>
              <w:spacing w:after="0"/>
              <w:rPr>
                <w:sz w:val="18"/>
                <w:szCs w:val="18"/>
                <w:color w:val="auto"/>
              </w:rPr>
            </w:pPr>
          </w:p>
        </w:tc>
        <w:tc>
          <w:tcPr>
            <w:tcW w:w="1660" w:type="dxa"/>
            <w:vAlign w:val="bottom"/>
          </w:tcPr>
          <w:p>
            <w:pPr>
              <w:jc w:val="right"/>
              <w:ind w:right="498"/>
              <w:spacing w:after="0"/>
              <w:rPr>
                <w:sz w:val="20"/>
                <w:szCs w:val="20"/>
                <w:color w:val="auto"/>
              </w:rPr>
            </w:pPr>
            <w:r>
              <w:rPr>
                <w:rFonts w:ascii="Arial" w:cs="Arial" w:eastAsia="Arial" w:hAnsi="Arial"/>
                <w:sz w:val="16"/>
                <w:szCs w:val="16"/>
                <w:color w:val="auto"/>
              </w:rPr>
              <w:t>2,049</w:t>
            </w:r>
          </w:p>
        </w:tc>
        <w:tc>
          <w:tcPr>
            <w:tcW w:w="1580" w:type="dxa"/>
            <w:vAlign w:val="bottom"/>
          </w:tcPr>
          <w:p>
            <w:pPr>
              <w:jc w:val="right"/>
              <w:ind w:right="478"/>
              <w:spacing w:after="0"/>
              <w:rPr>
                <w:sz w:val="20"/>
                <w:szCs w:val="20"/>
                <w:color w:val="auto"/>
              </w:rPr>
            </w:pPr>
            <w:r>
              <w:rPr>
                <w:rFonts w:ascii="Arial" w:cs="Arial" w:eastAsia="Arial" w:hAnsi="Arial"/>
                <w:sz w:val="16"/>
                <w:szCs w:val="16"/>
                <w:color w:val="auto"/>
              </w:rPr>
              <w:t>12,012</w:t>
            </w:r>
          </w:p>
        </w:tc>
        <w:tc>
          <w:tcPr>
            <w:tcW w:w="580" w:type="dxa"/>
            <w:vAlign w:val="bottom"/>
          </w:tcPr>
          <w:p>
            <w:pPr>
              <w:spacing w:after="0"/>
              <w:rPr>
                <w:sz w:val="18"/>
                <w:szCs w:val="18"/>
                <w:color w:val="auto"/>
              </w:rPr>
            </w:pPr>
          </w:p>
        </w:tc>
      </w:tr>
      <w:tr>
        <w:trPr>
          <w:trHeight w:val="208"/>
        </w:trPr>
        <w:tc>
          <w:tcPr>
            <w:tcW w:w="1020" w:type="dxa"/>
            <w:vAlign w:val="bottom"/>
          </w:tcPr>
          <w:p>
            <w:pPr>
              <w:spacing w:after="0"/>
              <w:rPr>
                <w:sz w:val="18"/>
                <w:szCs w:val="18"/>
                <w:color w:val="auto"/>
              </w:rPr>
            </w:pPr>
          </w:p>
        </w:tc>
        <w:tc>
          <w:tcPr>
            <w:tcW w:w="1660" w:type="dxa"/>
            <w:vAlign w:val="bottom"/>
          </w:tcPr>
          <w:p>
            <w:pPr>
              <w:jc w:val="right"/>
              <w:ind w:right="438"/>
              <w:spacing w:after="0"/>
              <w:rPr>
                <w:sz w:val="20"/>
                <w:szCs w:val="20"/>
                <w:color w:val="auto"/>
              </w:rPr>
            </w:pPr>
            <w:r>
              <w:rPr>
                <w:rFonts w:ascii="Arial" w:cs="Arial" w:eastAsia="Arial" w:hAnsi="Arial"/>
                <w:sz w:val="16"/>
                <w:szCs w:val="16"/>
                <w:color w:val="auto"/>
              </w:rPr>
              <w:t>(11,568)</w:t>
            </w:r>
          </w:p>
        </w:tc>
        <w:tc>
          <w:tcPr>
            <w:tcW w:w="1580" w:type="dxa"/>
            <w:vAlign w:val="bottom"/>
          </w:tcPr>
          <w:p>
            <w:pPr>
              <w:jc w:val="right"/>
              <w:ind w:right="438"/>
              <w:spacing w:after="0"/>
              <w:rPr>
                <w:sz w:val="20"/>
                <w:szCs w:val="20"/>
                <w:color w:val="auto"/>
              </w:rPr>
            </w:pPr>
            <w:r>
              <w:rPr>
                <w:rFonts w:ascii="Arial" w:cs="Arial" w:eastAsia="Arial" w:hAnsi="Arial"/>
                <w:sz w:val="16"/>
                <w:szCs w:val="16"/>
                <w:color w:val="auto"/>
              </w:rPr>
              <w:t>(10,875)</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1020" w:type="dxa"/>
            <w:vAlign w:val="bottom"/>
          </w:tcPr>
          <w:p>
            <w:pPr>
              <w:spacing w:after="0"/>
              <w:rPr>
                <w:sz w:val="18"/>
                <w:szCs w:val="18"/>
                <w:color w:val="auto"/>
              </w:rPr>
            </w:pPr>
          </w:p>
        </w:tc>
        <w:tc>
          <w:tcPr>
            <w:tcW w:w="1660" w:type="dxa"/>
            <w:vAlign w:val="bottom"/>
          </w:tcPr>
          <w:p>
            <w:pPr>
              <w:jc w:val="right"/>
              <w:ind w:right="438"/>
              <w:spacing w:after="0"/>
              <w:rPr>
                <w:sz w:val="20"/>
                <w:szCs w:val="20"/>
                <w:color w:val="auto"/>
              </w:rPr>
            </w:pPr>
            <w:r>
              <w:rPr>
                <w:rFonts w:ascii="Arial" w:cs="Arial" w:eastAsia="Arial" w:hAnsi="Arial"/>
                <w:sz w:val="16"/>
                <w:szCs w:val="16"/>
                <w:color w:val="auto"/>
              </w:rPr>
              <w:t>(248)</w:t>
            </w:r>
          </w:p>
        </w:tc>
        <w:tc>
          <w:tcPr>
            <w:tcW w:w="1580" w:type="dxa"/>
            <w:vAlign w:val="bottom"/>
          </w:tcPr>
          <w:p>
            <w:pPr>
              <w:jc w:val="right"/>
              <w:ind w:right="438"/>
              <w:spacing w:after="0"/>
              <w:rPr>
                <w:sz w:val="20"/>
                <w:szCs w:val="20"/>
                <w:color w:val="auto"/>
              </w:rPr>
            </w:pPr>
            <w:r>
              <w:rPr>
                <w:rFonts w:ascii="Arial" w:cs="Arial" w:eastAsia="Arial" w:hAnsi="Arial"/>
                <w:sz w:val="16"/>
                <w:szCs w:val="16"/>
                <w:color w:val="auto"/>
              </w:rPr>
              <w:t>(304)</w:t>
            </w:r>
          </w:p>
        </w:tc>
        <w:tc>
          <w:tcPr>
            <w:tcW w:w="580" w:type="dxa"/>
            <w:vAlign w:val="bottom"/>
          </w:tcPr>
          <w:p>
            <w:pPr>
              <w:spacing w:after="0"/>
              <w:rPr>
                <w:sz w:val="18"/>
                <w:szCs w:val="18"/>
                <w:color w:val="auto"/>
              </w:rPr>
            </w:pPr>
          </w:p>
        </w:tc>
      </w:tr>
      <w:tr>
        <w:trPr>
          <w:trHeight w:val="208"/>
        </w:trPr>
        <w:tc>
          <w:tcPr>
            <w:tcW w:w="1020" w:type="dxa"/>
            <w:vAlign w:val="bottom"/>
          </w:tcPr>
          <w:p>
            <w:pPr>
              <w:spacing w:after="0"/>
              <w:rPr>
                <w:sz w:val="18"/>
                <w:szCs w:val="18"/>
                <w:color w:val="auto"/>
              </w:rPr>
            </w:pPr>
          </w:p>
        </w:tc>
        <w:tc>
          <w:tcPr>
            <w:tcW w:w="1660" w:type="dxa"/>
            <w:vAlign w:val="bottom"/>
          </w:tcPr>
          <w:p>
            <w:pPr>
              <w:jc w:val="right"/>
              <w:ind w:right="498"/>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38"/>
              <w:spacing w:after="0"/>
              <w:rPr>
                <w:sz w:val="20"/>
                <w:szCs w:val="20"/>
                <w:color w:val="auto"/>
              </w:rPr>
            </w:pPr>
            <w:r>
              <w:rPr>
                <w:rFonts w:ascii="Arial" w:cs="Arial" w:eastAsia="Arial" w:hAnsi="Arial"/>
                <w:sz w:val="16"/>
                <w:szCs w:val="16"/>
                <w:color w:val="auto"/>
              </w:rPr>
              <w:t>(1)</w:t>
            </w:r>
          </w:p>
        </w:tc>
        <w:tc>
          <w:tcPr>
            <w:tcW w:w="580" w:type="dxa"/>
            <w:vAlign w:val="bottom"/>
          </w:tcPr>
          <w:p>
            <w:pPr>
              <w:spacing w:after="0"/>
              <w:rPr>
                <w:sz w:val="18"/>
                <w:szCs w:val="18"/>
                <w:color w:val="auto"/>
              </w:rPr>
            </w:pPr>
          </w:p>
        </w:tc>
      </w:tr>
      <w:tr>
        <w:trPr>
          <w:trHeight w:val="208"/>
        </w:trPr>
        <w:tc>
          <w:tcPr>
            <w:tcW w:w="1020" w:type="dxa"/>
            <w:vAlign w:val="bottom"/>
          </w:tcPr>
          <w:p>
            <w:pPr>
              <w:spacing w:after="0"/>
              <w:rPr>
                <w:sz w:val="18"/>
                <w:szCs w:val="18"/>
                <w:color w:val="auto"/>
              </w:rPr>
            </w:pPr>
          </w:p>
        </w:tc>
        <w:tc>
          <w:tcPr>
            <w:tcW w:w="1660" w:type="dxa"/>
            <w:vAlign w:val="bottom"/>
          </w:tcPr>
          <w:p>
            <w:pPr>
              <w:jc w:val="right"/>
              <w:ind w:right="498"/>
              <w:spacing w:after="0"/>
              <w:rPr>
                <w:sz w:val="20"/>
                <w:szCs w:val="20"/>
                <w:color w:val="auto"/>
              </w:rPr>
            </w:pPr>
            <w:r>
              <w:rPr>
                <w:rFonts w:ascii="Arial" w:cs="Arial" w:eastAsia="Arial" w:hAnsi="Arial"/>
                <w:sz w:val="16"/>
                <w:szCs w:val="16"/>
                <w:color w:val="auto"/>
              </w:rPr>
              <w:t>115</w:t>
            </w:r>
          </w:p>
        </w:tc>
        <w:tc>
          <w:tcPr>
            <w:tcW w:w="1580" w:type="dxa"/>
            <w:vAlign w:val="bottom"/>
          </w:tcPr>
          <w:p>
            <w:pPr>
              <w:jc w:val="right"/>
              <w:ind w:right="478"/>
              <w:spacing w:after="0"/>
              <w:rPr>
                <w:sz w:val="20"/>
                <w:szCs w:val="20"/>
                <w:color w:val="auto"/>
              </w:rPr>
            </w:pPr>
            <w:r>
              <w:rPr>
                <w:rFonts w:ascii="Arial" w:cs="Arial" w:eastAsia="Arial" w:hAnsi="Arial"/>
                <w:sz w:val="16"/>
                <w:szCs w:val="16"/>
                <w:color w:val="auto"/>
              </w:rPr>
              <w:t>48</w:t>
            </w:r>
          </w:p>
        </w:tc>
        <w:tc>
          <w:tcPr>
            <w:tcW w:w="580" w:type="dxa"/>
            <w:vAlign w:val="bottom"/>
          </w:tcPr>
          <w:p>
            <w:pPr>
              <w:spacing w:after="0"/>
              <w:rPr>
                <w:sz w:val="18"/>
                <w:szCs w:val="18"/>
                <w:color w:val="auto"/>
              </w:rPr>
            </w:pPr>
          </w:p>
        </w:tc>
      </w:tr>
      <w:tr>
        <w:trPr>
          <w:trHeight w:val="208"/>
        </w:trPr>
        <w:tc>
          <w:tcPr>
            <w:tcW w:w="1020" w:type="dxa"/>
            <w:vAlign w:val="bottom"/>
          </w:tcPr>
          <w:p>
            <w:pPr>
              <w:spacing w:after="0"/>
              <w:rPr>
                <w:sz w:val="18"/>
                <w:szCs w:val="18"/>
                <w:color w:val="auto"/>
              </w:rPr>
            </w:pPr>
          </w:p>
        </w:tc>
        <w:tc>
          <w:tcPr>
            <w:tcW w:w="1660" w:type="dxa"/>
            <w:vAlign w:val="bottom"/>
          </w:tcPr>
          <w:p>
            <w:pPr>
              <w:jc w:val="right"/>
              <w:ind w:right="438"/>
              <w:spacing w:after="0"/>
              <w:rPr>
                <w:sz w:val="20"/>
                <w:szCs w:val="20"/>
                <w:color w:val="auto"/>
              </w:rPr>
            </w:pPr>
            <w:r>
              <w:rPr>
                <w:rFonts w:ascii="Arial" w:cs="Arial" w:eastAsia="Arial" w:hAnsi="Arial"/>
                <w:sz w:val="16"/>
                <w:szCs w:val="16"/>
                <w:color w:val="auto"/>
              </w:rPr>
              <w:t>(13,183)</w:t>
            </w:r>
          </w:p>
        </w:tc>
        <w:tc>
          <w:tcPr>
            <w:tcW w:w="1580" w:type="dxa"/>
            <w:vAlign w:val="bottom"/>
          </w:tcPr>
          <w:p>
            <w:pPr>
              <w:jc w:val="right"/>
              <w:ind w:right="438"/>
              <w:spacing w:after="0"/>
              <w:rPr>
                <w:sz w:val="20"/>
                <w:szCs w:val="20"/>
                <w:color w:val="auto"/>
              </w:rPr>
            </w:pPr>
            <w:r>
              <w:rPr>
                <w:rFonts w:ascii="Arial" w:cs="Arial" w:eastAsia="Arial" w:hAnsi="Arial"/>
                <w:sz w:val="16"/>
                <w:szCs w:val="16"/>
                <w:color w:val="auto"/>
              </w:rPr>
              <w:t>(15,998)</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1020" w:type="dxa"/>
            <w:vAlign w:val="bottom"/>
          </w:tcPr>
          <w:p>
            <w:pPr>
              <w:spacing w:after="0"/>
              <w:rPr>
                <w:sz w:val="18"/>
                <w:szCs w:val="18"/>
                <w:color w:val="auto"/>
              </w:rPr>
            </w:pPr>
          </w:p>
        </w:tc>
        <w:tc>
          <w:tcPr>
            <w:tcW w:w="166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color w:val="auto"/>
              </w:rPr>
              <w:t>30</w:t>
            </w:r>
          </w:p>
        </w:tc>
        <w:tc>
          <w:tcPr>
            <w:tcW w:w="158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color w:val="auto"/>
              </w:rPr>
              <w:t>50</w:t>
            </w:r>
          </w:p>
        </w:tc>
        <w:tc>
          <w:tcPr>
            <w:tcW w:w="580" w:type="dxa"/>
            <w:vAlign w:val="bottom"/>
            <w:tcBorders>
              <w:bottom w:val="single" w:sz="8" w:color="auto"/>
            </w:tcBorders>
          </w:tcPr>
          <w:p>
            <w:pPr>
              <w:spacing w:after="0"/>
              <w:rPr>
                <w:sz w:val="18"/>
                <w:szCs w:val="18"/>
                <w:color w:val="auto"/>
              </w:rPr>
            </w:pPr>
          </w:p>
        </w:tc>
      </w:tr>
      <w:tr>
        <w:trPr>
          <w:trHeight w:val="195"/>
        </w:trPr>
        <w:tc>
          <w:tcPr>
            <w:tcW w:w="1020" w:type="dxa"/>
            <w:vAlign w:val="bottom"/>
          </w:tcPr>
          <w:p>
            <w:pPr>
              <w:spacing w:after="0"/>
              <w:rPr>
                <w:sz w:val="16"/>
                <w:szCs w:val="16"/>
                <w:color w:val="auto"/>
              </w:rPr>
            </w:pPr>
          </w:p>
        </w:tc>
        <w:tc>
          <w:tcPr>
            <w:tcW w:w="16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color w:val="auto"/>
              </w:rPr>
              <w:t>(17,888)</w:t>
            </w:r>
          </w:p>
        </w:tc>
        <w:tc>
          <w:tcPr>
            <w:tcW w:w="158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color w:val="auto"/>
              </w:rPr>
              <w:t>(15,476)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1020" w:type="dxa"/>
            <w:vAlign w:val="bottom"/>
          </w:tcPr>
          <w:p>
            <w:pPr>
              <w:spacing w:after="0"/>
              <w:rPr>
                <w:sz w:val="16"/>
                <w:szCs w:val="16"/>
                <w:color w:val="auto"/>
              </w:rPr>
            </w:pPr>
          </w:p>
        </w:tc>
        <w:tc>
          <w:tcPr>
            <w:tcW w:w="16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color w:val="auto"/>
              </w:rPr>
              <w:t>(281)</w:t>
            </w:r>
          </w:p>
        </w:tc>
        <w:tc>
          <w:tcPr>
            <w:tcW w:w="158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color w:val="auto"/>
              </w:rPr>
              <w:t>(175)</w:t>
            </w:r>
          </w:p>
        </w:tc>
        <w:tc>
          <w:tcPr>
            <w:tcW w:w="580" w:type="dxa"/>
            <w:vAlign w:val="bottom"/>
            <w:tcBorders>
              <w:bottom w:val="single" w:sz="8" w:color="auto"/>
            </w:tcBorders>
          </w:tcPr>
          <w:p>
            <w:pPr>
              <w:spacing w:after="0"/>
              <w:rPr>
                <w:sz w:val="16"/>
                <w:szCs w:val="16"/>
                <w:color w:val="auto"/>
              </w:rPr>
            </w:pPr>
          </w:p>
        </w:tc>
      </w:tr>
      <w:tr>
        <w:trPr>
          <w:trHeight w:val="176"/>
        </w:trPr>
        <w:tc>
          <w:tcPr>
            <w:tcW w:w="1020" w:type="dxa"/>
            <w:vAlign w:val="bottom"/>
          </w:tcPr>
          <w:p>
            <w:pPr>
              <w:spacing w:after="0"/>
              <w:rPr>
                <w:sz w:val="15"/>
                <w:szCs w:val="15"/>
                <w:color w:val="auto"/>
              </w:rPr>
            </w:pPr>
          </w:p>
        </w:tc>
        <w:tc>
          <w:tcPr>
            <w:tcW w:w="1660" w:type="dxa"/>
            <w:vAlign w:val="bottom"/>
          </w:tcPr>
          <w:p>
            <w:pPr>
              <w:jc w:val="right"/>
              <w:ind w:right="438"/>
              <w:spacing w:after="0" w:line="176" w:lineRule="exact"/>
              <w:rPr>
                <w:sz w:val="20"/>
                <w:szCs w:val="20"/>
                <w:color w:val="auto"/>
              </w:rPr>
            </w:pPr>
            <w:r>
              <w:rPr>
                <w:rFonts w:ascii="Arial" w:cs="Arial" w:eastAsia="Arial" w:hAnsi="Arial"/>
                <w:sz w:val="16"/>
                <w:szCs w:val="16"/>
                <w:color w:val="auto"/>
              </w:rPr>
              <w:t>(28)</w:t>
            </w:r>
          </w:p>
        </w:tc>
        <w:tc>
          <w:tcPr>
            <w:tcW w:w="1580" w:type="dxa"/>
            <w:vAlign w:val="bottom"/>
          </w:tcPr>
          <w:p>
            <w:pPr>
              <w:jc w:val="right"/>
              <w:ind w:right="438"/>
              <w:spacing w:after="0" w:line="176" w:lineRule="exact"/>
              <w:rPr>
                <w:sz w:val="20"/>
                <w:szCs w:val="20"/>
                <w:color w:val="auto"/>
              </w:rPr>
            </w:pPr>
            <w:r>
              <w:rPr>
                <w:rFonts w:ascii="Arial" w:cs="Arial" w:eastAsia="Arial" w:hAnsi="Arial"/>
                <w:sz w:val="16"/>
                <w:szCs w:val="16"/>
                <w:color w:val="auto"/>
              </w:rPr>
              <w:t>(4,938)</w:t>
            </w:r>
          </w:p>
        </w:tc>
        <w:tc>
          <w:tcPr>
            <w:tcW w:w="580" w:type="dxa"/>
            <w:vAlign w:val="bottom"/>
          </w:tcPr>
          <w:p>
            <w:pPr>
              <w:spacing w:after="0"/>
              <w:rPr>
                <w:sz w:val="15"/>
                <w:szCs w:val="15"/>
                <w:color w:val="auto"/>
              </w:rPr>
            </w:pPr>
          </w:p>
        </w:tc>
      </w:tr>
      <w:tr>
        <w:trPr>
          <w:trHeight w:val="214"/>
        </w:trPr>
        <w:tc>
          <w:tcPr>
            <w:tcW w:w="1020" w:type="dxa"/>
            <w:vAlign w:val="bottom"/>
          </w:tcPr>
          <w:p>
            <w:pPr>
              <w:spacing w:after="0"/>
              <w:rPr>
                <w:sz w:val="18"/>
                <w:szCs w:val="18"/>
                <w:color w:val="auto"/>
              </w:rPr>
            </w:pPr>
          </w:p>
        </w:tc>
        <w:tc>
          <w:tcPr>
            <w:tcW w:w="166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color w:val="auto"/>
              </w:rPr>
              <w:t>4,644</w:t>
            </w:r>
          </w:p>
        </w:tc>
        <w:tc>
          <w:tcPr>
            <w:tcW w:w="158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color w:val="auto"/>
              </w:rPr>
              <w:t>9,582</w:t>
            </w:r>
          </w:p>
        </w:tc>
        <w:tc>
          <w:tcPr>
            <w:tcW w:w="580" w:type="dxa"/>
            <w:vAlign w:val="bottom"/>
            <w:tcBorders>
              <w:bottom w:val="single" w:sz="8" w:color="auto"/>
            </w:tcBorders>
          </w:tcPr>
          <w:p>
            <w:pPr>
              <w:spacing w:after="0"/>
              <w:rPr>
                <w:sz w:val="18"/>
                <w:szCs w:val="18"/>
                <w:color w:val="auto"/>
              </w:rPr>
            </w:pPr>
          </w:p>
        </w:tc>
      </w:tr>
      <w:tr>
        <w:trPr>
          <w:trHeight w:val="195"/>
        </w:trPr>
        <w:tc>
          <w:tcPr>
            <w:tcW w:w="1020" w:type="dxa"/>
            <w:vAlign w:val="bottom"/>
          </w:tcPr>
          <w:p>
            <w:pPr>
              <w:spacing w:after="0"/>
              <w:rPr>
                <w:sz w:val="16"/>
                <w:szCs w:val="16"/>
                <w:color w:val="auto"/>
              </w:rPr>
            </w:pPr>
          </w:p>
        </w:tc>
        <w:tc>
          <w:tcPr>
            <w:tcW w:w="166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color w:val="auto"/>
              </w:rPr>
              <w:t>4,616</w:t>
            </w:r>
          </w:p>
        </w:tc>
        <w:tc>
          <w:tcPr>
            <w:tcW w:w="158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color w:val="auto"/>
              </w:rPr>
              <w:t>4,644</w:t>
            </w:r>
          </w:p>
        </w:tc>
        <w:tc>
          <w:tcPr>
            <w:tcW w:w="580" w:type="dxa"/>
            <w:vAlign w:val="bottom"/>
            <w:tcBorders>
              <w:bottom w:val="single" w:sz="8" w:color="auto"/>
            </w:tcBorders>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2">
            <w:col w:w="5380" w:space="720"/>
            <w:col w:w="4840"/>
          </w:cols>
          <w:pgMar w:left="820" w:top="613" w:right="139" w:bottom="1440" w:gutter="0" w:footer="0" w:header="0"/>
          <w:type w:val="continuous"/>
        </w:sectPr>
      </w:pP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information in the Notes to Consolidated Financial Statements is an integral part of these statements.</w:t>
      </w:r>
    </w:p>
    <w:p>
      <w:pPr>
        <w:spacing w:after="0" w:line="200" w:lineRule="exact"/>
        <w:rPr>
          <w:sz w:val="20"/>
          <w:szCs w:val="20"/>
          <w:color w:val="auto"/>
        </w:rPr>
      </w:pPr>
    </w:p>
    <w:p>
      <w:pPr>
        <w:spacing w:after="0" w:line="325" w:lineRule="exact"/>
        <w:rPr>
          <w:sz w:val="20"/>
          <w:szCs w:val="20"/>
          <w:color w:val="auto"/>
        </w:rPr>
      </w:pPr>
    </w:p>
    <w:p>
      <w:pPr>
        <w:jc w:val="center"/>
        <w:ind w:left="1120"/>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613" w:right="1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6"/>
          <w:szCs w:val="16"/>
          <w:b w:val="1"/>
          <w:bCs w:val="1"/>
          <w:color w:val="auto"/>
        </w:rPr>
        <w:t>CONSOLIDATED STATEMENT OF CHANGES IN EQUITY</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4"/>
          </w:tcPr>
          <w:p>
            <w:pPr>
              <w:jc w:val="center"/>
              <w:ind w:right="95"/>
              <w:spacing w:after="0"/>
              <w:rPr>
                <w:sz w:val="20"/>
                <w:szCs w:val="20"/>
                <w:color w:val="auto"/>
              </w:rPr>
            </w:pPr>
            <w:r>
              <w:rPr>
                <w:rFonts w:ascii="Arial" w:cs="Arial" w:eastAsia="Arial" w:hAnsi="Arial"/>
                <w:sz w:val="13"/>
                <w:szCs w:val="13"/>
                <w:b w:val="1"/>
                <w:bCs w:val="1"/>
                <w:color w:val="auto"/>
                <w:w w:val="93"/>
              </w:rPr>
              <w:t>ExxonMobil Share of Equity</w:t>
            </w:r>
          </w:p>
        </w:tc>
        <w:tc>
          <w:tcPr>
            <w:tcW w:w="9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66"/>
        </w:trPr>
        <w:tc>
          <w:tcPr>
            <w:tcW w:w="3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Accumulated</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2"/>
              </w:rPr>
              <w:t>Common</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6"/>
        </w:trPr>
        <w:tc>
          <w:tcPr>
            <w:tcW w:w="3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Other</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84"/>
              </w:rPr>
              <w:t>Stock</w:t>
            </w:r>
          </w:p>
        </w:tc>
        <w:tc>
          <w:tcPr>
            <w:tcW w:w="12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ExxonMobil</w:t>
            </w:r>
          </w:p>
        </w:tc>
        <w:tc>
          <w:tcPr>
            <w:tcW w:w="940" w:type="dxa"/>
            <w:vAlign w:val="bottom"/>
          </w:tcPr>
          <w:p>
            <w:pPr>
              <w:jc w:val="center"/>
              <w:ind w:right="175"/>
              <w:spacing w:after="0"/>
              <w:rPr>
                <w:sz w:val="20"/>
                <w:szCs w:val="20"/>
                <w:color w:val="auto"/>
              </w:rPr>
            </w:pPr>
            <w:r>
              <w:rPr>
                <w:rFonts w:ascii="Arial" w:cs="Arial" w:eastAsia="Arial" w:hAnsi="Arial"/>
                <w:sz w:val="13"/>
                <w:szCs w:val="13"/>
                <w:b w:val="1"/>
                <w:bCs w:val="1"/>
                <w:color w:val="auto"/>
                <w:w w:val="87"/>
              </w:rPr>
              <w:t>Non-</w:t>
            </w:r>
          </w:p>
        </w:tc>
        <w:tc>
          <w:tcPr>
            <w:tcW w:w="380" w:type="dxa"/>
            <w:vAlign w:val="bottom"/>
          </w:tcPr>
          <w:p>
            <w:pPr>
              <w:spacing w:after="0"/>
              <w:rPr>
                <w:sz w:val="15"/>
                <w:szCs w:val="15"/>
                <w:color w:val="auto"/>
              </w:rPr>
            </w:pPr>
          </w:p>
        </w:tc>
      </w:tr>
      <w:tr>
        <w:trPr>
          <w:trHeight w:val="184"/>
        </w:trPr>
        <w:tc>
          <w:tcPr>
            <w:tcW w:w="3800" w:type="dxa"/>
            <w:vAlign w:val="bottom"/>
          </w:tcPr>
          <w:p>
            <w:pPr>
              <w:spacing w:after="0"/>
              <w:rPr>
                <w:sz w:val="15"/>
                <w:szCs w:val="15"/>
                <w:color w:val="auto"/>
              </w:rPr>
            </w:pPr>
          </w:p>
        </w:tc>
        <w:tc>
          <w:tcPr>
            <w:tcW w:w="1100" w:type="dxa"/>
            <w:vAlign w:val="bottom"/>
          </w:tcPr>
          <w:p>
            <w:pPr>
              <w:jc w:val="right"/>
              <w:ind w:right="335"/>
              <w:spacing w:after="0"/>
              <w:rPr>
                <w:sz w:val="20"/>
                <w:szCs w:val="20"/>
                <w:color w:val="auto"/>
              </w:rPr>
            </w:pPr>
            <w:r>
              <w:rPr>
                <w:rFonts w:ascii="Arial" w:cs="Arial" w:eastAsia="Arial" w:hAnsi="Arial"/>
                <w:sz w:val="13"/>
                <w:szCs w:val="13"/>
                <w:b w:val="1"/>
                <w:bCs w:val="1"/>
                <w:color w:val="auto"/>
              </w:rPr>
              <w:t>Common</w:t>
            </w:r>
          </w:p>
        </w:tc>
        <w:tc>
          <w:tcPr>
            <w:tcW w:w="1100" w:type="dxa"/>
            <w:vAlign w:val="bottom"/>
          </w:tcPr>
          <w:p>
            <w:pPr>
              <w:jc w:val="right"/>
              <w:ind w:right="275"/>
              <w:spacing w:after="0"/>
              <w:rPr>
                <w:sz w:val="20"/>
                <w:szCs w:val="20"/>
                <w:color w:val="auto"/>
              </w:rPr>
            </w:pPr>
            <w:r>
              <w:rPr>
                <w:rFonts w:ascii="Arial" w:cs="Arial" w:eastAsia="Arial" w:hAnsi="Arial"/>
                <w:sz w:val="13"/>
                <w:szCs w:val="13"/>
                <w:b w:val="1"/>
                <w:bCs w:val="1"/>
                <w:color w:val="auto"/>
              </w:rPr>
              <w:t>Earnings</w:t>
            </w: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Comprehensive</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6"/>
              </w:rPr>
              <w:t>Held in</w:t>
            </w:r>
          </w:p>
        </w:tc>
        <w:tc>
          <w:tcPr>
            <w:tcW w:w="12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Share of</w:t>
            </w:r>
          </w:p>
        </w:tc>
        <w:tc>
          <w:tcPr>
            <w:tcW w:w="940" w:type="dxa"/>
            <w:vAlign w:val="bottom"/>
          </w:tcPr>
          <w:p>
            <w:pPr>
              <w:jc w:val="center"/>
              <w:ind w:right="175"/>
              <w:spacing w:after="0"/>
              <w:rPr>
                <w:sz w:val="20"/>
                <w:szCs w:val="20"/>
                <w:color w:val="auto"/>
              </w:rPr>
            </w:pPr>
            <w:r>
              <w:rPr>
                <w:rFonts w:ascii="Arial" w:cs="Arial" w:eastAsia="Arial" w:hAnsi="Arial"/>
                <w:sz w:val="13"/>
                <w:szCs w:val="13"/>
                <w:b w:val="1"/>
                <w:bCs w:val="1"/>
                <w:color w:val="auto"/>
                <w:w w:val="92"/>
              </w:rPr>
              <w:t>controlling</w:t>
            </w:r>
          </w:p>
        </w:tc>
        <w:tc>
          <w:tcPr>
            <w:tcW w:w="380" w:type="dxa"/>
            <w:vAlign w:val="bottom"/>
          </w:tcPr>
          <w:p>
            <w:pPr>
              <w:spacing w:after="0"/>
              <w:rPr>
                <w:sz w:val="15"/>
                <w:szCs w:val="15"/>
                <w:color w:val="auto"/>
              </w:rPr>
            </w:pPr>
          </w:p>
        </w:tc>
      </w:tr>
      <w:tr>
        <w:trPr>
          <w:trHeight w:val="189"/>
        </w:trPr>
        <w:tc>
          <w:tcPr>
            <w:tcW w:w="38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3"/>
                <w:szCs w:val="13"/>
                <w:b w:val="1"/>
                <w:bCs w:val="1"/>
                <w:color w:val="auto"/>
              </w:rPr>
              <w:t>Stock</w:t>
            </w:r>
          </w:p>
        </w:tc>
        <w:tc>
          <w:tcPr>
            <w:tcW w:w="110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b w:val="1"/>
                <w:bCs w:val="1"/>
                <w:color w:val="auto"/>
              </w:rPr>
              <w:t>Reinvested</w:t>
            </w: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Income</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Treasury</w:t>
            </w: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0"/>
              </w:rPr>
              <w:t>Equity</w:t>
            </w:r>
          </w:p>
        </w:tc>
        <w:tc>
          <w:tcPr>
            <w:tcW w:w="9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b w:val="1"/>
                <w:bCs w:val="1"/>
                <w:color w:val="auto"/>
                <w:w w:val="88"/>
              </w:rPr>
              <w:t>Interests</w:t>
            </w:r>
          </w:p>
        </w:tc>
        <w:tc>
          <w:tcPr>
            <w:tcW w:w="380" w:type="dxa"/>
            <w:vAlign w:val="bottom"/>
            <w:tcBorders>
              <w:bottom w:val="single" w:sz="8" w:color="auto"/>
            </w:tcBorders>
          </w:tcPr>
          <w:p>
            <w:pPr>
              <w:ind w:left="300"/>
              <w:spacing w:after="0"/>
              <w:rPr>
                <w:sz w:val="20"/>
                <w:szCs w:val="20"/>
                <w:color w:val="auto"/>
              </w:rPr>
            </w:pPr>
            <w:r>
              <w:rPr>
                <w:rFonts w:ascii="Arial" w:cs="Arial" w:eastAsia="Arial" w:hAnsi="Arial"/>
                <w:sz w:val="12"/>
                <w:szCs w:val="12"/>
                <w:b w:val="1"/>
                <w:bCs w:val="1"/>
                <w:color w:val="auto"/>
                <w:w w:val="74"/>
              </w:rPr>
              <w:t>E</w:t>
            </w:r>
          </w:p>
        </w:tc>
      </w:tr>
      <w:tr>
        <w:trPr>
          <w:trHeight w:val="162"/>
        </w:trPr>
        <w:tc>
          <w:tcPr>
            <w:tcW w:w="3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135"/>
              <w:spacing w:after="0"/>
              <w:rPr>
                <w:sz w:val="20"/>
                <w:szCs w:val="20"/>
                <w:color w:val="auto"/>
              </w:rPr>
            </w:pPr>
            <w:r>
              <w:rPr>
                <w:rFonts w:ascii="Arial" w:cs="Arial" w:eastAsia="Arial" w:hAnsi="Arial"/>
                <w:sz w:val="13"/>
                <w:szCs w:val="13"/>
                <w:i w:val="1"/>
                <w:iCs w:val="1"/>
                <w:color w:val="auto"/>
                <w:w w:val="99"/>
              </w:rPr>
              <w:t>(millions of dollars)</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395"/>
        </w:trPr>
        <w:tc>
          <w:tcPr>
            <w:tcW w:w="3800" w:type="dxa"/>
            <w:vAlign w:val="bottom"/>
          </w:tcPr>
          <w:p>
            <w:pPr>
              <w:spacing w:after="0"/>
              <w:rPr>
                <w:sz w:val="20"/>
                <w:szCs w:val="20"/>
                <w:color w:val="auto"/>
              </w:rPr>
            </w:pPr>
            <w:r>
              <w:rPr>
                <w:rFonts w:ascii="Arial" w:cs="Arial" w:eastAsia="Arial" w:hAnsi="Arial"/>
                <w:sz w:val="13"/>
                <w:szCs w:val="13"/>
                <w:color w:val="auto"/>
              </w:rPr>
              <w:t>Balance as of December 31, 2011</w:t>
            </w:r>
          </w:p>
        </w:tc>
        <w:tc>
          <w:tcPr>
            <w:tcW w:w="1100" w:type="dxa"/>
            <w:vAlign w:val="bottom"/>
          </w:tcPr>
          <w:p>
            <w:pPr>
              <w:jc w:val="right"/>
              <w:ind w:right="175"/>
              <w:spacing w:after="0"/>
              <w:rPr>
                <w:sz w:val="20"/>
                <w:szCs w:val="20"/>
                <w:color w:val="auto"/>
              </w:rPr>
            </w:pPr>
            <w:r>
              <w:rPr>
                <w:rFonts w:ascii="Arial" w:cs="Arial" w:eastAsia="Arial" w:hAnsi="Arial"/>
                <w:sz w:val="13"/>
                <w:szCs w:val="13"/>
                <w:color w:val="auto"/>
              </w:rPr>
              <w:t>9,512</w:t>
            </w:r>
          </w:p>
        </w:tc>
        <w:tc>
          <w:tcPr>
            <w:tcW w:w="1100" w:type="dxa"/>
            <w:vAlign w:val="bottom"/>
          </w:tcPr>
          <w:p>
            <w:pPr>
              <w:jc w:val="right"/>
              <w:ind w:right="115"/>
              <w:spacing w:after="0"/>
              <w:rPr>
                <w:sz w:val="20"/>
                <w:szCs w:val="20"/>
                <w:color w:val="auto"/>
              </w:rPr>
            </w:pPr>
            <w:r>
              <w:rPr>
                <w:rFonts w:ascii="Arial" w:cs="Arial" w:eastAsia="Arial" w:hAnsi="Arial"/>
                <w:sz w:val="13"/>
                <w:szCs w:val="13"/>
                <w:color w:val="auto"/>
              </w:rPr>
              <w:t>330,939</w:t>
            </w: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auto"/>
              </w:rPr>
              <w:t>(9,123)</w:t>
            </w:r>
          </w:p>
        </w:tc>
        <w:tc>
          <w:tcPr>
            <w:tcW w:w="1300" w:type="dxa"/>
            <w:vAlign w:val="bottom"/>
          </w:tcPr>
          <w:p>
            <w:pPr>
              <w:jc w:val="right"/>
              <w:ind w:right="115"/>
              <w:spacing w:after="0"/>
              <w:rPr>
                <w:sz w:val="20"/>
                <w:szCs w:val="20"/>
                <w:color w:val="auto"/>
              </w:rPr>
            </w:pPr>
            <w:r>
              <w:rPr>
                <w:rFonts w:ascii="Arial" w:cs="Arial" w:eastAsia="Arial" w:hAnsi="Arial"/>
                <w:sz w:val="13"/>
                <w:szCs w:val="13"/>
                <w:color w:val="auto"/>
              </w:rPr>
              <w:t>(176,932)</w:t>
            </w:r>
          </w:p>
        </w:tc>
        <w:tc>
          <w:tcPr>
            <w:tcW w:w="960" w:type="dxa"/>
            <w:vAlign w:val="bottom"/>
          </w:tcPr>
          <w:p>
            <w:pPr>
              <w:jc w:val="right"/>
              <w:spacing w:after="0"/>
              <w:rPr>
                <w:sz w:val="20"/>
                <w:szCs w:val="20"/>
                <w:color w:val="auto"/>
              </w:rPr>
            </w:pPr>
            <w:r>
              <w:rPr>
                <w:rFonts w:ascii="Arial" w:cs="Arial" w:eastAsia="Arial" w:hAnsi="Arial"/>
                <w:sz w:val="13"/>
                <w:szCs w:val="13"/>
                <w:color w:val="auto"/>
              </w:rPr>
              <w:t>154,396</w:t>
            </w:r>
          </w:p>
        </w:tc>
        <w:tc>
          <w:tcPr>
            <w:tcW w:w="320" w:type="dxa"/>
            <w:vAlign w:val="bottom"/>
          </w:tcPr>
          <w:p>
            <w:pPr>
              <w:spacing w:after="0"/>
              <w:rPr>
                <w:sz w:val="24"/>
                <w:szCs w:val="24"/>
                <w:color w:val="auto"/>
              </w:rPr>
            </w:pPr>
          </w:p>
        </w:tc>
        <w:tc>
          <w:tcPr>
            <w:tcW w:w="940" w:type="dxa"/>
            <w:vAlign w:val="bottom"/>
          </w:tcPr>
          <w:p>
            <w:pPr>
              <w:jc w:val="right"/>
              <w:ind w:right="115"/>
              <w:spacing w:after="0"/>
              <w:rPr>
                <w:sz w:val="20"/>
                <w:szCs w:val="20"/>
                <w:color w:val="auto"/>
              </w:rPr>
            </w:pPr>
            <w:r>
              <w:rPr>
                <w:rFonts w:ascii="Arial" w:cs="Arial" w:eastAsia="Arial" w:hAnsi="Arial"/>
                <w:sz w:val="13"/>
                <w:szCs w:val="13"/>
                <w:color w:val="auto"/>
              </w:rPr>
              <w:t>6,348</w:t>
            </w:r>
          </w:p>
        </w:tc>
        <w:tc>
          <w:tcPr>
            <w:tcW w:w="380" w:type="dxa"/>
            <w:vAlign w:val="bottom"/>
          </w:tcPr>
          <w:p>
            <w:pPr>
              <w:spacing w:after="0"/>
              <w:rPr>
                <w:sz w:val="24"/>
                <w:szCs w:val="24"/>
                <w:color w:val="auto"/>
              </w:rPr>
            </w:pPr>
          </w:p>
        </w:tc>
      </w:tr>
      <w:tr>
        <w:trPr>
          <w:trHeight w:val="196"/>
        </w:trPr>
        <w:tc>
          <w:tcPr>
            <w:tcW w:w="3800" w:type="dxa"/>
            <w:vAlign w:val="bottom"/>
          </w:tcPr>
          <w:p>
            <w:pPr>
              <w:ind w:left="240"/>
              <w:spacing w:after="0"/>
              <w:rPr>
                <w:sz w:val="20"/>
                <w:szCs w:val="20"/>
                <w:color w:val="auto"/>
              </w:rPr>
            </w:pPr>
            <w:r>
              <w:rPr>
                <w:rFonts w:ascii="Arial" w:cs="Arial" w:eastAsia="Arial" w:hAnsi="Arial"/>
                <w:sz w:val="13"/>
                <w:szCs w:val="13"/>
                <w:color w:val="auto"/>
              </w:rPr>
              <w:t>Amortization of stock-based awards</w:t>
            </w:r>
          </w:p>
        </w:tc>
        <w:tc>
          <w:tcPr>
            <w:tcW w:w="1100" w:type="dxa"/>
            <w:vAlign w:val="bottom"/>
          </w:tcPr>
          <w:p>
            <w:pPr>
              <w:jc w:val="right"/>
              <w:ind w:right="175"/>
              <w:spacing w:after="0"/>
              <w:rPr>
                <w:sz w:val="20"/>
                <w:szCs w:val="20"/>
                <w:color w:val="auto"/>
              </w:rPr>
            </w:pPr>
            <w:r>
              <w:rPr>
                <w:rFonts w:ascii="Arial" w:cs="Arial" w:eastAsia="Arial" w:hAnsi="Arial"/>
                <w:sz w:val="13"/>
                <w:szCs w:val="13"/>
                <w:color w:val="auto"/>
              </w:rPr>
              <w:t>806</w:t>
            </w:r>
          </w:p>
        </w:tc>
        <w:tc>
          <w:tcPr>
            <w:tcW w:w="11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806</w:t>
            </w:r>
          </w:p>
        </w:tc>
        <w:tc>
          <w:tcPr>
            <w:tcW w:w="320" w:type="dxa"/>
            <w:vAlign w:val="bottom"/>
          </w:tcPr>
          <w:p>
            <w:pPr>
              <w:spacing w:after="0"/>
              <w:rPr>
                <w:sz w:val="17"/>
                <w:szCs w:val="17"/>
                <w:color w:val="auto"/>
              </w:rPr>
            </w:pPr>
          </w:p>
        </w:tc>
        <w:tc>
          <w:tcPr>
            <w:tcW w:w="94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7"/>
                <w:szCs w:val="17"/>
                <w:color w:val="auto"/>
              </w:rPr>
            </w:pPr>
          </w:p>
        </w:tc>
      </w:tr>
      <w:tr>
        <w:trPr>
          <w:trHeight w:val="196"/>
        </w:trPr>
        <w:tc>
          <w:tcPr>
            <w:tcW w:w="3800" w:type="dxa"/>
            <w:vAlign w:val="bottom"/>
          </w:tcPr>
          <w:p>
            <w:pPr>
              <w:ind w:left="240"/>
              <w:spacing w:after="0"/>
              <w:rPr>
                <w:sz w:val="20"/>
                <w:szCs w:val="20"/>
                <w:color w:val="auto"/>
              </w:rPr>
            </w:pPr>
            <w:r>
              <w:rPr>
                <w:rFonts w:ascii="Arial" w:cs="Arial" w:eastAsia="Arial" w:hAnsi="Arial"/>
                <w:sz w:val="13"/>
                <w:szCs w:val="13"/>
                <w:color w:val="auto"/>
              </w:rPr>
              <w:t>Tax benefits related to stock-based awards</w:t>
            </w:r>
          </w:p>
        </w:tc>
        <w:tc>
          <w:tcPr>
            <w:tcW w:w="1100" w:type="dxa"/>
            <w:vAlign w:val="bottom"/>
          </w:tcPr>
          <w:p>
            <w:pPr>
              <w:jc w:val="right"/>
              <w:ind w:right="175"/>
              <w:spacing w:after="0"/>
              <w:rPr>
                <w:sz w:val="20"/>
                <w:szCs w:val="20"/>
                <w:color w:val="auto"/>
              </w:rPr>
            </w:pPr>
            <w:r>
              <w:rPr>
                <w:rFonts w:ascii="Arial" w:cs="Arial" w:eastAsia="Arial" w:hAnsi="Arial"/>
                <w:sz w:val="13"/>
                <w:szCs w:val="13"/>
                <w:color w:val="auto"/>
              </w:rPr>
              <w:t>178</w:t>
            </w:r>
          </w:p>
        </w:tc>
        <w:tc>
          <w:tcPr>
            <w:tcW w:w="11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178</w:t>
            </w:r>
          </w:p>
        </w:tc>
        <w:tc>
          <w:tcPr>
            <w:tcW w:w="320" w:type="dxa"/>
            <w:vAlign w:val="bottom"/>
          </w:tcPr>
          <w:p>
            <w:pPr>
              <w:spacing w:after="0"/>
              <w:rPr>
                <w:sz w:val="17"/>
                <w:szCs w:val="17"/>
                <w:color w:val="auto"/>
              </w:rPr>
            </w:pPr>
          </w:p>
        </w:tc>
        <w:tc>
          <w:tcPr>
            <w:tcW w:w="94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7"/>
                <w:szCs w:val="17"/>
                <w:color w:val="auto"/>
              </w:rPr>
            </w:pPr>
          </w:p>
        </w:tc>
      </w:tr>
      <w:tr>
        <w:trPr>
          <w:trHeight w:val="196"/>
        </w:trPr>
        <w:tc>
          <w:tcPr>
            <w:tcW w:w="3800" w:type="dxa"/>
            <w:vAlign w:val="bottom"/>
          </w:tcPr>
          <w:p>
            <w:pPr>
              <w:ind w:left="240"/>
              <w:spacing w:after="0"/>
              <w:rPr>
                <w:sz w:val="20"/>
                <w:szCs w:val="20"/>
                <w:color w:val="auto"/>
              </w:rPr>
            </w:pPr>
            <w:r>
              <w:rPr>
                <w:rFonts w:ascii="Arial" w:cs="Arial" w:eastAsia="Arial" w:hAnsi="Arial"/>
                <w:sz w:val="13"/>
                <w:szCs w:val="13"/>
                <w:color w:val="auto"/>
              </w:rPr>
              <w:t>Other</w:t>
            </w:r>
          </w:p>
        </w:tc>
        <w:tc>
          <w:tcPr>
            <w:tcW w:w="1100" w:type="dxa"/>
            <w:vAlign w:val="bottom"/>
          </w:tcPr>
          <w:p>
            <w:pPr>
              <w:jc w:val="center"/>
              <w:ind w:left="375"/>
              <w:spacing w:after="0"/>
              <w:rPr>
                <w:sz w:val="20"/>
                <w:szCs w:val="20"/>
                <w:color w:val="auto"/>
              </w:rPr>
            </w:pPr>
            <w:r>
              <w:rPr>
                <w:rFonts w:ascii="Arial" w:cs="Arial" w:eastAsia="Arial" w:hAnsi="Arial"/>
                <w:sz w:val="13"/>
                <w:szCs w:val="13"/>
                <w:color w:val="auto"/>
                <w:w w:val="98"/>
              </w:rPr>
              <w:t>(843)</w:t>
            </w:r>
          </w:p>
        </w:tc>
        <w:tc>
          <w:tcPr>
            <w:tcW w:w="11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3"/>
                <w:szCs w:val="13"/>
                <w:color w:val="auto"/>
              </w:rPr>
              <w:t>(843)</w:t>
            </w:r>
          </w:p>
        </w:tc>
        <w:tc>
          <w:tcPr>
            <w:tcW w:w="940" w:type="dxa"/>
            <w:vAlign w:val="bottom"/>
          </w:tcPr>
          <w:p>
            <w:pPr>
              <w:jc w:val="right"/>
              <w:ind w:right="75"/>
              <w:spacing w:after="0"/>
              <w:rPr>
                <w:sz w:val="20"/>
                <w:szCs w:val="20"/>
                <w:color w:val="auto"/>
              </w:rPr>
            </w:pPr>
            <w:r>
              <w:rPr>
                <w:rFonts w:ascii="Arial" w:cs="Arial" w:eastAsia="Arial" w:hAnsi="Arial"/>
                <w:sz w:val="13"/>
                <w:szCs w:val="13"/>
                <w:color w:val="auto"/>
              </w:rPr>
              <w:t>(1,441)</w:t>
            </w:r>
          </w:p>
        </w:tc>
        <w:tc>
          <w:tcPr>
            <w:tcW w:w="380" w:type="dxa"/>
            <w:vAlign w:val="bottom"/>
          </w:tcPr>
          <w:p>
            <w:pPr>
              <w:spacing w:after="0"/>
              <w:rPr>
                <w:sz w:val="17"/>
                <w:szCs w:val="17"/>
                <w:color w:val="auto"/>
              </w:rPr>
            </w:pPr>
          </w:p>
        </w:tc>
      </w:tr>
      <w:tr>
        <w:trPr>
          <w:trHeight w:val="196"/>
        </w:trPr>
        <w:tc>
          <w:tcPr>
            <w:tcW w:w="3800" w:type="dxa"/>
            <w:vAlign w:val="bottom"/>
          </w:tcPr>
          <w:p>
            <w:pPr>
              <w:ind w:left="240"/>
              <w:spacing w:after="0"/>
              <w:rPr>
                <w:sz w:val="20"/>
                <w:szCs w:val="20"/>
                <w:color w:val="auto"/>
              </w:rPr>
            </w:pPr>
            <w:r>
              <w:rPr>
                <w:rFonts w:ascii="Arial" w:cs="Arial" w:eastAsia="Arial" w:hAnsi="Arial"/>
                <w:sz w:val="13"/>
                <w:szCs w:val="13"/>
                <w:color w:val="auto"/>
              </w:rPr>
              <w:t>Net income for the year</w:t>
            </w:r>
          </w:p>
        </w:tc>
        <w:tc>
          <w:tcPr>
            <w:tcW w:w="1100" w:type="dxa"/>
            <w:vAlign w:val="bottom"/>
          </w:tcPr>
          <w:p>
            <w:pPr>
              <w:jc w:val="center"/>
              <w:ind w:left="395"/>
              <w:spacing w:after="0"/>
              <w:rPr>
                <w:sz w:val="20"/>
                <w:szCs w:val="20"/>
                <w:color w:val="auto"/>
              </w:rPr>
            </w:pPr>
            <w:r>
              <w:rPr>
                <w:rFonts w:ascii="Arial" w:cs="Arial" w:eastAsia="Arial" w:hAnsi="Arial"/>
                <w:sz w:val="13"/>
                <w:szCs w:val="13"/>
                <w:color w:val="auto"/>
                <w:w w:val="91"/>
              </w:rPr>
              <w:t>-</w:t>
            </w:r>
          </w:p>
        </w:tc>
        <w:tc>
          <w:tcPr>
            <w:tcW w:w="1100" w:type="dxa"/>
            <w:vAlign w:val="bottom"/>
          </w:tcPr>
          <w:p>
            <w:pPr>
              <w:jc w:val="right"/>
              <w:ind w:right="115"/>
              <w:spacing w:after="0"/>
              <w:rPr>
                <w:sz w:val="20"/>
                <w:szCs w:val="20"/>
                <w:color w:val="auto"/>
              </w:rPr>
            </w:pPr>
            <w:r>
              <w:rPr>
                <w:rFonts w:ascii="Arial" w:cs="Arial" w:eastAsia="Arial" w:hAnsi="Arial"/>
                <w:sz w:val="13"/>
                <w:szCs w:val="13"/>
                <w:color w:val="auto"/>
              </w:rPr>
              <w:t>44,880</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44,880</w:t>
            </w:r>
          </w:p>
        </w:tc>
        <w:tc>
          <w:tcPr>
            <w:tcW w:w="320" w:type="dxa"/>
            <w:vAlign w:val="bottom"/>
          </w:tcPr>
          <w:p>
            <w:pPr>
              <w:spacing w:after="0"/>
              <w:rPr>
                <w:sz w:val="17"/>
                <w:szCs w:val="17"/>
                <w:color w:val="auto"/>
              </w:rPr>
            </w:pPr>
          </w:p>
        </w:tc>
        <w:tc>
          <w:tcPr>
            <w:tcW w:w="940" w:type="dxa"/>
            <w:vAlign w:val="bottom"/>
          </w:tcPr>
          <w:p>
            <w:pPr>
              <w:jc w:val="right"/>
              <w:ind w:right="115"/>
              <w:spacing w:after="0"/>
              <w:rPr>
                <w:sz w:val="20"/>
                <w:szCs w:val="20"/>
                <w:color w:val="auto"/>
              </w:rPr>
            </w:pPr>
            <w:r>
              <w:rPr>
                <w:rFonts w:ascii="Arial" w:cs="Arial" w:eastAsia="Arial" w:hAnsi="Arial"/>
                <w:sz w:val="13"/>
                <w:szCs w:val="13"/>
                <w:color w:val="auto"/>
              </w:rPr>
              <w:t>2,801</w:t>
            </w:r>
          </w:p>
        </w:tc>
        <w:tc>
          <w:tcPr>
            <w:tcW w:w="380" w:type="dxa"/>
            <w:vAlign w:val="bottom"/>
          </w:tcPr>
          <w:p>
            <w:pPr>
              <w:spacing w:after="0"/>
              <w:rPr>
                <w:sz w:val="17"/>
                <w:szCs w:val="17"/>
                <w:color w:val="auto"/>
              </w:rPr>
            </w:pPr>
          </w:p>
        </w:tc>
      </w:tr>
      <w:tr>
        <w:trPr>
          <w:trHeight w:val="196"/>
        </w:trPr>
        <w:tc>
          <w:tcPr>
            <w:tcW w:w="3800" w:type="dxa"/>
            <w:vAlign w:val="bottom"/>
          </w:tcPr>
          <w:p>
            <w:pPr>
              <w:ind w:left="240"/>
              <w:spacing w:after="0"/>
              <w:rPr>
                <w:sz w:val="20"/>
                <w:szCs w:val="20"/>
                <w:color w:val="auto"/>
              </w:rPr>
            </w:pPr>
            <w:r>
              <w:rPr>
                <w:rFonts w:ascii="Arial" w:cs="Arial" w:eastAsia="Arial" w:hAnsi="Arial"/>
                <w:sz w:val="13"/>
                <w:szCs w:val="13"/>
                <w:color w:val="auto"/>
              </w:rPr>
              <w:t>Dividends - common shares</w:t>
            </w:r>
          </w:p>
        </w:tc>
        <w:tc>
          <w:tcPr>
            <w:tcW w:w="1100" w:type="dxa"/>
            <w:vAlign w:val="bottom"/>
          </w:tcPr>
          <w:p>
            <w:pPr>
              <w:jc w:val="center"/>
              <w:ind w:left="395"/>
              <w:spacing w:after="0"/>
              <w:rPr>
                <w:sz w:val="20"/>
                <w:szCs w:val="20"/>
                <w:color w:val="auto"/>
              </w:rPr>
            </w:pPr>
            <w:r>
              <w:rPr>
                <w:rFonts w:ascii="Arial" w:cs="Arial" w:eastAsia="Arial" w:hAnsi="Arial"/>
                <w:sz w:val="13"/>
                <w:szCs w:val="13"/>
                <w:color w:val="auto"/>
                <w:w w:val="91"/>
              </w:rPr>
              <w:t>-</w:t>
            </w: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(10,092)</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3"/>
                <w:szCs w:val="13"/>
                <w:color w:val="auto"/>
              </w:rPr>
              <w:t>(10,092)</w:t>
            </w:r>
          </w:p>
        </w:tc>
        <w:tc>
          <w:tcPr>
            <w:tcW w:w="940" w:type="dxa"/>
            <w:vAlign w:val="bottom"/>
          </w:tcPr>
          <w:p>
            <w:pPr>
              <w:jc w:val="right"/>
              <w:ind w:right="75"/>
              <w:spacing w:after="0"/>
              <w:rPr>
                <w:sz w:val="20"/>
                <w:szCs w:val="20"/>
                <w:color w:val="auto"/>
              </w:rPr>
            </w:pPr>
            <w:r>
              <w:rPr>
                <w:rFonts w:ascii="Arial" w:cs="Arial" w:eastAsia="Arial" w:hAnsi="Arial"/>
                <w:sz w:val="13"/>
                <w:szCs w:val="13"/>
                <w:color w:val="auto"/>
              </w:rPr>
              <w:t>(327)</w:t>
            </w:r>
          </w:p>
        </w:tc>
        <w:tc>
          <w:tcPr>
            <w:tcW w:w="380" w:type="dxa"/>
            <w:vAlign w:val="bottom"/>
          </w:tcPr>
          <w:p>
            <w:pPr>
              <w:spacing w:after="0"/>
              <w:rPr>
                <w:sz w:val="17"/>
                <w:szCs w:val="17"/>
                <w:color w:val="auto"/>
              </w:rPr>
            </w:pPr>
          </w:p>
        </w:tc>
      </w:tr>
      <w:tr>
        <w:trPr>
          <w:trHeight w:val="196"/>
        </w:trPr>
        <w:tc>
          <w:tcPr>
            <w:tcW w:w="3800" w:type="dxa"/>
            <w:vAlign w:val="bottom"/>
          </w:tcPr>
          <w:p>
            <w:pPr>
              <w:ind w:left="240"/>
              <w:spacing w:after="0"/>
              <w:rPr>
                <w:sz w:val="20"/>
                <w:szCs w:val="20"/>
                <w:color w:val="auto"/>
              </w:rPr>
            </w:pPr>
            <w:r>
              <w:rPr>
                <w:rFonts w:ascii="Arial" w:cs="Arial" w:eastAsia="Arial" w:hAnsi="Arial"/>
                <w:sz w:val="13"/>
                <w:szCs w:val="13"/>
                <w:color w:val="auto"/>
              </w:rPr>
              <w:t>Other comprehensive income</w:t>
            </w:r>
          </w:p>
        </w:tc>
        <w:tc>
          <w:tcPr>
            <w:tcW w:w="1100" w:type="dxa"/>
            <w:vAlign w:val="bottom"/>
          </w:tcPr>
          <w:p>
            <w:pPr>
              <w:jc w:val="center"/>
              <w:ind w:left="395"/>
              <w:spacing w:after="0"/>
              <w:rPr>
                <w:sz w:val="20"/>
                <w:szCs w:val="20"/>
                <w:color w:val="auto"/>
              </w:rPr>
            </w:pPr>
            <w:r>
              <w:rPr>
                <w:rFonts w:ascii="Arial" w:cs="Arial" w:eastAsia="Arial" w:hAnsi="Arial"/>
                <w:sz w:val="13"/>
                <w:szCs w:val="13"/>
                <w:color w:val="auto"/>
                <w:w w:val="91"/>
              </w:rPr>
              <w:t>-</w:t>
            </w:r>
          </w:p>
        </w:tc>
        <w:tc>
          <w:tcPr>
            <w:tcW w:w="11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auto"/>
              </w:rPr>
              <w:t>(3,061)</w:t>
            </w:r>
          </w:p>
        </w:tc>
        <w:tc>
          <w:tcPr>
            <w:tcW w:w="13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3"/>
                <w:szCs w:val="13"/>
                <w:color w:val="auto"/>
              </w:rPr>
              <w:t>(3,061)</w:t>
            </w:r>
          </w:p>
        </w:tc>
        <w:tc>
          <w:tcPr>
            <w:tcW w:w="940" w:type="dxa"/>
            <w:vAlign w:val="bottom"/>
          </w:tcPr>
          <w:p>
            <w:pPr>
              <w:jc w:val="right"/>
              <w:ind w:right="75"/>
              <w:spacing w:after="0"/>
              <w:rPr>
                <w:sz w:val="20"/>
                <w:szCs w:val="20"/>
                <w:color w:val="auto"/>
              </w:rPr>
            </w:pPr>
            <w:r>
              <w:rPr>
                <w:rFonts w:ascii="Arial" w:cs="Arial" w:eastAsia="Arial" w:hAnsi="Arial"/>
                <w:sz w:val="13"/>
                <w:szCs w:val="13"/>
                <w:color w:val="auto"/>
              </w:rPr>
              <w:t>(1,550)</w:t>
            </w:r>
          </w:p>
        </w:tc>
        <w:tc>
          <w:tcPr>
            <w:tcW w:w="380" w:type="dxa"/>
            <w:vAlign w:val="bottom"/>
          </w:tcPr>
          <w:p>
            <w:pPr>
              <w:spacing w:after="0"/>
              <w:rPr>
                <w:sz w:val="17"/>
                <w:szCs w:val="17"/>
                <w:color w:val="auto"/>
              </w:rPr>
            </w:pPr>
          </w:p>
        </w:tc>
      </w:tr>
      <w:tr>
        <w:trPr>
          <w:trHeight w:val="196"/>
        </w:trPr>
        <w:tc>
          <w:tcPr>
            <w:tcW w:w="3800" w:type="dxa"/>
            <w:vAlign w:val="bottom"/>
          </w:tcPr>
          <w:p>
            <w:pPr>
              <w:ind w:left="240"/>
              <w:spacing w:after="0"/>
              <w:rPr>
                <w:sz w:val="20"/>
                <w:szCs w:val="20"/>
                <w:color w:val="auto"/>
              </w:rPr>
            </w:pPr>
            <w:r>
              <w:rPr>
                <w:rFonts w:ascii="Arial" w:cs="Arial" w:eastAsia="Arial" w:hAnsi="Arial"/>
                <w:sz w:val="13"/>
                <w:szCs w:val="13"/>
                <w:color w:val="auto"/>
              </w:rPr>
              <w:t>Acquisitions, at cost</w:t>
            </w:r>
          </w:p>
        </w:tc>
        <w:tc>
          <w:tcPr>
            <w:tcW w:w="1100" w:type="dxa"/>
            <w:vAlign w:val="bottom"/>
          </w:tcPr>
          <w:p>
            <w:pPr>
              <w:jc w:val="center"/>
              <w:ind w:left="395"/>
              <w:spacing w:after="0"/>
              <w:rPr>
                <w:sz w:val="20"/>
                <w:szCs w:val="20"/>
                <w:color w:val="auto"/>
              </w:rPr>
            </w:pPr>
            <w:r>
              <w:rPr>
                <w:rFonts w:ascii="Arial" w:cs="Arial" w:eastAsia="Arial" w:hAnsi="Arial"/>
                <w:sz w:val="13"/>
                <w:szCs w:val="13"/>
                <w:color w:val="auto"/>
                <w:w w:val="91"/>
              </w:rPr>
              <w:t>-</w:t>
            </w:r>
          </w:p>
        </w:tc>
        <w:tc>
          <w:tcPr>
            <w:tcW w:w="11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15"/>
              <w:spacing w:after="0"/>
              <w:rPr>
                <w:sz w:val="20"/>
                <w:szCs w:val="20"/>
                <w:color w:val="auto"/>
              </w:rPr>
            </w:pPr>
            <w:r>
              <w:rPr>
                <w:rFonts w:ascii="Arial" w:cs="Arial" w:eastAsia="Arial" w:hAnsi="Arial"/>
                <w:sz w:val="13"/>
                <w:szCs w:val="13"/>
                <w:color w:val="auto"/>
              </w:rPr>
              <w:t>(21,068)</w:t>
            </w:r>
          </w:p>
        </w:tc>
        <w:tc>
          <w:tcPr>
            <w:tcW w:w="1280" w:type="dxa"/>
            <w:vAlign w:val="bottom"/>
            <w:gridSpan w:val="2"/>
          </w:tcPr>
          <w:p>
            <w:pPr>
              <w:jc w:val="right"/>
              <w:ind w:right="320"/>
              <w:spacing w:after="0"/>
              <w:rPr>
                <w:sz w:val="20"/>
                <w:szCs w:val="20"/>
                <w:color w:val="auto"/>
              </w:rPr>
            </w:pPr>
            <w:r>
              <w:rPr>
                <w:rFonts w:ascii="Arial" w:cs="Arial" w:eastAsia="Arial" w:hAnsi="Arial"/>
                <w:sz w:val="13"/>
                <w:szCs w:val="13"/>
                <w:color w:val="auto"/>
              </w:rPr>
              <w:t>(21,068)</w:t>
            </w:r>
          </w:p>
        </w:tc>
        <w:tc>
          <w:tcPr>
            <w:tcW w:w="940" w:type="dxa"/>
            <w:vAlign w:val="bottom"/>
          </w:tcPr>
          <w:p>
            <w:pPr>
              <w:jc w:val="right"/>
              <w:ind w:right="75"/>
              <w:spacing w:after="0"/>
              <w:rPr>
                <w:sz w:val="20"/>
                <w:szCs w:val="20"/>
                <w:color w:val="auto"/>
              </w:rPr>
            </w:pPr>
            <w:r>
              <w:rPr>
                <w:rFonts w:ascii="Arial" w:cs="Arial" w:eastAsia="Arial" w:hAnsi="Arial"/>
                <w:sz w:val="13"/>
                <w:szCs w:val="13"/>
                <w:color w:val="auto"/>
              </w:rPr>
              <w:t>(34)</w:t>
            </w:r>
          </w:p>
        </w:tc>
        <w:tc>
          <w:tcPr>
            <w:tcW w:w="380" w:type="dxa"/>
            <w:vAlign w:val="bottom"/>
          </w:tcPr>
          <w:p>
            <w:pPr>
              <w:spacing w:after="0"/>
              <w:rPr>
                <w:sz w:val="17"/>
                <w:szCs w:val="17"/>
                <w:color w:val="auto"/>
              </w:rPr>
            </w:pPr>
          </w:p>
        </w:tc>
      </w:tr>
      <w:tr>
        <w:trPr>
          <w:trHeight w:val="188"/>
        </w:trPr>
        <w:tc>
          <w:tcPr>
            <w:tcW w:w="3800" w:type="dxa"/>
            <w:vAlign w:val="bottom"/>
          </w:tcPr>
          <w:p>
            <w:pPr>
              <w:ind w:left="240"/>
              <w:spacing w:after="0"/>
              <w:rPr>
                <w:sz w:val="20"/>
                <w:szCs w:val="20"/>
                <w:color w:val="auto"/>
              </w:rPr>
            </w:pPr>
            <w:r>
              <w:rPr>
                <w:rFonts w:ascii="Arial" w:cs="Arial" w:eastAsia="Arial" w:hAnsi="Arial"/>
                <w:sz w:val="13"/>
                <w:szCs w:val="13"/>
                <w:color w:val="auto"/>
              </w:rPr>
              <w:t>Dispositions</w:t>
            </w:r>
          </w:p>
        </w:tc>
        <w:tc>
          <w:tcPr>
            <w:tcW w:w="1100" w:type="dxa"/>
            <w:vAlign w:val="bottom"/>
            <w:tcBorders>
              <w:bottom w:val="single" w:sz="8" w:color="auto"/>
            </w:tcBorders>
          </w:tcPr>
          <w:p>
            <w:pPr>
              <w:jc w:val="center"/>
              <w:ind w:left="395"/>
              <w:spacing w:after="0"/>
              <w:rPr>
                <w:sz w:val="20"/>
                <w:szCs w:val="20"/>
                <w:color w:val="auto"/>
              </w:rPr>
            </w:pPr>
            <w:r>
              <w:rPr>
                <w:rFonts w:ascii="Arial" w:cs="Arial" w:eastAsia="Arial" w:hAnsi="Arial"/>
                <w:sz w:val="13"/>
                <w:szCs w:val="13"/>
                <w:color w:val="auto"/>
                <w:w w:val="91"/>
              </w:rPr>
              <w:t>-</w:t>
            </w:r>
          </w:p>
        </w:tc>
        <w:tc>
          <w:tcPr>
            <w:tcW w:w="110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rPr>
              <w:t>667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667</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spacing w:after="0"/>
              <w:rPr>
                <w:sz w:val="16"/>
                <w:szCs w:val="16"/>
                <w:color w:val="auto"/>
              </w:rPr>
            </w:pPr>
          </w:p>
        </w:tc>
      </w:tr>
      <w:tr>
        <w:trPr>
          <w:trHeight w:val="184"/>
        </w:trPr>
        <w:tc>
          <w:tcPr>
            <w:tcW w:w="3800" w:type="dxa"/>
            <w:vAlign w:val="bottom"/>
          </w:tcPr>
          <w:p>
            <w:pPr>
              <w:spacing w:after="0"/>
              <w:rPr>
                <w:sz w:val="20"/>
                <w:szCs w:val="20"/>
                <w:color w:val="auto"/>
              </w:rPr>
            </w:pPr>
            <w:r>
              <w:rPr>
                <w:rFonts w:ascii="Arial" w:cs="Arial" w:eastAsia="Arial" w:hAnsi="Arial"/>
                <w:sz w:val="13"/>
                <w:szCs w:val="13"/>
                <w:color w:val="auto"/>
              </w:rPr>
              <w:t>Balance as of December 31, 2012</w:t>
            </w:r>
          </w:p>
        </w:tc>
        <w:tc>
          <w:tcPr>
            <w:tcW w:w="1100" w:type="dxa"/>
            <w:vAlign w:val="bottom"/>
          </w:tcPr>
          <w:p>
            <w:pPr>
              <w:jc w:val="right"/>
              <w:ind w:right="175"/>
              <w:spacing w:after="0"/>
              <w:rPr>
                <w:sz w:val="20"/>
                <w:szCs w:val="20"/>
                <w:color w:val="auto"/>
              </w:rPr>
            </w:pPr>
            <w:r>
              <w:rPr>
                <w:rFonts w:ascii="Arial" w:cs="Arial" w:eastAsia="Arial" w:hAnsi="Arial"/>
                <w:sz w:val="13"/>
                <w:szCs w:val="13"/>
                <w:color w:val="auto"/>
              </w:rPr>
              <w:t>9,653</w:t>
            </w:r>
          </w:p>
        </w:tc>
        <w:tc>
          <w:tcPr>
            <w:tcW w:w="1100" w:type="dxa"/>
            <w:vAlign w:val="bottom"/>
          </w:tcPr>
          <w:p>
            <w:pPr>
              <w:jc w:val="right"/>
              <w:ind w:right="115"/>
              <w:spacing w:after="0"/>
              <w:rPr>
                <w:sz w:val="20"/>
                <w:szCs w:val="20"/>
                <w:color w:val="auto"/>
              </w:rPr>
            </w:pPr>
            <w:r>
              <w:rPr>
                <w:rFonts w:ascii="Arial" w:cs="Arial" w:eastAsia="Arial" w:hAnsi="Arial"/>
                <w:sz w:val="13"/>
                <w:szCs w:val="13"/>
                <w:color w:val="auto"/>
              </w:rPr>
              <w:t>365,727</w:t>
            </w: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auto"/>
              </w:rPr>
              <w:t>(12,184)</w:t>
            </w:r>
          </w:p>
        </w:tc>
        <w:tc>
          <w:tcPr>
            <w:tcW w:w="1300" w:type="dxa"/>
            <w:vAlign w:val="bottom"/>
          </w:tcPr>
          <w:p>
            <w:pPr>
              <w:jc w:val="right"/>
              <w:ind w:right="115"/>
              <w:spacing w:after="0"/>
              <w:rPr>
                <w:sz w:val="20"/>
                <w:szCs w:val="20"/>
                <w:color w:val="auto"/>
              </w:rPr>
            </w:pPr>
            <w:r>
              <w:rPr>
                <w:rFonts w:ascii="Arial" w:cs="Arial" w:eastAsia="Arial" w:hAnsi="Arial"/>
                <w:sz w:val="13"/>
                <w:szCs w:val="13"/>
                <w:color w:val="auto"/>
              </w:rPr>
              <w:t>(197,333)</w:t>
            </w:r>
          </w:p>
        </w:tc>
        <w:tc>
          <w:tcPr>
            <w:tcW w:w="960" w:type="dxa"/>
            <w:vAlign w:val="bottom"/>
          </w:tcPr>
          <w:p>
            <w:pPr>
              <w:jc w:val="right"/>
              <w:spacing w:after="0"/>
              <w:rPr>
                <w:sz w:val="20"/>
                <w:szCs w:val="20"/>
                <w:color w:val="auto"/>
              </w:rPr>
            </w:pPr>
            <w:r>
              <w:rPr>
                <w:rFonts w:ascii="Arial" w:cs="Arial" w:eastAsia="Arial" w:hAnsi="Arial"/>
                <w:sz w:val="13"/>
                <w:szCs w:val="13"/>
                <w:color w:val="auto"/>
              </w:rPr>
              <w:t>165,863</w:t>
            </w:r>
          </w:p>
        </w:tc>
        <w:tc>
          <w:tcPr>
            <w:tcW w:w="320" w:type="dxa"/>
            <w:vAlign w:val="bottom"/>
          </w:tcPr>
          <w:p>
            <w:pPr>
              <w:spacing w:after="0"/>
              <w:rPr>
                <w:sz w:val="16"/>
                <w:szCs w:val="16"/>
                <w:color w:val="auto"/>
              </w:rPr>
            </w:pPr>
          </w:p>
        </w:tc>
        <w:tc>
          <w:tcPr>
            <w:tcW w:w="940" w:type="dxa"/>
            <w:vAlign w:val="bottom"/>
          </w:tcPr>
          <w:p>
            <w:pPr>
              <w:jc w:val="right"/>
              <w:ind w:right="115"/>
              <w:spacing w:after="0"/>
              <w:rPr>
                <w:sz w:val="20"/>
                <w:szCs w:val="20"/>
                <w:color w:val="auto"/>
              </w:rPr>
            </w:pPr>
            <w:r>
              <w:rPr>
                <w:rFonts w:ascii="Arial" w:cs="Arial" w:eastAsia="Arial" w:hAnsi="Arial"/>
                <w:sz w:val="13"/>
                <w:szCs w:val="13"/>
                <w:color w:val="auto"/>
              </w:rPr>
              <w:t>5,797</w:t>
            </w:r>
          </w:p>
        </w:tc>
        <w:tc>
          <w:tcPr>
            <w:tcW w:w="380" w:type="dxa"/>
            <w:vAlign w:val="bottom"/>
          </w:tcPr>
          <w:p>
            <w:pPr>
              <w:spacing w:after="0"/>
              <w:rPr>
                <w:sz w:val="16"/>
                <w:szCs w:val="16"/>
                <w:color w:val="auto"/>
              </w:rPr>
            </w:pPr>
          </w:p>
        </w:tc>
      </w:tr>
      <w:tr>
        <w:trPr>
          <w:trHeight w:val="196"/>
        </w:trPr>
        <w:tc>
          <w:tcPr>
            <w:tcW w:w="3800" w:type="dxa"/>
            <w:vAlign w:val="bottom"/>
          </w:tcPr>
          <w:p>
            <w:pPr>
              <w:ind w:left="240"/>
              <w:spacing w:after="0"/>
              <w:rPr>
                <w:sz w:val="20"/>
                <w:szCs w:val="20"/>
                <w:color w:val="auto"/>
              </w:rPr>
            </w:pPr>
            <w:r>
              <w:rPr>
                <w:rFonts w:ascii="Arial" w:cs="Arial" w:eastAsia="Arial" w:hAnsi="Arial"/>
                <w:sz w:val="13"/>
                <w:szCs w:val="13"/>
                <w:color w:val="auto"/>
              </w:rPr>
              <w:t>Amortization of stock-based awards</w:t>
            </w:r>
          </w:p>
        </w:tc>
        <w:tc>
          <w:tcPr>
            <w:tcW w:w="1100" w:type="dxa"/>
            <w:vAlign w:val="bottom"/>
          </w:tcPr>
          <w:p>
            <w:pPr>
              <w:jc w:val="right"/>
              <w:ind w:right="175"/>
              <w:spacing w:after="0"/>
              <w:rPr>
                <w:sz w:val="20"/>
                <w:szCs w:val="20"/>
                <w:color w:val="auto"/>
              </w:rPr>
            </w:pPr>
            <w:r>
              <w:rPr>
                <w:rFonts w:ascii="Arial" w:cs="Arial" w:eastAsia="Arial" w:hAnsi="Arial"/>
                <w:sz w:val="13"/>
                <w:szCs w:val="13"/>
                <w:color w:val="auto"/>
              </w:rPr>
              <w:t>761</w:t>
            </w:r>
          </w:p>
        </w:tc>
        <w:tc>
          <w:tcPr>
            <w:tcW w:w="11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761</w:t>
            </w:r>
          </w:p>
        </w:tc>
        <w:tc>
          <w:tcPr>
            <w:tcW w:w="320" w:type="dxa"/>
            <w:vAlign w:val="bottom"/>
          </w:tcPr>
          <w:p>
            <w:pPr>
              <w:spacing w:after="0"/>
              <w:rPr>
                <w:sz w:val="17"/>
                <w:szCs w:val="17"/>
                <w:color w:val="auto"/>
              </w:rPr>
            </w:pPr>
          </w:p>
        </w:tc>
        <w:tc>
          <w:tcPr>
            <w:tcW w:w="94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7"/>
                <w:szCs w:val="17"/>
                <w:color w:val="auto"/>
              </w:rPr>
            </w:pPr>
          </w:p>
        </w:tc>
      </w:tr>
      <w:tr>
        <w:trPr>
          <w:trHeight w:val="196"/>
        </w:trPr>
        <w:tc>
          <w:tcPr>
            <w:tcW w:w="3800" w:type="dxa"/>
            <w:vAlign w:val="bottom"/>
          </w:tcPr>
          <w:p>
            <w:pPr>
              <w:ind w:left="240"/>
              <w:spacing w:after="0"/>
              <w:rPr>
                <w:sz w:val="20"/>
                <w:szCs w:val="20"/>
                <w:color w:val="auto"/>
              </w:rPr>
            </w:pPr>
            <w:r>
              <w:rPr>
                <w:rFonts w:ascii="Arial" w:cs="Arial" w:eastAsia="Arial" w:hAnsi="Arial"/>
                <w:sz w:val="13"/>
                <w:szCs w:val="13"/>
                <w:color w:val="auto"/>
              </w:rPr>
              <w:t>Tax benefits related to stock-based awards</w:t>
            </w:r>
          </w:p>
        </w:tc>
        <w:tc>
          <w:tcPr>
            <w:tcW w:w="1100" w:type="dxa"/>
            <w:vAlign w:val="bottom"/>
          </w:tcPr>
          <w:p>
            <w:pPr>
              <w:jc w:val="right"/>
              <w:ind w:right="175"/>
              <w:spacing w:after="0"/>
              <w:rPr>
                <w:sz w:val="20"/>
                <w:szCs w:val="20"/>
                <w:color w:val="auto"/>
              </w:rPr>
            </w:pPr>
            <w:r>
              <w:rPr>
                <w:rFonts w:ascii="Arial" w:cs="Arial" w:eastAsia="Arial" w:hAnsi="Arial"/>
                <w:sz w:val="13"/>
                <w:szCs w:val="13"/>
                <w:color w:val="auto"/>
              </w:rPr>
              <w:t>162</w:t>
            </w:r>
          </w:p>
        </w:tc>
        <w:tc>
          <w:tcPr>
            <w:tcW w:w="11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162</w:t>
            </w:r>
          </w:p>
        </w:tc>
        <w:tc>
          <w:tcPr>
            <w:tcW w:w="320" w:type="dxa"/>
            <w:vAlign w:val="bottom"/>
          </w:tcPr>
          <w:p>
            <w:pPr>
              <w:spacing w:after="0"/>
              <w:rPr>
                <w:sz w:val="17"/>
                <w:szCs w:val="17"/>
                <w:color w:val="auto"/>
              </w:rPr>
            </w:pPr>
          </w:p>
        </w:tc>
        <w:tc>
          <w:tcPr>
            <w:tcW w:w="94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7"/>
                <w:szCs w:val="17"/>
                <w:color w:val="auto"/>
              </w:rPr>
            </w:pPr>
          </w:p>
        </w:tc>
      </w:tr>
      <w:tr>
        <w:trPr>
          <w:trHeight w:val="196"/>
        </w:trPr>
        <w:tc>
          <w:tcPr>
            <w:tcW w:w="3800" w:type="dxa"/>
            <w:vAlign w:val="bottom"/>
          </w:tcPr>
          <w:p>
            <w:pPr>
              <w:ind w:left="240"/>
              <w:spacing w:after="0"/>
              <w:rPr>
                <w:sz w:val="20"/>
                <w:szCs w:val="20"/>
                <w:color w:val="auto"/>
              </w:rPr>
            </w:pPr>
            <w:r>
              <w:rPr>
                <w:rFonts w:ascii="Arial" w:cs="Arial" w:eastAsia="Arial" w:hAnsi="Arial"/>
                <w:sz w:val="13"/>
                <w:szCs w:val="13"/>
                <w:color w:val="auto"/>
              </w:rPr>
              <w:t>Other</w:t>
            </w:r>
          </w:p>
        </w:tc>
        <w:tc>
          <w:tcPr>
            <w:tcW w:w="1100" w:type="dxa"/>
            <w:vAlign w:val="bottom"/>
          </w:tcPr>
          <w:p>
            <w:pPr>
              <w:jc w:val="center"/>
              <w:ind w:left="375"/>
              <w:spacing w:after="0"/>
              <w:rPr>
                <w:sz w:val="20"/>
                <w:szCs w:val="20"/>
                <w:color w:val="auto"/>
              </w:rPr>
            </w:pPr>
            <w:r>
              <w:rPr>
                <w:rFonts w:ascii="Arial" w:cs="Arial" w:eastAsia="Arial" w:hAnsi="Arial"/>
                <w:sz w:val="13"/>
                <w:szCs w:val="13"/>
                <w:color w:val="auto"/>
                <w:w w:val="98"/>
              </w:rPr>
              <w:t>(499)</w:t>
            </w:r>
          </w:p>
        </w:tc>
        <w:tc>
          <w:tcPr>
            <w:tcW w:w="11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3"/>
                <w:szCs w:val="13"/>
                <w:color w:val="auto"/>
              </w:rPr>
              <w:t>(499)</w:t>
            </w:r>
          </w:p>
        </w:tc>
        <w:tc>
          <w:tcPr>
            <w:tcW w:w="940" w:type="dxa"/>
            <w:vAlign w:val="bottom"/>
          </w:tcPr>
          <w:p>
            <w:pPr>
              <w:jc w:val="right"/>
              <w:ind w:right="115"/>
              <w:spacing w:after="0"/>
              <w:rPr>
                <w:sz w:val="20"/>
                <w:szCs w:val="20"/>
                <w:color w:val="auto"/>
              </w:rPr>
            </w:pPr>
            <w:r>
              <w:rPr>
                <w:rFonts w:ascii="Arial" w:cs="Arial" w:eastAsia="Arial" w:hAnsi="Arial"/>
                <w:sz w:val="13"/>
                <w:szCs w:val="13"/>
                <w:color w:val="auto"/>
              </w:rPr>
              <w:t>240</w:t>
            </w:r>
          </w:p>
        </w:tc>
        <w:tc>
          <w:tcPr>
            <w:tcW w:w="380" w:type="dxa"/>
            <w:vAlign w:val="bottom"/>
          </w:tcPr>
          <w:p>
            <w:pPr>
              <w:spacing w:after="0"/>
              <w:rPr>
                <w:sz w:val="17"/>
                <w:szCs w:val="17"/>
                <w:color w:val="auto"/>
              </w:rPr>
            </w:pPr>
          </w:p>
        </w:tc>
      </w:tr>
      <w:tr>
        <w:trPr>
          <w:trHeight w:val="196"/>
        </w:trPr>
        <w:tc>
          <w:tcPr>
            <w:tcW w:w="3800" w:type="dxa"/>
            <w:vAlign w:val="bottom"/>
          </w:tcPr>
          <w:p>
            <w:pPr>
              <w:ind w:left="240"/>
              <w:spacing w:after="0"/>
              <w:rPr>
                <w:sz w:val="20"/>
                <w:szCs w:val="20"/>
                <w:color w:val="auto"/>
              </w:rPr>
            </w:pPr>
            <w:r>
              <w:rPr>
                <w:rFonts w:ascii="Arial" w:cs="Arial" w:eastAsia="Arial" w:hAnsi="Arial"/>
                <w:sz w:val="13"/>
                <w:szCs w:val="13"/>
                <w:color w:val="auto"/>
              </w:rPr>
              <w:t>Net income for the year</w:t>
            </w:r>
          </w:p>
        </w:tc>
        <w:tc>
          <w:tcPr>
            <w:tcW w:w="1100" w:type="dxa"/>
            <w:vAlign w:val="bottom"/>
          </w:tcPr>
          <w:p>
            <w:pPr>
              <w:jc w:val="center"/>
              <w:ind w:left="395"/>
              <w:spacing w:after="0"/>
              <w:rPr>
                <w:sz w:val="20"/>
                <w:szCs w:val="20"/>
                <w:color w:val="auto"/>
              </w:rPr>
            </w:pPr>
            <w:r>
              <w:rPr>
                <w:rFonts w:ascii="Arial" w:cs="Arial" w:eastAsia="Arial" w:hAnsi="Arial"/>
                <w:sz w:val="13"/>
                <w:szCs w:val="13"/>
                <w:color w:val="auto"/>
                <w:w w:val="91"/>
              </w:rPr>
              <w:t>-</w:t>
            </w:r>
          </w:p>
        </w:tc>
        <w:tc>
          <w:tcPr>
            <w:tcW w:w="1100" w:type="dxa"/>
            <w:vAlign w:val="bottom"/>
          </w:tcPr>
          <w:p>
            <w:pPr>
              <w:jc w:val="right"/>
              <w:ind w:right="115"/>
              <w:spacing w:after="0"/>
              <w:rPr>
                <w:sz w:val="20"/>
                <w:szCs w:val="20"/>
                <w:color w:val="auto"/>
              </w:rPr>
            </w:pPr>
            <w:r>
              <w:rPr>
                <w:rFonts w:ascii="Arial" w:cs="Arial" w:eastAsia="Arial" w:hAnsi="Arial"/>
                <w:sz w:val="13"/>
                <w:szCs w:val="13"/>
                <w:color w:val="auto"/>
              </w:rPr>
              <w:t>32,580</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32,580</w:t>
            </w:r>
          </w:p>
        </w:tc>
        <w:tc>
          <w:tcPr>
            <w:tcW w:w="320" w:type="dxa"/>
            <w:vAlign w:val="bottom"/>
          </w:tcPr>
          <w:p>
            <w:pPr>
              <w:spacing w:after="0"/>
              <w:rPr>
                <w:sz w:val="17"/>
                <w:szCs w:val="17"/>
                <w:color w:val="auto"/>
              </w:rPr>
            </w:pPr>
          </w:p>
        </w:tc>
        <w:tc>
          <w:tcPr>
            <w:tcW w:w="940" w:type="dxa"/>
            <w:vAlign w:val="bottom"/>
          </w:tcPr>
          <w:p>
            <w:pPr>
              <w:jc w:val="right"/>
              <w:ind w:right="115"/>
              <w:spacing w:after="0"/>
              <w:rPr>
                <w:sz w:val="20"/>
                <w:szCs w:val="20"/>
                <w:color w:val="auto"/>
              </w:rPr>
            </w:pPr>
            <w:r>
              <w:rPr>
                <w:rFonts w:ascii="Arial" w:cs="Arial" w:eastAsia="Arial" w:hAnsi="Arial"/>
                <w:sz w:val="13"/>
                <w:szCs w:val="13"/>
                <w:color w:val="auto"/>
              </w:rPr>
              <w:t>868</w:t>
            </w:r>
          </w:p>
        </w:tc>
        <w:tc>
          <w:tcPr>
            <w:tcW w:w="380" w:type="dxa"/>
            <w:vAlign w:val="bottom"/>
          </w:tcPr>
          <w:p>
            <w:pPr>
              <w:spacing w:after="0"/>
              <w:rPr>
                <w:sz w:val="17"/>
                <w:szCs w:val="17"/>
                <w:color w:val="auto"/>
              </w:rPr>
            </w:pPr>
          </w:p>
        </w:tc>
      </w:tr>
      <w:tr>
        <w:trPr>
          <w:trHeight w:val="196"/>
        </w:trPr>
        <w:tc>
          <w:tcPr>
            <w:tcW w:w="3800" w:type="dxa"/>
            <w:vAlign w:val="bottom"/>
          </w:tcPr>
          <w:p>
            <w:pPr>
              <w:ind w:left="240"/>
              <w:spacing w:after="0"/>
              <w:rPr>
                <w:sz w:val="20"/>
                <w:szCs w:val="20"/>
                <w:color w:val="auto"/>
              </w:rPr>
            </w:pPr>
            <w:r>
              <w:rPr>
                <w:rFonts w:ascii="Arial" w:cs="Arial" w:eastAsia="Arial" w:hAnsi="Arial"/>
                <w:sz w:val="13"/>
                <w:szCs w:val="13"/>
                <w:color w:val="auto"/>
              </w:rPr>
              <w:t>Dividends - common shares</w:t>
            </w:r>
          </w:p>
        </w:tc>
        <w:tc>
          <w:tcPr>
            <w:tcW w:w="1100" w:type="dxa"/>
            <w:vAlign w:val="bottom"/>
          </w:tcPr>
          <w:p>
            <w:pPr>
              <w:jc w:val="center"/>
              <w:ind w:left="395"/>
              <w:spacing w:after="0"/>
              <w:rPr>
                <w:sz w:val="20"/>
                <w:szCs w:val="20"/>
                <w:color w:val="auto"/>
              </w:rPr>
            </w:pPr>
            <w:r>
              <w:rPr>
                <w:rFonts w:ascii="Arial" w:cs="Arial" w:eastAsia="Arial" w:hAnsi="Arial"/>
                <w:sz w:val="13"/>
                <w:szCs w:val="13"/>
                <w:color w:val="auto"/>
                <w:w w:val="91"/>
              </w:rPr>
              <w:t>-</w:t>
            </w: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(10,875)</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3"/>
                <w:szCs w:val="13"/>
                <w:color w:val="auto"/>
              </w:rPr>
              <w:t>(10,875)</w:t>
            </w:r>
          </w:p>
        </w:tc>
        <w:tc>
          <w:tcPr>
            <w:tcW w:w="940" w:type="dxa"/>
            <w:vAlign w:val="bottom"/>
          </w:tcPr>
          <w:p>
            <w:pPr>
              <w:jc w:val="right"/>
              <w:ind w:right="75"/>
              <w:spacing w:after="0"/>
              <w:rPr>
                <w:sz w:val="20"/>
                <w:szCs w:val="20"/>
                <w:color w:val="auto"/>
              </w:rPr>
            </w:pPr>
            <w:r>
              <w:rPr>
                <w:rFonts w:ascii="Arial" w:cs="Arial" w:eastAsia="Arial" w:hAnsi="Arial"/>
                <w:sz w:val="13"/>
                <w:szCs w:val="13"/>
                <w:color w:val="auto"/>
              </w:rPr>
              <w:t>(304)</w:t>
            </w:r>
          </w:p>
        </w:tc>
        <w:tc>
          <w:tcPr>
            <w:tcW w:w="380" w:type="dxa"/>
            <w:vAlign w:val="bottom"/>
          </w:tcPr>
          <w:p>
            <w:pPr>
              <w:spacing w:after="0"/>
              <w:rPr>
                <w:sz w:val="17"/>
                <w:szCs w:val="17"/>
                <w:color w:val="auto"/>
              </w:rPr>
            </w:pPr>
          </w:p>
        </w:tc>
      </w:tr>
      <w:tr>
        <w:trPr>
          <w:trHeight w:val="196"/>
        </w:trPr>
        <w:tc>
          <w:tcPr>
            <w:tcW w:w="3800" w:type="dxa"/>
            <w:vAlign w:val="bottom"/>
          </w:tcPr>
          <w:p>
            <w:pPr>
              <w:ind w:left="240"/>
              <w:spacing w:after="0"/>
              <w:rPr>
                <w:sz w:val="20"/>
                <w:szCs w:val="20"/>
                <w:color w:val="auto"/>
              </w:rPr>
            </w:pPr>
            <w:r>
              <w:rPr>
                <w:rFonts w:ascii="Arial" w:cs="Arial" w:eastAsia="Arial" w:hAnsi="Arial"/>
                <w:sz w:val="13"/>
                <w:szCs w:val="13"/>
                <w:color w:val="auto"/>
              </w:rPr>
              <w:t>Other comprehensive income</w:t>
            </w:r>
          </w:p>
        </w:tc>
        <w:tc>
          <w:tcPr>
            <w:tcW w:w="1100" w:type="dxa"/>
            <w:vAlign w:val="bottom"/>
          </w:tcPr>
          <w:p>
            <w:pPr>
              <w:jc w:val="center"/>
              <w:ind w:left="395"/>
              <w:spacing w:after="0"/>
              <w:rPr>
                <w:sz w:val="20"/>
                <w:szCs w:val="20"/>
                <w:color w:val="auto"/>
              </w:rPr>
            </w:pPr>
            <w:r>
              <w:rPr>
                <w:rFonts w:ascii="Arial" w:cs="Arial" w:eastAsia="Arial" w:hAnsi="Arial"/>
                <w:sz w:val="13"/>
                <w:szCs w:val="13"/>
                <w:color w:val="auto"/>
                <w:w w:val="91"/>
              </w:rPr>
              <w:t>-</w:t>
            </w:r>
          </w:p>
        </w:tc>
        <w:tc>
          <w:tcPr>
            <w:tcW w:w="11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1,459</w:t>
            </w:r>
          </w:p>
        </w:tc>
        <w:tc>
          <w:tcPr>
            <w:tcW w:w="13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1,459</w:t>
            </w:r>
          </w:p>
        </w:tc>
        <w:tc>
          <w:tcPr>
            <w:tcW w:w="320" w:type="dxa"/>
            <w:vAlign w:val="bottom"/>
          </w:tcPr>
          <w:p>
            <w:pPr>
              <w:spacing w:after="0"/>
              <w:rPr>
                <w:sz w:val="17"/>
                <w:szCs w:val="17"/>
                <w:color w:val="auto"/>
              </w:rPr>
            </w:pPr>
          </w:p>
        </w:tc>
        <w:tc>
          <w:tcPr>
            <w:tcW w:w="940" w:type="dxa"/>
            <w:vAlign w:val="bottom"/>
          </w:tcPr>
          <w:p>
            <w:pPr>
              <w:jc w:val="right"/>
              <w:ind w:right="75"/>
              <w:spacing w:after="0"/>
              <w:rPr>
                <w:sz w:val="20"/>
                <w:szCs w:val="20"/>
                <w:color w:val="auto"/>
              </w:rPr>
            </w:pPr>
            <w:r>
              <w:rPr>
                <w:rFonts w:ascii="Arial" w:cs="Arial" w:eastAsia="Arial" w:hAnsi="Arial"/>
                <w:sz w:val="13"/>
                <w:szCs w:val="13"/>
                <w:color w:val="auto"/>
              </w:rPr>
              <w:t>(108)</w:t>
            </w:r>
          </w:p>
        </w:tc>
        <w:tc>
          <w:tcPr>
            <w:tcW w:w="380" w:type="dxa"/>
            <w:vAlign w:val="bottom"/>
          </w:tcPr>
          <w:p>
            <w:pPr>
              <w:spacing w:after="0"/>
              <w:rPr>
                <w:sz w:val="17"/>
                <w:szCs w:val="17"/>
                <w:color w:val="auto"/>
              </w:rPr>
            </w:pPr>
          </w:p>
        </w:tc>
      </w:tr>
      <w:tr>
        <w:trPr>
          <w:trHeight w:val="196"/>
        </w:trPr>
        <w:tc>
          <w:tcPr>
            <w:tcW w:w="3800" w:type="dxa"/>
            <w:vAlign w:val="bottom"/>
          </w:tcPr>
          <w:p>
            <w:pPr>
              <w:ind w:left="240"/>
              <w:spacing w:after="0"/>
              <w:rPr>
                <w:sz w:val="20"/>
                <w:szCs w:val="20"/>
                <w:color w:val="auto"/>
              </w:rPr>
            </w:pPr>
            <w:r>
              <w:rPr>
                <w:rFonts w:ascii="Arial" w:cs="Arial" w:eastAsia="Arial" w:hAnsi="Arial"/>
                <w:sz w:val="13"/>
                <w:szCs w:val="13"/>
                <w:color w:val="auto"/>
              </w:rPr>
              <w:t>Acquisitions, at cost</w:t>
            </w:r>
          </w:p>
        </w:tc>
        <w:tc>
          <w:tcPr>
            <w:tcW w:w="1100" w:type="dxa"/>
            <w:vAlign w:val="bottom"/>
          </w:tcPr>
          <w:p>
            <w:pPr>
              <w:jc w:val="center"/>
              <w:ind w:left="395"/>
              <w:spacing w:after="0"/>
              <w:rPr>
                <w:sz w:val="20"/>
                <w:szCs w:val="20"/>
                <w:color w:val="auto"/>
              </w:rPr>
            </w:pPr>
            <w:r>
              <w:rPr>
                <w:rFonts w:ascii="Arial" w:cs="Arial" w:eastAsia="Arial" w:hAnsi="Arial"/>
                <w:sz w:val="13"/>
                <w:szCs w:val="13"/>
                <w:color w:val="auto"/>
                <w:w w:val="91"/>
              </w:rPr>
              <w:t>-</w:t>
            </w:r>
          </w:p>
        </w:tc>
        <w:tc>
          <w:tcPr>
            <w:tcW w:w="11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15"/>
              <w:spacing w:after="0"/>
              <w:rPr>
                <w:sz w:val="20"/>
                <w:szCs w:val="20"/>
                <w:color w:val="auto"/>
              </w:rPr>
            </w:pPr>
            <w:r>
              <w:rPr>
                <w:rFonts w:ascii="Arial" w:cs="Arial" w:eastAsia="Arial" w:hAnsi="Arial"/>
                <w:sz w:val="13"/>
                <w:szCs w:val="13"/>
                <w:color w:val="auto"/>
              </w:rPr>
              <w:t>(15,998)</w:t>
            </w:r>
          </w:p>
        </w:tc>
        <w:tc>
          <w:tcPr>
            <w:tcW w:w="1280" w:type="dxa"/>
            <w:vAlign w:val="bottom"/>
            <w:gridSpan w:val="2"/>
          </w:tcPr>
          <w:p>
            <w:pPr>
              <w:jc w:val="right"/>
              <w:ind w:right="320"/>
              <w:spacing w:after="0"/>
              <w:rPr>
                <w:sz w:val="20"/>
                <w:szCs w:val="20"/>
                <w:color w:val="auto"/>
              </w:rPr>
            </w:pPr>
            <w:r>
              <w:rPr>
                <w:rFonts w:ascii="Arial" w:cs="Arial" w:eastAsia="Arial" w:hAnsi="Arial"/>
                <w:sz w:val="13"/>
                <w:szCs w:val="13"/>
                <w:color w:val="auto"/>
              </w:rPr>
              <w:t>(15,998)</w:t>
            </w:r>
          </w:p>
        </w:tc>
        <w:tc>
          <w:tcPr>
            <w:tcW w:w="940" w:type="dxa"/>
            <w:vAlign w:val="bottom"/>
          </w:tcPr>
          <w:p>
            <w:pPr>
              <w:jc w:val="right"/>
              <w:ind w:right="75"/>
              <w:spacing w:after="0"/>
              <w:rPr>
                <w:sz w:val="20"/>
                <w:szCs w:val="20"/>
                <w:color w:val="auto"/>
              </w:rPr>
            </w:pPr>
            <w:r>
              <w:rPr>
                <w:rFonts w:ascii="Arial" w:cs="Arial" w:eastAsia="Arial" w:hAnsi="Arial"/>
                <w:sz w:val="13"/>
                <w:szCs w:val="13"/>
                <w:color w:val="auto"/>
              </w:rPr>
              <w:t>(1)</w:t>
            </w:r>
          </w:p>
        </w:tc>
        <w:tc>
          <w:tcPr>
            <w:tcW w:w="380" w:type="dxa"/>
            <w:vAlign w:val="bottom"/>
          </w:tcPr>
          <w:p>
            <w:pPr>
              <w:spacing w:after="0"/>
              <w:rPr>
                <w:sz w:val="17"/>
                <w:szCs w:val="17"/>
                <w:color w:val="auto"/>
              </w:rPr>
            </w:pPr>
          </w:p>
        </w:tc>
      </w:tr>
      <w:tr>
        <w:trPr>
          <w:trHeight w:val="188"/>
        </w:trPr>
        <w:tc>
          <w:tcPr>
            <w:tcW w:w="3800" w:type="dxa"/>
            <w:vAlign w:val="bottom"/>
          </w:tcPr>
          <w:p>
            <w:pPr>
              <w:ind w:left="240"/>
              <w:spacing w:after="0"/>
              <w:rPr>
                <w:sz w:val="20"/>
                <w:szCs w:val="20"/>
                <w:color w:val="auto"/>
              </w:rPr>
            </w:pPr>
            <w:r>
              <w:rPr>
                <w:rFonts w:ascii="Arial" w:cs="Arial" w:eastAsia="Arial" w:hAnsi="Arial"/>
                <w:sz w:val="13"/>
                <w:szCs w:val="13"/>
                <w:color w:val="auto"/>
              </w:rPr>
              <w:t>Dispositions</w:t>
            </w:r>
          </w:p>
        </w:tc>
        <w:tc>
          <w:tcPr>
            <w:tcW w:w="1100" w:type="dxa"/>
            <w:vAlign w:val="bottom"/>
            <w:tcBorders>
              <w:bottom w:val="single" w:sz="8" w:color="auto"/>
            </w:tcBorders>
          </w:tcPr>
          <w:p>
            <w:pPr>
              <w:jc w:val="center"/>
              <w:ind w:left="395"/>
              <w:spacing w:after="0"/>
              <w:rPr>
                <w:sz w:val="20"/>
                <w:szCs w:val="20"/>
                <w:color w:val="auto"/>
              </w:rPr>
            </w:pPr>
            <w:r>
              <w:rPr>
                <w:rFonts w:ascii="Arial" w:cs="Arial" w:eastAsia="Arial" w:hAnsi="Arial"/>
                <w:sz w:val="13"/>
                <w:szCs w:val="13"/>
                <w:color w:val="auto"/>
                <w:w w:val="91"/>
              </w:rPr>
              <w:t>-</w:t>
            </w:r>
          </w:p>
        </w:tc>
        <w:tc>
          <w:tcPr>
            <w:tcW w:w="110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rPr>
              <w:t>550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550</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spacing w:after="0"/>
              <w:rPr>
                <w:sz w:val="16"/>
                <w:szCs w:val="16"/>
                <w:color w:val="auto"/>
              </w:rPr>
            </w:pPr>
          </w:p>
        </w:tc>
      </w:tr>
      <w:tr>
        <w:trPr>
          <w:trHeight w:val="184"/>
        </w:trPr>
        <w:tc>
          <w:tcPr>
            <w:tcW w:w="3800" w:type="dxa"/>
            <w:vAlign w:val="bottom"/>
          </w:tcPr>
          <w:p>
            <w:pPr>
              <w:spacing w:after="0"/>
              <w:rPr>
                <w:sz w:val="20"/>
                <w:szCs w:val="20"/>
                <w:color w:val="auto"/>
              </w:rPr>
            </w:pPr>
            <w:r>
              <w:rPr>
                <w:rFonts w:ascii="Arial" w:cs="Arial" w:eastAsia="Arial" w:hAnsi="Arial"/>
                <w:sz w:val="13"/>
                <w:szCs w:val="13"/>
                <w:color w:val="auto"/>
              </w:rPr>
              <w:t>Balance as of December 31, 2013</w:t>
            </w:r>
          </w:p>
        </w:tc>
        <w:tc>
          <w:tcPr>
            <w:tcW w:w="1100" w:type="dxa"/>
            <w:vAlign w:val="bottom"/>
          </w:tcPr>
          <w:p>
            <w:pPr>
              <w:jc w:val="right"/>
              <w:ind w:right="175"/>
              <w:spacing w:after="0"/>
              <w:rPr>
                <w:sz w:val="20"/>
                <w:szCs w:val="20"/>
                <w:color w:val="auto"/>
              </w:rPr>
            </w:pPr>
            <w:r>
              <w:rPr>
                <w:rFonts w:ascii="Arial" w:cs="Arial" w:eastAsia="Arial" w:hAnsi="Arial"/>
                <w:sz w:val="13"/>
                <w:szCs w:val="13"/>
                <w:color w:val="auto"/>
              </w:rPr>
              <w:t>10,077</w:t>
            </w:r>
          </w:p>
        </w:tc>
        <w:tc>
          <w:tcPr>
            <w:tcW w:w="1100" w:type="dxa"/>
            <w:vAlign w:val="bottom"/>
          </w:tcPr>
          <w:p>
            <w:pPr>
              <w:jc w:val="right"/>
              <w:ind w:right="115"/>
              <w:spacing w:after="0"/>
              <w:rPr>
                <w:sz w:val="20"/>
                <w:szCs w:val="20"/>
                <w:color w:val="auto"/>
              </w:rPr>
            </w:pPr>
            <w:r>
              <w:rPr>
                <w:rFonts w:ascii="Arial" w:cs="Arial" w:eastAsia="Arial" w:hAnsi="Arial"/>
                <w:sz w:val="13"/>
                <w:szCs w:val="13"/>
                <w:color w:val="auto"/>
              </w:rPr>
              <w:t>387,432</w:t>
            </w: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auto"/>
              </w:rPr>
              <w:t>(10,725)</w:t>
            </w:r>
          </w:p>
        </w:tc>
        <w:tc>
          <w:tcPr>
            <w:tcW w:w="1300" w:type="dxa"/>
            <w:vAlign w:val="bottom"/>
          </w:tcPr>
          <w:p>
            <w:pPr>
              <w:jc w:val="right"/>
              <w:ind w:right="115"/>
              <w:spacing w:after="0"/>
              <w:rPr>
                <w:sz w:val="20"/>
                <w:szCs w:val="20"/>
                <w:color w:val="auto"/>
              </w:rPr>
            </w:pPr>
            <w:r>
              <w:rPr>
                <w:rFonts w:ascii="Arial" w:cs="Arial" w:eastAsia="Arial" w:hAnsi="Arial"/>
                <w:sz w:val="13"/>
                <w:szCs w:val="13"/>
                <w:color w:val="auto"/>
              </w:rPr>
              <w:t>(212,781)</w:t>
            </w:r>
          </w:p>
        </w:tc>
        <w:tc>
          <w:tcPr>
            <w:tcW w:w="960" w:type="dxa"/>
            <w:vAlign w:val="bottom"/>
          </w:tcPr>
          <w:p>
            <w:pPr>
              <w:jc w:val="right"/>
              <w:spacing w:after="0"/>
              <w:rPr>
                <w:sz w:val="20"/>
                <w:szCs w:val="20"/>
                <w:color w:val="auto"/>
              </w:rPr>
            </w:pPr>
            <w:r>
              <w:rPr>
                <w:rFonts w:ascii="Arial" w:cs="Arial" w:eastAsia="Arial" w:hAnsi="Arial"/>
                <w:sz w:val="13"/>
                <w:szCs w:val="13"/>
                <w:color w:val="auto"/>
              </w:rPr>
              <w:t>174,003</w:t>
            </w:r>
          </w:p>
        </w:tc>
        <w:tc>
          <w:tcPr>
            <w:tcW w:w="320" w:type="dxa"/>
            <w:vAlign w:val="bottom"/>
          </w:tcPr>
          <w:p>
            <w:pPr>
              <w:spacing w:after="0"/>
              <w:rPr>
                <w:sz w:val="16"/>
                <w:szCs w:val="16"/>
                <w:color w:val="auto"/>
              </w:rPr>
            </w:pPr>
          </w:p>
        </w:tc>
        <w:tc>
          <w:tcPr>
            <w:tcW w:w="940" w:type="dxa"/>
            <w:vAlign w:val="bottom"/>
          </w:tcPr>
          <w:p>
            <w:pPr>
              <w:jc w:val="right"/>
              <w:ind w:right="115"/>
              <w:spacing w:after="0"/>
              <w:rPr>
                <w:sz w:val="20"/>
                <w:szCs w:val="20"/>
                <w:color w:val="auto"/>
              </w:rPr>
            </w:pPr>
            <w:r>
              <w:rPr>
                <w:rFonts w:ascii="Arial" w:cs="Arial" w:eastAsia="Arial" w:hAnsi="Arial"/>
                <w:sz w:val="13"/>
                <w:szCs w:val="13"/>
                <w:color w:val="auto"/>
              </w:rPr>
              <w:t>6,492</w:t>
            </w:r>
          </w:p>
        </w:tc>
        <w:tc>
          <w:tcPr>
            <w:tcW w:w="380" w:type="dxa"/>
            <w:vAlign w:val="bottom"/>
          </w:tcPr>
          <w:p>
            <w:pPr>
              <w:spacing w:after="0"/>
              <w:rPr>
                <w:sz w:val="16"/>
                <w:szCs w:val="16"/>
                <w:color w:val="auto"/>
              </w:rPr>
            </w:pPr>
          </w:p>
        </w:tc>
      </w:tr>
      <w:tr>
        <w:trPr>
          <w:trHeight w:val="196"/>
        </w:trPr>
        <w:tc>
          <w:tcPr>
            <w:tcW w:w="3800" w:type="dxa"/>
            <w:vAlign w:val="bottom"/>
          </w:tcPr>
          <w:p>
            <w:pPr>
              <w:ind w:left="240"/>
              <w:spacing w:after="0"/>
              <w:rPr>
                <w:sz w:val="20"/>
                <w:szCs w:val="20"/>
                <w:color w:val="auto"/>
              </w:rPr>
            </w:pPr>
            <w:r>
              <w:rPr>
                <w:rFonts w:ascii="Arial" w:cs="Arial" w:eastAsia="Arial" w:hAnsi="Arial"/>
                <w:sz w:val="13"/>
                <w:szCs w:val="13"/>
                <w:color w:val="auto"/>
              </w:rPr>
              <w:t>Amortization of stock-based awards</w:t>
            </w:r>
          </w:p>
        </w:tc>
        <w:tc>
          <w:tcPr>
            <w:tcW w:w="1100" w:type="dxa"/>
            <w:vAlign w:val="bottom"/>
          </w:tcPr>
          <w:p>
            <w:pPr>
              <w:jc w:val="right"/>
              <w:ind w:right="175"/>
              <w:spacing w:after="0"/>
              <w:rPr>
                <w:sz w:val="20"/>
                <w:szCs w:val="20"/>
                <w:color w:val="auto"/>
              </w:rPr>
            </w:pPr>
            <w:r>
              <w:rPr>
                <w:rFonts w:ascii="Arial" w:cs="Arial" w:eastAsia="Arial" w:hAnsi="Arial"/>
                <w:sz w:val="13"/>
                <w:szCs w:val="13"/>
                <w:color w:val="auto"/>
              </w:rPr>
              <w:t>780</w:t>
            </w:r>
          </w:p>
        </w:tc>
        <w:tc>
          <w:tcPr>
            <w:tcW w:w="11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780</w:t>
            </w:r>
          </w:p>
        </w:tc>
        <w:tc>
          <w:tcPr>
            <w:tcW w:w="320" w:type="dxa"/>
            <w:vAlign w:val="bottom"/>
          </w:tcPr>
          <w:p>
            <w:pPr>
              <w:spacing w:after="0"/>
              <w:rPr>
                <w:sz w:val="17"/>
                <w:szCs w:val="17"/>
                <w:color w:val="auto"/>
              </w:rPr>
            </w:pPr>
          </w:p>
        </w:tc>
        <w:tc>
          <w:tcPr>
            <w:tcW w:w="94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7"/>
                <w:szCs w:val="17"/>
                <w:color w:val="auto"/>
              </w:rPr>
            </w:pPr>
          </w:p>
        </w:tc>
      </w:tr>
      <w:tr>
        <w:trPr>
          <w:trHeight w:val="196"/>
        </w:trPr>
        <w:tc>
          <w:tcPr>
            <w:tcW w:w="3800" w:type="dxa"/>
            <w:vAlign w:val="bottom"/>
          </w:tcPr>
          <w:p>
            <w:pPr>
              <w:ind w:left="240"/>
              <w:spacing w:after="0"/>
              <w:rPr>
                <w:sz w:val="20"/>
                <w:szCs w:val="20"/>
                <w:color w:val="auto"/>
              </w:rPr>
            </w:pPr>
            <w:r>
              <w:rPr>
                <w:rFonts w:ascii="Arial" w:cs="Arial" w:eastAsia="Arial" w:hAnsi="Arial"/>
                <w:sz w:val="13"/>
                <w:szCs w:val="13"/>
                <w:color w:val="auto"/>
              </w:rPr>
              <w:t>Tax benefits related to stock-based awards</w:t>
            </w:r>
          </w:p>
        </w:tc>
        <w:tc>
          <w:tcPr>
            <w:tcW w:w="1100" w:type="dxa"/>
            <w:vAlign w:val="bottom"/>
          </w:tcPr>
          <w:p>
            <w:pPr>
              <w:jc w:val="right"/>
              <w:ind w:right="175"/>
              <w:spacing w:after="0"/>
              <w:rPr>
                <w:sz w:val="20"/>
                <w:szCs w:val="20"/>
                <w:color w:val="auto"/>
              </w:rPr>
            </w:pPr>
            <w:r>
              <w:rPr>
                <w:rFonts w:ascii="Arial" w:cs="Arial" w:eastAsia="Arial" w:hAnsi="Arial"/>
                <w:sz w:val="13"/>
                <w:szCs w:val="13"/>
                <w:color w:val="auto"/>
              </w:rPr>
              <w:t>49</w:t>
            </w:r>
          </w:p>
        </w:tc>
        <w:tc>
          <w:tcPr>
            <w:tcW w:w="11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49</w:t>
            </w:r>
          </w:p>
        </w:tc>
        <w:tc>
          <w:tcPr>
            <w:tcW w:w="320" w:type="dxa"/>
            <w:vAlign w:val="bottom"/>
          </w:tcPr>
          <w:p>
            <w:pPr>
              <w:spacing w:after="0"/>
              <w:rPr>
                <w:sz w:val="17"/>
                <w:szCs w:val="17"/>
                <w:color w:val="auto"/>
              </w:rPr>
            </w:pPr>
          </w:p>
        </w:tc>
        <w:tc>
          <w:tcPr>
            <w:tcW w:w="94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7"/>
                <w:szCs w:val="17"/>
                <w:color w:val="auto"/>
              </w:rPr>
            </w:pPr>
          </w:p>
        </w:tc>
      </w:tr>
      <w:tr>
        <w:trPr>
          <w:trHeight w:val="196"/>
        </w:trPr>
        <w:tc>
          <w:tcPr>
            <w:tcW w:w="3800" w:type="dxa"/>
            <w:vAlign w:val="bottom"/>
          </w:tcPr>
          <w:p>
            <w:pPr>
              <w:ind w:left="240"/>
              <w:spacing w:after="0"/>
              <w:rPr>
                <w:sz w:val="20"/>
                <w:szCs w:val="20"/>
                <w:color w:val="auto"/>
              </w:rPr>
            </w:pPr>
            <w:r>
              <w:rPr>
                <w:rFonts w:ascii="Arial" w:cs="Arial" w:eastAsia="Arial" w:hAnsi="Arial"/>
                <w:sz w:val="13"/>
                <w:szCs w:val="13"/>
                <w:color w:val="auto"/>
              </w:rPr>
              <w:t>Other</w:t>
            </w:r>
          </w:p>
        </w:tc>
        <w:tc>
          <w:tcPr>
            <w:tcW w:w="1100" w:type="dxa"/>
            <w:vAlign w:val="bottom"/>
          </w:tcPr>
          <w:p>
            <w:pPr>
              <w:jc w:val="center"/>
              <w:ind w:left="395"/>
              <w:spacing w:after="0"/>
              <w:rPr>
                <w:sz w:val="20"/>
                <w:szCs w:val="20"/>
                <w:color w:val="auto"/>
              </w:rPr>
            </w:pPr>
            <w:r>
              <w:rPr>
                <w:rFonts w:ascii="Arial" w:cs="Arial" w:eastAsia="Arial" w:hAnsi="Arial"/>
                <w:sz w:val="13"/>
                <w:szCs w:val="13"/>
                <w:color w:val="auto"/>
                <w:w w:val="92"/>
              </w:rPr>
              <w:t>(114)</w:t>
            </w:r>
          </w:p>
        </w:tc>
        <w:tc>
          <w:tcPr>
            <w:tcW w:w="11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3"/>
                <w:szCs w:val="13"/>
                <w:color w:val="auto"/>
              </w:rPr>
              <w:t>(114)</w:t>
            </w:r>
          </w:p>
        </w:tc>
        <w:tc>
          <w:tcPr>
            <w:tcW w:w="94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7"/>
                <w:szCs w:val="17"/>
                <w:color w:val="auto"/>
              </w:rPr>
            </w:pPr>
          </w:p>
        </w:tc>
      </w:tr>
      <w:tr>
        <w:trPr>
          <w:trHeight w:val="196"/>
        </w:trPr>
        <w:tc>
          <w:tcPr>
            <w:tcW w:w="3800" w:type="dxa"/>
            <w:vAlign w:val="bottom"/>
          </w:tcPr>
          <w:p>
            <w:pPr>
              <w:ind w:left="240"/>
              <w:spacing w:after="0"/>
              <w:rPr>
                <w:sz w:val="20"/>
                <w:szCs w:val="20"/>
                <w:color w:val="auto"/>
              </w:rPr>
            </w:pPr>
            <w:r>
              <w:rPr>
                <w:rFonts w:ascii="Arial" w:cs="Arial" w:eastAsia="Arial" w:hAnsi="Arial"/>
                <w:sz w:val="13"/>
                <w:szCs w:val="13"/>
                <w:color w:val="auto"/>
              </w:rPr>
              <w:t>Net income for the year</w:t>
            </w:r>
          </w:p>
        </w:tc>
        <w:tc>
          <w:tcPr>
            <w:tcW w:w="1100" w:type="dxa"/>
            <w:vAlign w:val="bottom"/>
          </w:tcPr>
          <w:p>
            <w:pPr>
              <w:jc w:val="center"/>
              <w:ind w:left="395"/>
              <w:spacing w:after="0"/>
              <w:rPr>
                <w:sz w:val="20"/>
                <w:szCs w:val="20"/>
                <w:color w:val="auto"/>
              </w:rPr>
            </w:pPr>
            <w:r>
              <w:rPr>
                <w:rFonts w:ascii="Arial" w:cs="Arial" w:eastAsia="Arial" w:hAnsi="Arial"/>
                <w:sz w:val="13"/>
                <w:szCs w:val="13"/>
                <w:color w:val="auto"/>
                <w:w w:val="91"/>
              </w:rPr>
              <w:t>-</w:t>
            </w:r>
          </w:p>
        </w:tc>
        <w:tc>
          <w:tcPr>
            <w:tcW w:w="1100" w:type="dxa"/>
            <w:vAlign w:val="bottom"/>
          </w:tcPr>
          <w:p>
            <w:pPr>
              <w:jc w:val="right"/>
              <w:ind w:right="115"/>
              <w:spacing w:after="0"/>
              <w:rPr>
                <w:sz w:val="20"/>
                <w:szCs w:val="20"/>
                <w:color w:val="auto"/>
              </w:rPr>
            </w:pPr>
            <w:r>
              <w:rPr>
                <w:rFonts w:ascii="Arial" w:cs="Arial" w:eastAsia="Arial" w:hAnsi="Arial"/>
                <w:sz w:val="13"/>
                <w:szCs w:val="13"/>
                <w:color w:val="auto"/>
              </w:rPr>
              <w:t>32,520</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32,520</w:t>
            </w:r>
          </w:p>
        </w:tc>
        <w:tc>
          <w:tcPr>
            <w:tcW w:w="320" w:type="dxa"/>
            <w:vAlign w:val="bottom"/>
          </w:tcPr>
          <w:p>
            <w:pPr>
              <w:spacing w:after="0"/>
              <w:rPr>
                <w:sz w:val="17"/>
                <w:szCs w:val="17"/>
                <w:color w:val="auto"/>
              </w:rPr>
            </w:pPr>
          </w:p>
        </w:tc>
        <w:tc>
          <w:tcPr>
            <w:tcW w:w="940" w:type="dxa"/>
            <w:vAlign w:val="bottom"/>
          </w:tcPr>
          <w:p>
            <w:pPr>
              <w:jc w:val="right"/>
              <w:ind w:right="115"/>
              <w:spacing w:after="0"/>
              <w:rPr>
                <w:sz w:val="20"/>
                <w:szCs w:val="20"/>
                <w:color w:val="auto"/>
              </w:rPr>
            </w:pPr>
            <w:r>
              <w:rPr>
                <w:rFonts w:ascii="Arial" w:cs="Arial" w:eastAsia="Arial" w:hAnsi="Arial"/>
                <w:sz w:val="13"/>
                <w:szCs w:val="13"/>
                <w:color w:val="auto"/>
              </w:rPr>
              <w:t>1,095</w:t>
            </w:r>
          </w:p>
        </w:tc>
        <w:tc>
          <w:tcPr>
            <w:tcW w:w="380" w:type="dxa"/>
            <w:vAlign w:val="bottom"/>
          </w:tcPr>
          <w:p>
            <w:pPr>
              <w:spacing w:after="0"/>
              <w:rPr>
                <w:sz w:val="17"/>
                <w:szCs w:val="17"/>
                <w:color w:val="auto"/>
              </w:rPr>
            </w:pPr>
          </w:p>
        </w:tc>
      </w:tr>
      <w:tr>
        <w:trPr>
          <w:trHeight w:val="196"/>
        </w:trPr>
        <w:tc>
          <w:tcPr>
            <w:tcW w:w="3800" w:type="dxa"/>
            <w:vAlign w:val="bottom"/>
          </w:tcPr>
          <w:p>
            <w:pPr>
              <w:ind w:left="240"/>
              <w:spacing w:after="0"/>
              <w:rPr>
                <w:sz w:val="20"/>
                <w:szCs w:val="20"/>
                <w:color w:val="auto"/>
              </w:rPr>
            </w:pPr>
            <w:r>
              <w:rPr>
                <w:rFonts w:ascii="Arial" w:cs="Arial" w:eastAsia="Arial" w:hAnsi="Arial"/>
                <w:sz w:val="13"/>
                <w:szCs w:val="13"/>
                <w:color w:val="auto"/>
              </w:rPr>
              <w:t>Dividends - common shares</w:t>
            </w:r>
          </w:p>
        </w:tc>
        <w:tc>
          <w:tcPr>
            <w:tcW w:w="1100" w:type="dxa"/>
            <w:vAlign w:val="bottom"/>
          </w:tcPr>
          <w:p>
            <w:pPr>
              <w:jc w:val="center"/>
              <w:ind w:left="395"/>
              <w:spacing w:after="0"/>
              <w:rPr>
                <w:sz w:val="20"/>
                <w:szCs w:val="20"/>
                <w:color w:val="auto"/>
              </w:rPr>
            </w:pPr>
            <w:r>
              <w:rPr>
                <w:rFonts w:ascii="Arial" w:cs="Arial" w:eastAsia="Arial" w:hAnsi="Arial"/>
                <w:sz w:val="13"/>
                <w:szCs w:val="13"/>
                <w:color w:val="auto"/>
                <w:w w:val="91"/>
              </w:rPr>
              <w:t>-</w:t>
            </w: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(11,568)</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3"/>
                <w:szCs w:val="13"/>
                <w:color w:val="auto"/>
              </w:rPr>
              <w:t>(11,568)</w:t>
            </w:r>
          </w:p>
        </w:tc>
        <w:tc>
          <w:tcPr>
            <w:tcW w:w="940" w:type="dxa"/>
            <w:vAlign w:val="bottom"/>
          </w:tcPr>
          <w:p>
            <w:pPr>
              <w:jc w:val="right"/>
              <w:ind w:right="75"/>
              <w:spacing w:after="0"/>
              <w:rPr>
                <w:sz w:val="20"/>
                <w:szCs w:val="20"/>
                <w:color w:val="auto"/>
              </w:rPr>
            </w:pPr>
            <w:r>
              <w:rPr>
                <w:rFonts w:ascii="Arial" w:cs="Arial" w:eastAsia="Arial" w:hAnsi="Arial"/>
                <w:sz w:val="13"/>
                <w:szCs w:val="13"/>
                <w:color w:val="auto"/>
              </w:rPr>
              <w:t>(248)</w:t>
            </w:r>
          </w:p>
        </w:tc>
        <w:tc>
          <w:tcPr>
            <w:tcW w:w="380" w:type="dxa"/>
            <w:vAlign w:val="bottom"/>
          </w:tcPr>
          <w:p>
            <w:pPr>
              <w:spacing w:after="0"/>
              <w:rPr>
                <w:sz w:val="17"/>
                <w:szCs w:val="17"/>
                <w:color w:val="auto"/>
              </w:rPr>
            </w:pPr>
          </w:p>
        </w:tc>
      </w:tr>
      <w:tr>
        <w:trPr>
          <w:trHeight w:val="196"/>
        </w:trPr>
        <w:tc>
          <w:tcPr>
            <w:tcW w:w="3800" w:type="dxa"/>
            <w:vAlign w:val="bottom"/>
          </w:tcPr>
          <w:p>
            <w:pPr>
              <w:ind w:left="240"/>
              <w:spacing w:after="0"/>
              <w:rPr>
                <w:sz w:val="20"/>
                <w:szCs w:val="20"/>
                <w:color w:val="auto"/>
              </w:rPr>
            </w:pPr>
            <w:r>
              <w:rPr>
                <w:rFonts w:ascii="Arial" w:cs="Arial" w:eastAsia="Arial" w:hAnsi="Arial"/>
                <w:sz w:val="13"/>
                <w:szCs w:val="13"/>
                <w:color w:val="auto"/>
              </w:rPr>
              <w:t>Other comprehensive income</w:t>
            </w:r>
          </w:p>
        </w:tc>
        <w:tc>
          <w:tcPr>
            <w:tcW w:w="1100" w:type="dxa"/>
            <w:vAlign w:val="bottom"/>
          </w:tcPr>
          <w:p>
            <w:pPr>
              <w:jc w:val="center"/>
              <w:ind w:left="395"/>
              <w:spacing w:after="0"/>
              <w:rPr>
                <w:sz w:val="20"/>
                <w:szCs w:val="20"/>
                <w:color w:val="auto"/>
              </w:rPr>
            </w:pPr>
            <w:r>
              <w:rPr>
                <w:rFonts w:ascii="Arial" w:cs="Arial" w:eastAsia="Arial" w:hAnsi="Arial"/>
                <w:sz w:val="13"/>
                <w:szCs w:val="13"/>
                <w:color w:val="auto"/>
                <w:w w:val="91"/>
              </w:rPr>
              <w:t>-</w:t>
            </w:r>
          </w:p>
        </w:tc>
        <w:tc>
          <w:tcPr>
            <w:tcW w:w="11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auto"/>
              </w:rPr>
              <w:t>(8,232)</w:t>
            </w:r>
          </w:p>
        </w:tc>
        <w:tc>
          <w:tcPr>
            <w:tcW w:w="13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3"/>
                <w:szCs w:val="13"/>
                <w:color w:val="auto"/>
              </w:rPr>
              <w:t>(8,232)</w:t>
            </w:r>
          </w:p>
        </w:tc>
        <w:tc>
          <w:tcPr>
            <w:tcW w:w="940" w:type="dxa"/>
            <w:vAlign w:val="bottom"/>
          </w:tcPr>
          <w:p>
            <w:pPr>
              <w:jc w:val="right"/>
              <w:ind w:right="75"/>
              <w:spacing w:after="0"/>
              <w:rPr>
                <w:sz w:val="20"/>
                <w:szCs w:val="20"/>
                <w:color w:val="auto"/>
              </w:rPr>
            </w:pPr>
            <w:r>
              <w:rPr>
                <w:rFonts w:ascii="Arial" w:cs="Arial" w:eastAsia="Arial" w:hAnsi="Arial"/>
                <w:sz w:val="13"/>
                <w:szCs w:val="13"/>
                <w:color w:val="auto"/>
              </w:rPr>
              <w:t>(674)</w:t>
            </w:r>
          </w:p>
        </w:tc>
        <w:tc>
          <w:tcPr>
            <w:tcW w:w="380" w:type="dxa"/>
            <w:vAlign w:val="bottom"/>
          </w:tcPr>
          <w:p>
            <w:pPr>
              <w:spacing w:after="0"/>
              <w:rPr>
                <w:sz w:val="17"/>
                <w:szCs w:val="17"/>
                <w:color w:val="auto"/>
              </w:rPr>
            </w:pPr>
          </w:p>
        </w:tc>
      </w:tr>
      <w:tr>
        <w:trPr>
          <w:trHeight w:val="196"/>
        </w:trPr>
        <w:tc>
          <w:tcPr>
            <w:tcW w:w="3800" w:type="dxa"/>
            <w:vAlign w:val="bottom"/>
          </w:tcPr>
          <w:p>
            <w:pPr>
              <w:ind w:left="240"/>
              <w:spacing w:after="0"/>
              <w:rPr>
                <w:sz w:val="20"/>
                <w:szCs w:val="20"/>
                <w:color w:val="auto"/>
              </w:rPr>
            </w:pPr>
            <w:r>
              <w:rPr>
                <w:rFonts w:ascii="Arial" w:cs="Arial" w:eastAsia="Arial" w:hAnsi="Arial"/>
                <w:sz w:val="13"/>
                <w:szCs w:val="13"/>
                <w:color w:val="auto"/>
              </w:rPr>
              <w:t>Acquisitions, at cost</w:t>
            </w:r>
          </w:p>
        </w:tc>
        <w:tc>
          <w:tcPr>
            <w:tcW w:w="1100" w:type="dxa"/>
            <w:vAlign w:val="bottom"/>
          </w:tcPr>
          <w:p>
            <w:pPr>
              <w:jc w:val="center"/>
              <w:ind w:left="395"/>
              <w:spacing w:after="0"/>
              <w:rPr>
                <w:sz w:val="20"/>
                <w:szCs w:val="20"/>
                <w:color w:val="auto"/>
              </w:rPr>
            </w:pPr>
            <w:r>
              <w:rPr>
                <w:rFonts w:ascii="Arial" w:cs="Arial" w:eastAsia="Arial" w:hAnsi="Arial"/>
                <w:sz w:val="13"/>
                <w:szCs w:val="13"/>
                <w:color w:val="auto"/>
                <w:w w:val="91"/>
              </w:rPr>
              <w:t>-</w:t>
            </w:r>
          </w:p>
        </w:tc>
        <w:tc>
          <w:tcPr>
            <w:tcW w:w="11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15"/>
              <w:spacing w:after="0"/>
              <w:rPr>
                <w:sz w:val="20"/>
                <w:szCs w:val="20"/>
                <w:color w:val="auto"/>
              </w:rPr>
            </w:pPr>
            <w:r>
              <w:rPr>
                <w:rFonts w:ascii="Arial" w:cs="Arial" w:eastAsia="Arial" w:hAnsi="Arial"/>
                <w:sz w:val="13"/>
                <w:szCs w:val="13"/>
                <w:color w:val="auto"/>
              </w:rPr>
              <w:t>(13,183)</w:t>
            </w:r>
          </w:p>
        </w:tc>
        <w:tc>
          <w:tcPr>
            <w:tcW w:w="1280" w:type="dxa"/>
            <w:vAlign w:val="bottom"/>
            <w:gridSpan w:val="2"/>
          </w:tcPr>
          <w:p>
            <w:pPr>
              <w:jc w:val="right"/>
              <w:ind w:right="320"/>
              <w:spacing w:after="0"/>
              <w:rPr>
                <w:sz w:val="20"/>
                <w:szCs w:val="20"/>
                <w:color w:val="auto"/>
              </w:rPr>
            </w:pPr>
            <w:r>
              <w:rPr>
                <w:rFonts w:ascii="Arial" w:cs="Arial" w:eastAsia="Arial" w:hAnsi="Arial"/>
                <w:sz w:val="13"/>
                <w:szCs w:val="13"/>
                <w:color w:val="auto"/>
              </w:rPr>
              <w:t>(13,183)</w:t>
            </w:r>
          </w:p>
        </w:tc>
        <w:tc>
          <w:tcPr>
            <w:tcW w:w="94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7"/>
                <w:szCs w:val="17"/>
                <w:color w:val="auto"/>
              </w:rPr>
            </w:pPr>
          </w:p>
        </w:tc>
      </w:tr>
      <w:tr>
        <w:trPr>
          <w:trHeight w:val="188"/>
        </w:trPr>
        <w:tc>
          <w:tcPr>
            <w:tcW w:w="3800" w:type="dxa"/>
            <w:vAlign w:val="bottom"/>
          </w:tcPr>
          <w:p>
            <w:pPr>
              <w:ind w:left="240"/>
              <w:spacing w:after="0"/>
              <w:rPr>
                <w:sz w:val="20"/>
                <w:szCs w:val="20"/>
                <w:color w:val="auto"/>
              </w:rPr>
            </w:pPr>
            <w:r>
              <w:rPr>
                <w:rFonts w:ascii="Arial" w:cs="Arial" w:eastAsia="Arial" w:hAnsi="Arial"/>
                <w:sz w:val="13"/>
                <w:szCs w:val="13"/>
                <w:color w:val="auto"/>
              </w:rPr>
              <w:t>Dispositions</w:t>
            </w:r>
          </w:p>
        </w:tc>
        <w:tc>
          <w:tcPr>
            <w:tcW w:w="1100" w:type="dxa"/>
            <w:vAlign w:val="bottom"/>
            <w:tcBorders>
              <w:bottom w:val="single" w:sz="8" w:color="auto"/>
            </w:tcBorders>
          </w:tcPr>
          <w:p>
            <w:pPr>
              <w:jc w:val="center"/>
              <w:ind w:left="395"/>
              <w:spacing w:after="0"/>
              <w:rPr>
                <w:sz w:val="20"/>
                <w:szCs w:val="20"/>
                <w:color w:val="auto"/>
              </w:rPr>
            </w:pPr>
            <w:r>
              <w:rPr>
                <w:rFonts w:ascii="Arial" w:cs="Arial" w:eastAsia="Arial" w:hAnsi="Arial"/>
                <w:sz w:val="13"/>
                <w:szCs w:val="13"/>
                <w:color w:val="auto"/>
                <w:w w:val="91"/>
              </w:rPr>
              <w:t>-</w:t>
            </w:r>
          </w:p>
        </w:tc>
        <w:tc>
          <w:tcPr>
            <w:tcW w:w="110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rPr>
              <w:t>144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spacing w:after="0"/>
              <w:rPr>
                <w:sz w:val="16"/>
                <w:szCs w:val="16"/>
                <w:color w:val="auto"/>
              </w:rPr>
            </w:pPr>
          </w:p>
        </w:tc>
      </w:tr>
      <w:tr>
        <w:trPr>
          <w:trHeight w:val="176"/>
        </w:trPr>
        <w:tc>
          <w:tcPr>
            <w:tcW w:w="3800" w:type="dxa"/>
            <w:vAlign w:val="bottom"/>
          </w:tcPr>
          <w:p>
            <w:pPr>
              <w:spacing w:after="0"/>
              <w:rPr>
                <w:sz w:val="20"/>
                <w:szCs w:val="20"/>
                <w:color w:val="auto"/>
              </w:rPr>
            </w:pPr>
            <w:r>
              <w:rPr>
                <w:rFonts w:ascii="Arial" w:cs="Arial" w:eastAsia="Arial" w:hAnsi="Arial"/>
                <w:sz w:val="13"/>
                <w:szCs w:val="13"/>
                <w:color w:val="auto"/>
              </w:rPr>
              <w:t>Balance as of December 31, 2014</w:t>
            </w:r>
          </w:p>
        </w:tc>
        <w:tc>
          <w:tcPr>
            <w:tcW w:w="110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color w:val="auto"/>
              </w:rPr>
              <w:t>10,792</w:t>
            </w: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408,384</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(18,957)</w:t>
            </w:r>
          </w:p>
        </w:tc>
        <w:tc>
          <w:tcPr>
            <w:tcW w:w="130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(225,820)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174,399</w:t>
            </w: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6,665</w:t>
            </w:r>
          </w:p>
        </w:tc>
        <w:tc>
          <w:tcPr>
            <w:tcW w:w="380" w:type="dxa"/>
            <w:vAlign w:val="bottom"/>
            <w:tcBorders>
              <w:bottom w:val="single" w:sz="8" w:color="auto"/>
            </w:tcBorders>
          </w:tcPr>
          <w:p>
            <w:pPr>
              <w:spacing w:after="0"/>
              <w:rPr>
                <w:sz w:val="15"/>
                <w:szCs w:val="15"/>
                <w:color w:val="auto"/>
              </w:rPr>
            </w:pPr>
          </w:p>
        </w:tc>
      </w:tr>
      <w:tr>
        <w:trPr>
          <w:trHeight w:val="386"/>
        </w:trPr>
        <w:tc>
          <w:tcPr>
            <w:tcW w:w="3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gridSpan w:val="2"/>
          </w:tcPr>
          <w:p>
            <w:pPr>
              <w:jc w:val="center"/>
              <w:ind w:left="75"/>
              <w:spacing w:after="0"/>
              <w:rPr>
                <w:sz w:val="20"/>
                <w:szCs w:val="20"/>
                <w:color w:val="auto"/>
              </w:rPr>
            </w:pPr>
            <w:r>
              <w:rPr>
                <w:rFonts w:ascii="Arial" w:cs="Arial" w:eastAsia="Arial" w:hAnsi="Arial"/>
                <w:sz w:val="13"/>
                <w:szCs w:val="13"/>
                <w:b w:val="1"/>
                <w:bCs w:val="1"/>
                <w:color w:val="auto"/>
                <w:w w:val="96"/>
              </w:rPr>
              <w:t>Held in</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70"/>
        </w:trPr>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Common Stock Share Activity</w:t>
            </w:r>
          </w:p>
        </w:tc>
        <w:tc>
          <w:tcPr>
            <w:tcW w:w="1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875"/>
              <w:spacing w:after="0"/>
              <w:rPr>
                <w:sz w:val="20"/>
                <w:szCs w:val="20"/>
                <w:color w:val="auto"/>
              </w:rPr>
            </w:pPr>
            <w:r>
              <w:rPr>
                <w:rFonts w:ascii="Arial" w:cs="Arial" w:eastAsia="Arial" w:hAnsi="Arial"/>
                <w:sz w:val="13"/>
                <w:szCs w:val="13"/>
                <w:b w:val="1"/>
                <w:bCs w:val="1"/>
                <w:color w:val="auto"/>
                <w:w w:val="82"/>
              </w:rPr>
              <w:t>Issued</w:t>
            </w:r>
          </w:p>
        </w:tc>
        <w:tc>
          <w:tcPr>
            <w:tcW w:w="1280" w:type="dxa"/>
            <w:vAlign w:val="bottom"/>
            <w:tcBorders>
              <w:bottom w:val="single" w:sz="8" w:color="auto"/>
            </w:tcBorders>
            <w:gridSpan w:val="2"/>
          </w:tcPr>
          <w:p>
            <w:pPr>
              <w:jc w:val="center"/>
              <w:ind w:left="75"/>
              <w:spacing w:after="0"/>
              <w:rPr>
                <w:sz w:val="20"/>
                <w:szCs w:val="20"/>
                <w:color w:val="auto"/>
              </w:rPr>
            </w:pPr>
            <w:r>
              <w:rPr>
                <w:rFonts w:ascii="Arial" w:cs="Arial" w:eastAsia="Arial" w:hAnsi="Arial"/>
                <w:sz w:val="13"/>
                <w:szCs w:val="13"/>
                <w:b w:val="1"/>
                <w:bCs w:val="1"/>
                <w:color w:val="auto"/>
                <w:w w:val="90"/>
              </w:rPr>
              <w:t>Treasury</w:t>
            </w:r>
          </w:p>
        </w:tc>
        <w:tc>
          <w:tcPr>
            <w:tcW w:w="9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w w:val="98"/>
              </w:rPr>
              <w:t>Out</w:t>
            </w:r>
          </w:p>
        </w:tc>
      </w:tr>
      <w:tr>
        <w:trPr>
          <w:trHeight w:val="165"/>
        </w:trPr>
        <w:tc>
          <w:tcPr>
            <w:tcW w:w="3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gridSpan w:val="2"/>
          </w:tcPr>
          <w:p>
            <w:pPr>
              <w:jc w:val="center"/>
              <w:ind w:left="55"/>
              <w:spacing w:after="0"/>
              <w:rPr>
                <w:sz w:val="20"/>
                <w:szCs w:val="20"/>
                <w:color w:val="auto"/>
              </w:rPr>
            </w:pPr>
            <w:r>
              <w:rPr>
                <w:rFonts w:ascii="Arial" w:cs="Arial" w:eastAsia="Arial" w:hAnsi="Arial"/>
                <w:sz w:val="13"/>
                <w:szCs w:val="13"/>
                <w:i w:val="1"/>
                <w:iCs w:val="1"/>
                <w:color w:val="auto"/>
                <w:w w:val="91"/>
              </w:rPr>
              <w:t>(millions of shares)</w:t>
            </w: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412"/>
        </w:trPr>
        <w:tc>
          <w:tcPr>
            <w:tcW w:w="3800" w:type="dxa"/>
            <w:vAlign w:val="bottom"/>
          </w:tcPr>
          <w:p>
            <w:pPr>
              <w:ind w:left="40"/>
              <w:spacing w:after="0"/>
              <w:rPr>
                <w:sz w:val="20"/>
                <w:szCs w:val="20"/>
                <w:color w:val="auto"/>
              </w:rPr>
            </w:pPr>
            <w:r>
              <w:rPr>
                <w:rFonts w:ascii="Arial" w:cs="Arial" w:eastAsia="Arial" w:hAnsi="Arial"/>
                <w:sz w:val="13"/>
                <w:szCs w:val="13"/>
                <w:color w:val="auto"/>
              </w:rPr>
              <w:t>Balance as of December 31, 2011</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555"/>
              <w:spacing w:after="0"/>
              <w:rPr>
                <w:sz w:val="20"/>
                <w:szCs w:val="20"/>
                <w:color w:val="auto"/>
              </w:rPr>
            </w:pPr>
            <w:r>
              <w:rPr>
                <w:rFonts w:ascii="Arial" w:cs="Arial" w:eastAsia="Arial" w:hAnsi="Arial"/>
                <w:sz w:val="13"/>
                <w:szCs w:val="13"/>
                <w:color w:val="auto"/>
              </w:rPr>
              <w:t>8,019</w:t>
            </w:r>
          </w:p>
        </w:tc>
        <w:tc>
          <w:tcPr>
            <w:tcW w:w="1280" w:type="dxa"/>
            <w:vAlign w:val="bottom"/>
            <w:gridSpan w:val="2"/>
          </w:tcPr>
          <w:p>
            <w:pPr>
              <w:jc w:val="right"/>
              <w:ind w:right="20"/>
              <w:spacing w:after="0"/>
              <w:rPr>
                <w:sz w:val="20"/>
                <w:szCs w:val="20"/>
                <w:color w:val="auto"/>
              </w:rPr>
            </w:pPr>
            <w:r>
              <w:rPr>
                <w:rFonts w:ascii="Arial" w:cs="Arial" w:eastAsia="Arial" w:hAnsi="Arial"/>
                <w:sz w:val="13"/>
                <w:szCs w:val="13"/>
                <w:color w:val="auto"/>
              </w:rPr>
              <w:t>(3,285)</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3800" w:type="dxa"/>
            <w:vAlign w:val="bottom"/>
          </w:tcPr>
          <w:p>
            <w:pPr>
              <w:ind w:left="380"/>
              <w:spacing w:after="0"/>
              <w:rPr>
                <w:sz w:val="20"/>
                <w:szCs w:val="20"/>
                <w:color w:val="auto"/>
              </w:rPr>
            </w:pPr>
            <w:r>
              <w:rPr>
                <w:rFonts w:ascii="Arial" w:cs="Arial" w:eastAsia="Arial" w:hAnsi="Arial"/>
                <w:sz w:val="13"/>
                <w:szCs w:val="13"/>
                <w:color w:val="auto"/>
              </w:rPr>
              <w:t>Acquisitions</w:t>
            </w: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615"/>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3"/>
                <w:szCs w:val="13"/>
                <w:color w:val="auto"/>
              </w:rPr>
              <w:t>(244)</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88"/>
        </w:trPr>
        <w:tc>
          <w:tcPr>
            <w:tcW w:w="3800" w:type="dxa"/>
            <w:vAlign w:val="bottom"/>
          </w:tcPr>
          <w:p>
            <w:pPr>
              <w:ind w:left="380"/>
              <w:spacing w:after="0"/>
              <w:rPr>
                <w:sz w:val="20"/>
                <w:szCs w:val="20"/>
                <w:color w:val="auto"/>
              </w:rPr>
            </w:pPr>
            <w:r>
              <w:rPr>
                <w:rFonts w:ascii="Arial" w:cs="Arial" w:eastAsia="Arial" w:hAnsi="Arial"/>
                <w:sz w:val="13"/>
                <w:szCs w:val="13"/>
                <w:color w:val="auto"/>
              </w:rPr>
              <w:t>Dispositions</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5"/>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12</w:t>
            </w:r>
          </w:p>
        </w:tc>
        <w:tc>
          <w:tcPr>
            <w:tcW w:w="9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r>
      <w:tr>
        <w:trPr>
          <w:trHeight w:val="184"/>
        </w:trPr>
        <w:tc>
          <w:tcPr>
            <w:tcW w:w="3800" w:type="dxa"/>
            <w:vAlign w:val="bottom"/>
          </w:tcPr>
          <w:p>
            <w:pPr>
              <w:ind w:left="40"/>
              <w:spacing w:after="0"/>
              <w:rPr>
                <w:sz w:val="20"/>
                <w:szCs w:val="20"/>
                <w:color w:val="auto"/>
              </w:rPr>
            </w:pPr>
            <w:r>
              <w:rPr>
                <w:rFonts w:ascii="Arial" w:cs="Arial" w:eastAsia="Arial" w:hAnsi="Arial"/>
                <w:sz w:val="13"/>
                <w:szCs w:val="13"/>
                <w:color w:val="auto"/>
              </w:rPr>
              <w:t>Balance as of December 31, 2012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555"/>
              <w:spacing w:after="0"/>
              <w:rPr>
                <w:sz w:val="20"/>
                <w:szCs w:val="20"/>
                <w:color w:val="auto"/>
              </w:rPr>
            </w:pPr>
            <w:r>
              <w:rPr>
                <w:rFonts w:ascii="Arial" w:cs="Arial" w:eastAsia="Arial" w:hAnsi="Arial"/>
                <w:sz w:val="13"/>
                <w:szCs w:val="13"/>
                <w:color w:val="auto"/>
              </w:rPr>
              <w:t>8,019</w:t>
            </w:r>
          </w:p>
        </w:tc>
        <w:tc>
          <w:tcPr>
            <w:tcW w:w="1280" w:type="dxa"/>
            <w:vAlign w:val="bottom"/>
            <w:gridSpan w:val="2"/>
          </w:tcPr>
          <w:p>
            <w:pPr>
              <w:jc w:val="right"/>
              <w:ind w:right="20"/>
              <w:spacing w:after="0"/>
              <w:rPr>
                <w:sz w:val="20"/>
                <w:szCs w:val="20"/>
                <w:color w:val="auto"/>
              </w:rPr>
            </w:pPr>
            <w:r>
              <w:rPr>
                <w:rFonts w:ascii="Arial" w:cs="Arial" w:eastAsia="Arial" w:hAnsi="Arial"/>
                <w:sz w:val="13"/>
                <w:szCs w:val="13"/>
                <w:color w:val="auto"/>
              </w:rPr>
              <w:t>(3,517)</w:t>
            </w: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96"/>
        </w:trPr>
        <w:tc>
          <w:tcPr>
            <w:tcW w:w="3800" w:type="dxa"/>
            <w:vAlign w:val="bottom"/>
          </w:tcPr>
          <w:p>
            <w:pPr>
              <w:ind w:left="380"/>
              <w:spacing w:after="0"/>
              <w:rPr>
                <w:sz w:val="20"/>
                <w:szCs w:val="20"/>
                <w:color w:val="auto"/>
              </w:rPr>
            </w:pPr>
            <w:r>
              <w:rPr>
                <w:rFonts w:ascii="Arial" w:cs="Arial" w:eastAsia="Arial" w:hAnsi="Arial"/>
                <w:sz w:val="13"/>
                <w:szCs w:val="13"/>
                <w:color w:val="auto"/>
              </w:rPr>
              <w:t>Acquisitions</w:t>
            </w: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615"/>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3"/>
                <w:szCs w:val="13"/>
                <w:color w:val="auto"/>
              </w:rPr>
              <w:t>(177)</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88"/>
        </w:trPr>
        <w:tc>
          <w:tcPr>
            <w:tcW w:w="3800" w:type="dxa"/>
            <w:vAlign w:val="bottom"/>
          </w:tcPr>
          <w:p>
            <w:pPr>
              <w:ind w:left="380"/>
              <w:spacing w:after="0"/>
              <w:rPr>
                <w:sz w:val="20"/>
                <w:szCs w:val="20"/>
                <w:color w:val="auto"/>
              </w:rPr>
            </w:pPr>
            <w:r>
              <w:rPr>
                <w:rFonts w:ascii="Arial" w:cs="Arial" w:eastAsia="Arial" w:hAnsi="Arial"/>
                <w:sz w:val="13"/>
                <w:szCs w:val="13"/>
                <w:color w:val="auto"/>
              </w:rPr>
              <w:t>Dispositions</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5"/>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10</w:t>
            </w:r>
          </w:p>
        </w:tc>
        <w:tc>
          <w:tcPr>
            <w:tcW w:w="9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r>
      <w:tr>
        <w:trPr>
          <w:trHeight w:val="184"/>
        </w:trPr>
        <w:tc>
          <w:tcPr>
            <w:tcW w:w="3800" w:type="dxa"/>
            <w:vAlign w:val="bottom"/>
          </w:tcPr>
          <w:p>
            <w:pPr>
              <w:ind w:left="40"/>
              <w:spacing w:after="0"/>
              <w:rPr>
                <w:sz w:val="20"/>
                <w:szCs w:val="20"/>
                <w:color w:val="auto"/>
              </w:rPr>
            </w:pPr>
            <w:r>
              <w:rPr>
                <w:rFonts w:ascii="Arial" w:cs="Arial" w:eastAsia="Arial" w:hAnsi="Arial"/>
                <w:sz w:val="13"/>
                <w:szCs w:val="13"/>
                <w:color w:val="auto"/>
              </w:rPr>
              <w:t>Balance as of December 31, 2013</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555"/>
              <w:spacing w:after="0"/>
              <w:rPr>
                <w:sz w:val="20"/>
                <w:szCs w:val="20"/>
                <w:color w:val="auto"/>
              </w:rPr>
            </w:pPr>
            <w:r>
              <w:rPr>
                <w:rFonts w:ascii="Arial" w:cs="Arial" w:eastAsia="Arial" w:hAnsi="Arial"/>
                <w:sz w:val="13"/>
                <w:szCs w:val="13"/>
                <w:color w:val="auto"/>
              </w:rPr>
              <w:t>8,019</w:t>
            </w:r>
          </w:p>
        </w:tc>
        <w:tc>
          <w:tcPr>
            <w:tcW w:w="1280" w:type="dxa"/>
            <w:vAlign w:val="bottom"/>
            <w:gridSpan w:val="2"/>
          </w:tcPr>
          <w:p>
            <w:pPr>
              <w:jc w:val="right"/>
              <w:ind w:right="20"/>
              <w:spacing w:after="0"/>
              <w:rPr>
                <w:sz w:val="20"/>
                <w:szCs w:val="20"/>
                <w:color w:val="auto"/>
              </w:rPr>
            </w:pPr>
            <w:r>
              <w:rPr>
                <w:rFonts w:ascii="Arial" w:cs="Arial" w:eastAsia="Arial" w:hAnsi="Arial"/>
                <w:sz w:val="13"/>
                <w:szCs w:val="13"/>
                <w:color w:val="auto"/>
              </w:rPr>
              <w:t>(3,684)</w:t>
            </w: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96"/>
        </w:trPr>
        <w:tc>
          <w:tcPr>
            <w:tcW w:w="3800" w:type="dxa"/>
            <w:vAlign w:val="bottom"/>
          </w:tcPr>
          <w:p>
            <w:pPr>
              <w:ind w:left="380"/>
              <w:spacing w:after="0"/>
              <w:rPr>
                <w:sz w:val="20"/>
                <w:szCs w:val="20"/>
                <w:color w:val="auto"/>
              </w:rPr>
            </w:pPr>
            <w:r>
              <w:rPr>
                <w:rFonts w:ascii="Arial" w:cs="Arial" w:eastAsia="Arial" w:hAnsi="Arial"/>
                <w:sz w:val="13"/>
                <w:szCs w:val="13"/>
                <w:color w:val="auto"/>
              </w:rPr>
              <w:t>Acquisitions</w:t>
            </w: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615"/>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3"/>
                <w:szCs w:val="13"/>
                <w:color w:val="auto"/>
              </w:rPr>
              <w:t>(136)</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88"/>
        </w:trPr>
        <w:tc>
          <w:tcPr>
            <w:tcW w:w="3800" w:type="dxa"/>
            <w:vAlign w:val="bottom"/>
          </w:tcPr>
          <w:p>
            <w:pPr>
              <w:ind w:left="380"/>
              <w:spacing w:after="0"/>
              <w:rPr>
                <w:sz w:val="20"/>
                <w:szCs w:val="20"/>
                <w:color w:val="auto"/>
              </w:rPr>
            </w:pPr>
            <w:r>
              <w:rPr>
                <w:rFonts w:ascii="Arial" w:cs="Arial" w:eastAsia="Arial" w:hAnsi="Arial"/>
                <w:sz w:val="13"/>
                <w:szCs w:val="13"/>
                <w:color w:val="auto"/>
              </w:rPr>
              <w:t>Dispositions</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5"/>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2</w:t>
            </w:r>
          </w:p>
        </w:tc>
        <w:tc>
          <w:tcPr>
            <w:tcW w:w="9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r>
      <w:tr>
        <w:trPr>
          <w:trHeight w:val="176"/>
        </w:trPr>
        <w:tc>
          <w:tcPr>
            <w:tcW w:w="3800" w:type="dxa"/>
            <w:vAlign w:val="bottom"/>
          </w:tcPr>
          <w:p>
            <w:pPr>
              <w:ind w:left="40"/>
              <w:spacing w:after="0"/>
              <w:rPr>
                <w:sz w:val="20"/>
                <w:szCs w:val="20"/>
                <w:color w:val="auto"/>
              </w:rPr>
            </w:pPr>
            <w:r>
              <w:rPr>
                <w:rFonts w:ascii="Arial" w:cs="Arial" w:eastAsia="Arial" w:hAnsi="Arial"/>
                <w:sz w:val="13"/>
                <w:szCs w:val="13"/>
                <w:color w:val="auto"/>
              </w:rPr>
              <w:t>Balance as of December 31, 2014</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3"/>
                <w:szCs w:val="13"/>
                <w:color w:val="auto"/>
              </w:rPr>
              <w:t>8,019</w:t>
            </w: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(3,818)</w:t>
            </w:r>
          </w:p>
        </w:tc>
        <w:tc>
          <w:tcPr>
            <w:tcW w:w="9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information in the Notes to Consolidated Financial Statements is an integral part of these statements.</w:t>
      </w:r>
    </w:p>
    <w:p>
      <w:pPr>
        <w:spacing w:after="0" w:line="200" w:lineRule="exact"/>
        <w:rPr>
          <w:sz w:val="20"/>
          <w:szCs w:val="20"/>
          <w:color w:val="auto"/>
        </w:rPr>
      </w:pPr>
    </w:p>
    <w:p>
      <w:pPr>
        <w:spacing w:after="0" w:line="302"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consolidated financial statements and the supporting and supplemental material are the responsibility of the management of Exxon Mobil Corporati</w:t>
      </w:r>
    </w:p>
    <w:p>
      <w:pPr>
        <w:spacing w:after="0" w:line="109" w:lineRule="exact"/>
        <w:rPr>
          <w:sz w:val="20"/>
          <w:szCs w:val="20"/>
          <w:color w:val="auto"/>
        </w:rPr>
      </w:pPr>
    </w:p>
    <w:p>
      <w:pPr>
        <w:jc w:val="both"/>
        <w:ind w:firstLine="200"/>
        <w:spacing w:after="0" w:line="271" w:lineRule="auto"/>
        <w:rPr>
          <w:sz w:val="20"/>
          <w:szCs w:val="20"/>
          <w:color w:val="auto"/>
        </w:rPr>
      </w:pPr>
      <w:r>
        <w:rPr>
          <w:rFonts w:ascii="Arial" w:cs="Arial" w:eastAsia="Arial" w:hAnsi="Arial"/>
          <w:sz w:val="16"/>
          <w:szCs w:val="16"/>
          <w:color w:val="auto"/>
        </w:rPr>
        <w:t>The Corporation’s principal business is energy, involving the worldwide exploration, production, transportation and sale of crude oil and natural gas (Upstream) manufacture, transportation and sale of petroleum products (Downstream). The Corporation is also a major worldwide manufacturer and marketer of petroch (Chemical).</w:t>
      </w:r>
    </w:p>
    <w:p>
      <w:pPr>
        <w:spacing w:after="0" w:line="38" w:lineRule="exact"/>
        <w:rPr>
          <w:sz w:val="20"/>
          <w:szCs w:val="20"/>
          <w:color w:val="auto"/>
        </w:rPr>
      </w:pPr>
    </w:p>
    <w:p>
      <w:pPr>
        <w:jc w:val="both"/>
        <w:ind w:firstLine="200"/>
        <w:spacing w:after="0" w:line="271"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(GAAP) requires management to make estimates that af reported amounts of assets, liabilities, revenues and expenses and the disclosure of contingent assets and liabilities. Actual results could differ from these estimate years’ data has been reclassified in certain cases to conform to the 2014 presentation basis.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Summary of Accounting Policies</w:t>
      </w:r>
    </w:p>
    <w:p>
      <w:pPr>
        <w:spacing w:after="0" w:line="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Principles of Consolidation. </w:t>
      </w:r>
      <w:r>
        <w:rPr>
          <w:rFonts w:ascii="Arial" w:cs="Arial" w:eastAsia="Arial" w:hAnsi="Arial"/>
          <w:sz w:val="16"/>
          <w:szCs w:val="16"/>
          <w:color w:val="auto"/>
        </w:rPr>
        <w:t>The Consolidated Financial Statements include the accounts of subsidiaries the Corporation controls. They also include the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undivided interest in certain upstream assets, liabilities, revenues and expenses.</w:t>
      </w:r>
    </w:p>
    <w:p>
      <w:pPr>
        <w:spacing w:after="0" w:line="23" w:lineRule="exact"/>
        <w:rPr>
          <w:sz w:val="20"/>
          <w:szCs w:val="20"/>
          <w:color w:val="auto"/>
        </w:rPr>
      </w:pPr>
    </w:p>
    <w:p>
      <w:pPr>
        <w:jc w:val="both"/>
        <w:ind w:firstLine="200"/>
        <w:spacing w:after="0" w:line="271" w:lineRule="auto"/>
        <w:rPr>
          <w:sz w:val="20"/>
          <w:szCs w:val="20"/>
          <w:color w:val="auto"/>
        </w:rPr>
      </w:pPr>
      <w:r>
        <w:rPr>
          <w:rFonts w:ascii="Arial" w:cs="Arial" w:eastAsia="Arial" w:hAnsi="Arial"/>
          <w:sz w:val="16"/>
          <w:szCs w:val="16"/>
          <w:color w:val="auto"/>
        </w:rPr>
        <w:t>Amounts representing the Corporation’s interest in entities that it does not control, but over which it exercises significant influence, are included in “Investments, a and long-term receivables.” The Corporation’s share of the net income of these companies is included in the Consolidated Statement of Income caption “Income from affiliates.”</w:t>
      </w:r>
    </w:p>
    <w:p>
      <w:pPr>
        <w:spacing w:after="0" w:line="38" w:lineRule="exact"/>
        <w:rPr>
          <w:sz w:val="20"/>
          <w:szCs w:val="20"/>
          <w:color w:val="auto"/>
        </w:rPr>
      </w:pPr>
    </w:p>
    <w:p>
      <w:pPr>
        <w:jc w:val="both"/>
        <w:ind w:firstLine="200"/>
        <w:spacing w:after="0" w:line="265" w:lineRule="auto"/>
        <w:rPr>
          <w:sz w:val="20"/>
          <w:szCs w:val="20"/>
          <w:color w:val="auto"/>
        </w:rPr>
      </w:pPr>
      <w:r>
        <w:rPr>
          <w:rFonts w:ascii="Arial" w:cs="Arial" w:eastAsia="Arial" w:hAnsi="Arial"/>
          <w:sz w:val="16"/>
          <w:szCs w:val="16"/>
          <w:color w:val="auto"/>
        </w:rPr>
        <w:t>Majority ownership is normally the indicator of control that is the basis on which subsidiaries are consolidated. However, certain factors may indicate that a m owned investment is not controlled and therefore should be accounted for using the equity method of accounting. These factors occur where the minority sharehol granted by law or by contract substantive participating rights. These include the right to approve operating policies, expense budgets, financing and investment pla management compensation and succession plans.</w:t>
      </w:r>
    </w:p>
    <w:p>
      <w:pPr>
        <w:spacing w:after="0" w:line="45" w:lineRule="exact"/>
        <w:rPr>
          <w:sz w:val="20"/>
          <w:szCs w:val="20"/>
          <w:color w:val="auto"/>
        </w:rPr>
      </w:pPr>
    </w:p>
    <w:p>
      <w:pPr>
        <w:jc w:val="both"/>
        <w:ind w:right="20" w:firstLine="200"/>
        <w:spacing w:after="0" w:line="286" w:lineRule="auto"/>
        <w:rPr>
          <w:sz w:val="20"/>
          <w:szCs w:val="20"/>
          <w:color w:val="auto"/>
        </w:rPr>
      </w:pPr>
      <w:r>
        <w:rPr>
          <w:rFonts w:ascii="Arial" w:cs="Arial" w:eastAsia="Arial" w:hAnsi="Arial"/>
          <w:sz w:val="16"/>
          <w:szCs w:val="16"/>
          <w:color w:val="auto"/>
        </w:rPr>
        <w:t>The Corporation’s share of the cumulative foreign exchange translation adjustment for equity method investments is reported in Accumulated Other Compre Income.</w:t>
      </w:r>
    </w:p>
    <w:p>
      <w:pPr>
        <w:spacing w:after="0" w:line="27" w:lineRule="exact"/>
        <w:rPr>
          <w:sz w:val="20"/>
          <w:szCs w:val="20"/>
          <w:color w:val="auto"/>
        </w:rPr>
      </w:pPr>
    </w:p>
    <w:p>
      <w:pPr>
        <w:jc w:val="both"/>
        <w:ind w:firstLine="200"/>
        <w:spacing w:after="0" w:line="263" w:lineRule="auto"/>
        <w:rPr>
          <w:sz w:val="20"/>
          <w:szCs w:val="20"/>
          <w:color w:val="auto"/>
        </w:rPr>
      </w:pPr>
      <w:r>
        <w:rPr>
          <w:rFonts w:ascii="Arial" w:cs="Arial" w:eastAsia="Arial" w:hAnsi="Arial"/>
          <w:sz w:val="16"/>
          <w:szCs w:val="16"/>
          <w:color w:val="auto"/>
        </w:rPr>
        <w:t>Evidence of loss in value that might indicate impairment of investments in companies accounted for on the equity method is assessed to determine if such e represents a loss in value of the Corporation’s investment that is other than temporary. Examples of key indicators include a history of operating losses, negative earni cash flow outlook, significant downward revisions to oil and gas reserves, and the financial condition and prospects for the investee’s business segment or geographic If evidence of an other than temporary loss in fair value below carrying amount is determined, an impairment is recognized. In the absence of market prices investment, discounted cash flows are used to assess fair value.</w:t>
      </w:r>
    </w:p>
    <w:p>
      <w:pPr>
        <w:spacing w:after="0" w:line="4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The Corporation generally sells crude oil, natural gas and petroleum and chemical products under short-term agreements at prevailing market</w:t>
      </w:r>
      <w:r>
        <w:rPr>
          <w:rFonts w:ascii="Arial" w:cs="Arial" w:eastAsia="Arial" w:hAnsi="Arial"/>
          <w:sz w:val="16"/>
          <w:szCs w:val="16"/>
          <w:b w:val="1"/>
          <w:bCs w:val="1"/>
          <w:color w:val="auto"/>
        </w:rPr>
        <w:t xml:space="preserve"> </w:t>
      </w:r>
      <w:r>
        <w:rPr>
          <w:rFonts w:ascii="Arial" w:cs="Arial" w:eastAsia="Arial" w:hAnsi="Arial"/>
          <w:sz w:val="16"/>
          <w:szCs w:val="16"/>
          <w:color w:val="auto"/>
        </w:rPr>
        <w:t>In some cases (e.g., natural gas), products may be sold under long-term agreements, with periodic price adjustments. Revenues are recognized when the prod delivered, which occurs when the customer has taken title and has assumed the risks and rewards of ownership, prices are fixed or determinable and collecti reasonably assured.</w:t>
      </w:r>
    </w:p>
    <w:p>
      <w:pPr>
        <w:spacing w:after="0" w:line="43" w:lineRule="exact"/>
        <w:rPr>
          <w:sz w:val="20"/>
          <w:szCs w:val="20"/>
          <w:color w:val="auto"/>
        </w:rPr>
      </w:pPr>
    </w:p>
    <w:p>
      <w:pPr>
        <w:ind w:right="20" w:firstLine="200"/>
        <w:spacing w:after="0" w:line="286" w:lineRule="auto"/>
        <w:rPr>
          <w:sz w:val="20"/>
          <w:szCs w:val="20"/>
          <w:color w:val="auto"/>
        </w:rPr>
      </w:pPr>
      <w:r>
        <w:rPr>
          <w:rFonts w:ascii="Arial" w:cs="Arial" w:eastAsia="Arial" w:hAnsi="Arial"/>
          <w:sz w:val="16"/>
          <w:szCs w:val="16"/>
          <w:color w:val="auto"/>
        </w:rPr>
        <w:t>Revenues from the production of natural gas properties in which the Corporation has an interest with other producers are recognized on the basis of the Corporati working interest. Differences between actual production and net working interest volumes are not significant.</w:t>
      </w:r>
    </w:p>
    <w:p>
      <w:pPr>
        <w:spacing w:after="0" w:line="27" w:lineRule="exact"/>
        <w:rPr>
          <w:sz w:val="20"/>
          <w:szCs w:val="20"/>
          <w:color w:val="auto"/>
        </w:rPr>
      </w:pPr>
    </w:p>
    <w:p>
      <w:pPr>
        <w:jc w:val="both"/>
        <w:ind w:firstLine="200"/>
        <w:spacing w:after="0" w:line="286" w:lineRule="auto"/>
        <w:rPr>
          <w:sz w:val="20"/>
          <w:szCs w:val="20"/>
          <w:color w:val="auto"/>
        </w:rPr>
      </w:pPr>
      <w:r>
        <w:rPr>
          <w:rFonts w:ascii="Arial" w:cs="Arial" w:eastAsia="Arial" w:hAnsi="Arial"/>
          <w:sz w:val="16"/>
          <w:szCs w:val="16"/>
          <w:color w:val="auto"/>
        </w:rPr>
        <w:t>Purchases and sales of inventory with the same counterparty that are entered into in contemplation of one another are combined and recorded as exchanges measure book value of the item sold.</w:t>
      </w:r>
    </w:p>
    <w:p>
      <w:pPr>
        <w:spacing w:after="0" w:line="2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Sales-Based Taxes. </w:t>
      </w:r>
      <w:r>
        <w:rPr>
          <w:rFonts w:ascii="Arial" w:cs="Arial" w:eastAsia="Arial" w:hAnsi="Arial"/>
          <w:sz w:val="16"/>
          <w:szCs w:val="16"/>
          <w:color w:val="auto"/>
        </w:rPr>
        <w:t>The Corporation reports sales, excise and value-added taxes on sales transactions on a gross basis in the Consolidated Statement of Income (incl</w:t>
      </w:r>
      <w:r>
        <w:rPr>
          <w:rFonts w:ascii="Arial" w:cs="Arial" w:eastAsia="Arial" w:hAnsi="Arial"/>
          <w:sz w:val="16"/>
          <w:szCs w:val="16"/>
          <w:b w:val="1"/>
          <w:bCs w:val="1"/>
          <w:color w:val="auto"/>
        </w:rPr>
        <w:t xml:space="preserve"> </w:t>
      </w:r>
      <w:r>
        <w:rPr>
          <w:rFonts w:ascii="Arial" w:cs="Arial" w:eastAsia="Arial" w:hAnsi="Arial"/>
          <w:sz w:val="16"/>
          <w:szCs w:val="16"/>
          <w:color w:val="auto"/>
        </w:rPr>
        <w:t>both revenues and costs).</w:t>
      </w:r>
    </w:p>
    <w:p>
      <w:pPr>
        <w:spacing w:after="0" w:line="1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b w:val="1"/>
          <w:bCs w:val="1"/>
          <w:color w:val="auto"/>
        </w:rPr>
        <w:t xml:space="preserve">Derivative Instruments. </w:t>
      </w:r>
      <w:r>
        <w:rPr>
          <w:rFonts w:ascii="Arial" w:cs="Arial" w:eastAsia="Arial" w:hAnsi="Arial"/>
          <w:sz w:val="15"/>
          <w:szCs w:val="15"/>
          <w:color w:val="auto"/>
        </w:rPr>
        <w:t>The Corporation makes limited use of derivative instruments. The Corporation does not engage in speculative derivative activities or de</w:t>
      </w:r>
      <w:r>
        <w:rPr>
          <w:rFonts w:ascii="Arial" w:cs="Arial" w:eastAsia="Arial" w:hAnsi="Arial"/>
          <w:sz w:val="15"/>
          <w:szCs w:val="15"/>
          <w:b w:val="1"/>
          <w:bCs w:val="1"/>
          <w:color w:val="auto"/>
        </w:rPr>
        <w:t xml:space="preserve"> </w:t>
      </w:r>
      <w:r>
        <w:rPr>
          <w:rFonts w:ascii="Arial" w:cs="Arial" w:eastAsia="Arial" w:hAnsi="Arial"/>
          <w:sz w:val="15"/>
          <w:szCs w:val="15"/>
          <w:color w:val="auto"/>
        </w:rPr>
        <w:t>trading activities, nor does it use derivatives with leveraged features. When the Corporation does enter into derivative transactions, it is to offset exposures associat interest rates, foreign currency exchange rates and hydrocarbon prices that arise from existing assets, liabilities and forecasted transactions.</w:t>
      </w:r>
    </w:p>
    <w:p>
      <w:pPr>
        <w:spacing w:after="0" w:line="21" w:lineRule="exact"/>
        <w:rPr>
          <w:sz w:val="20"/>
          <w:szCs w:val="20"/>
          <w:color w:val="auto"/>
        </w:rPr>
      </w:pPr>
    </w:p>
    <w:p>
      <w:pPr>
        <w:jc w:val="both"/>
        <w:ind w:right="20" w:firstLine="200"/>
        <w:spacing w:after="0" w:line="321" w:lineRule="auto"/>
        <w:rPr>
          <w:sz w:val="20"/>
          <w:szCs w:val="20"/>
          <w:color w:val="auto"/>
        </w:rPr>
      </w:pPr>
      <w:r>
        <w:rPr>
          <w:rFonts w:ascii="Arial" w:cs="Arial" w:eastAsia="Arial" w:hAnsi="Arial"/>
          <w:sz w:val="15"/>
          <w:szCs w:val="15"/>
          <w:color w:val="auto"/>
        </w:rPr>
        <w:t>The gains and losses resulting from changes in the fair value of derivatives are recorded in income. In some cases, the Corporation designates derivatives as fa hedges, in which case the gains and losses are offset in income by the gains and losses arising from changes in the fair value of the underlying hedged item.</w:t>
      </w:r>
    </w:p>
    <w:p>
      <w:pPr>
        <w:jc w:val="both"/>
        <w:spacing w:after="0" w:line="273" w:lineRule="auto"/>
        <w:rPr>
          <w:sz w:val="20"/>
          <w:szCs w:val="20"/>
          <w:color w:val="auto"/>
        </w:rPr>
      </w:pPr>
      <w:r>
        <w:rPr>
          <w:rFonts w:ascii="Arial" w:cs="Arial" w:eastAsia="Arial" w:hAnsi="Arial"/>
          <w:sz w:val="16"/>
          <w:szCs w:val="16"/>
          <w:b w:val="1"/>
          <w:bCs w:val="1"/>
          <w:color w:val="auto"/>
        </w:rPr>
        <w:t xml:space="preserve">Fair Value. </w:t>
      </w:r>
      <w:r>
        <w:rPr>
          <w:rFonts w:ascii="Arial" w:cs="Arial" w:eastAsia="Arial" w:hAnsi="Arial"/>
          <w:sz w:val="16"/>
          <w:szCs w:val="16"/>
          <w:color w:val="auto"/>
        </w:rPr>
        <w:t>Fair value is the price that would be received to sell an asset or paid to transfer a liability in an orderly transaction between market participants. Hierarchy</w:t>
      </w:r>
      <w:r>
        <w:rPr>
          <w:rFonts w:ascii="Arial" w:cs="Arial" w:eastAsia="Arial" w:hAnsi="Arial"/>
          <w:sz w:val="16"/>
          <w:szCs w:val="16"/>
          <w:b w:val="1"/>
          <w:bCs w:val="1"/>
          <w:color w:val="auto"/>
        </w:rPr>
        <w:t xml:space="preserve"> </w:t>
      </w:r>
      <w:r>
        <w:rPr>
          <w:rFonts w:ascii="Arial" w:cs="Arial" w:eastAsia="Arial" w:hAnsi="Arial"/>
          <w:sz w:val="16"/>
          <w:szCs w:val="16"/>
          <w:color w:val="auto"/>
        </w:rPr>
        <w:t>1, 2 and 3 are terms for the priority of inputs to valuation techniques used to measure fair value. Hierarchy Level 1 inputs are quoted prices in active markets for i assets or liabilities. Hierarchy</w:t>
      </w:r>
    </w:p>
    <w:p>
      <w:pPr>
        <w:spacing w:after="0" w:line="62"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2"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Level 2 inputs are inputs other than quoted prices included within Level 1 that are directly or indirectly observable for the asset or liability. Hierarchy Level 3 inputs ar that are not observable in the market</w:t>
      </w:r>
      <w:r>
        <w:rPr>
          <w:rFonts w:ascii="Arial" w:cs="Arial" w:eastAsia="Arial" w:hAnsi="Arial"/>
          <w:sz w:val="19"/>
          <w:szCs w:val="19"/>
          <w:color w:val="auto"/>
        </w:rPr>
        <w:t>.</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Inventories. </w:t>
      </w:r>
      <w:r>
        <w:rPr>
          <w:rFonts w:ascii="Arial" w:cs="Arial" w:eastAsia="Arial" w:hAnsi="Arial"/>
          <w:sz w:val="15"/>
          <w:szCs w:val="15"/>
          <w:color w:val="auto"/>
        </w:rPr>
        <w:t>Crude oil, products and merchandise inventories are carried at the lower of current market value or cost (generally determined under the last-in, first-out</w:t>
      </w:r>
    </w:p>
    <w:p>
      <w:pPr>
        <w:spacing w:after="0" w:line="3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LIFO). Inventory costs include expenditures and other charges (including depreciation) directly and indirectly incurred in bringing the inventory to its existing condit location. Selling expenses and general and administrative expenses are reported as period costs and excluded from inventory cost. Inventories of materials and supp valued at cost or less.</w:t>
      </w:r>
    </w:p>
    <w:p>
      <w:pPr>
        <w:spacing w:after="0" w:line="41"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b w:val="1"/>
          <w:bCs w:val="1"/>
          <w:color w:val="auto"/>
        </w:rPr>
        <w:t xml:space="preserve">Property, Plant and Equipment. </w:t>
      </w:r>
      <w:r>
        <w:rPr>
          <w:rFonts w:ascii="Arial" w:cs="Arial" w:eastAsia="Arial" w:hAnsi="Arial"/>
          <w:sz w:val="15"/>
          <w:szCs w:val="15"/>
          <w:color w:val="auto"/>
        </w:rPr>
        <w:t>Depreciation, depletion and amortization, based on cost less estimated salvage value of the asset, are primarily determined under ei</w:t>
      </w:r>
      <w:r>
        <w:rPr>
          <w:rFonts w:ascii="Arial" w:cs="Arial" w:eastAsia="Arial" w:hAnsi="Arial"/>
          <w:sz w:val="15"/>
          <w:szCs w:val="15"/>
          <w:b w:val="1"/>
          <w:bCs w:val="1"/>
          <w:color w:val="auto"/>
        </w:rPr>
        <w:t xml:space="preserve"> </w:t>
      </w:r>
      <w:r>
        <w:rPr>
          <w:rFonts w:ascii="Arial" w:cs="Arial" w:eastAsia="Arial" w:hAnsi="Arial"/>
          <w:sz w:val="15"/>
          <w:szCs w:val="15"/>
          <w:color w:val="auto"/>
        </w:rPr>
        <w:t>unit-of-production method or the straight-line method, which is based on estimated asset service life taking obsolescence into consideration. Maintenance and including planned major maintenance, are expensed as incurred. Major renewals and improvements are capitalized and the assets replaced are retired.</w:t>
      </w:r>
    </w:p>
    <w:p>
      <w:pPr>
        <w:spacing w:after="0" w:line="21" w:lineRule="exact"/>
        <w:rPr>
          <w:sz w:val="20"/>
          <w:szCs w:val="20"/>
          <w:color w:val="auto"/>
        </w:rPr>
      </w:pPr>
    </w:p>
    <w:p>
      <w:pPr>
        <w:jc w:val="both"/>
        <w:ind w:firstLine="200"/>
        <w:spacing w:after="0" w:line="261" w:lineRule="auto"/>
        <w:rPr>
          <w:sz w:val="20"/>
          <w:szCs w:val="20"/>
          <w:color w:val="auto"/>
        </w:rPr>
      </w:pPr>
      <w:r>
        <w:rPr>
          <w:rFonts w:ascii="Arial" w:cs="Arial" w:eastAsia="Arial" w:hAnsi="Arial"/>
          <w:sz w:val="16"/>
          <w:szCs w:val="16"/>
          <w:color w:val="auto"/>
        </w:rPr>
        <w:t>The Corporation uses the “successful efforts” method to account for its exploration and production activities. Under this method, costs are accumulated on a field-basis. Costs incurred to purchase, lease, or otherwise acquire a property (whether unproved or proved) are capitalized when incurred. Exploratory well costs are carrie asset when the well has found a sufficient quantity of reserves to justify its completion as a producing well and where the Corporation is making sufficient progress as the reserves and the economic and operating viability of the project. Exploratory well costs not meeting these criteria are charged to expense. Other exploratory expen including geophysical costs and annual lease rentals, are expensed as incurred. Development costs including costs of productive wells and development dry h capitalized.</w:t>
      </w:r>
    </w:p>
    <w:p>
      <w:pPr>
        <w:spacing w:after="0" w:line="49" w:lineRule="exact"/>
        <w:rPr>
          <w:sz w:val="20"/>
          <w:szCs w:val="20"/>
          <w:color w:val="auto"/>
        </w:rPr>
      </w:pPr>
    </w:p>
    <w:p>
      <w:pPr>
        <w:jc w:val="both"/>
        <w:ind w:firstLine="200"/>
        <w:spacing w:after="0" w:line="263" w:lineRule="auto"/>
        <w:rPr>
          <w:sz w:val="20"/>
          <w:szCs w:val="20"/>
          <w:color w:val="auto"/>
        </w:rPr>
      </w:pPr>
      <w:r>
        <w:rPr>
          <w:rFonts w:ascii="Arial" w:cs="Arial" w:eastAsia="Arial" w:hAnsi="Arial"/>
          <w:sz w:val="16"/>
          <w:szCs w:val="16"/>
          <w:color w:val="auto"/>
        </w:rPr>
        <w:t>Acquisition costs of proved properties are amortized using a unit-of-production method, computed on the basis of total proved oil and gas reserves. Capitalized expl drilling and development costs associated with productive depletable extractive properties are amortized using unit-of-production rates based on the amount of developed reserves of oil, gas and other minerals that are estimated to be recoverable from existing facilities using current operating methods. Under the unit-of-pro method, oil and gas volumes are considered produced once they have been measured through meters at custody transfer or sales transaction points at the outlet valve lease or field storage tank.</w:t>
      </w:r>
    </w:p>
    <w:p>
      <w:pPr>
        <w:spacing w:after="0" w:line="46" w:lineRule="exact"/>
        <w:rPr>
          <w:sz w:val="20"/>
          <w:szCs w:val="20"/>
          <w:color w:val="auto"/>
        </w:rPr>
      </w:pPr>
    </w:p>
    <w:p>
      <w:pPr>
        <w:jc w:val="both"/>
        <w:ind w:firstLine="200"/>
        <w:spacing w:after="0" w:line="284" w:lineRule="auto"/>
        <w:rPr>
          <w:sz w:val="20"/>
          <w:szCs w:val="20"/>
          <w:color w:val="auto"/>
        </w:rPr>
      </w:pPr>
      <w:r>
        <w:rPr>
          <w:rFonts w:ascii="Arial" w:cs="Arial" w:eastAsia="Arial" w:hAnsi="Arial"/>
          <w:sz w:val="15"/>
          <w:szCs w:val="15"/>
          <w:color w:val="auto"/>
        </w:rPr>
        <w:t>Production involves lifting the oil and gas to the surface and gathering, treating, field processing and field storage of the oil and gas. The production function n terminates at the outlet valve on the lease or field production storage tank. Production costs are those incurred to operate and maintain the Corporation’s wells and equipment and facilities and are expensed as incurred. They become part of the cost of oil and gas produced. These costs, sometimes referred to as lifting costs, inclu items as labor costs to operate the wells and related equipment; repair and maintenance costs on the wells and equipment; materials, supplies and energy costs req operate the wells and related equipment; and administrative expenses related to the production activity.</w:t>
      </w:r>
    </w:p>
    <w:p>
      <w:pPr>
        <w:spacing w:after="0" w:line="33" w:lineRule="exact"/>
        <w:rPr>
          <w:sz w:val="20"/>
          <w:szCs w:val="20"/>
          <w:color w:val="auto"/>
        </w:rPr>
      </w:pPr>
    </w:p>
    <w:p>
      <w:pPr>
        <w:ind w:firstLine="200"/>
        <w:spacing w:after="0" w:line="271" w:lineRule="auto"/>
        <w:rPr>
          <w:sz w:val="20"/>
          <w:szCs w:val="20"/>
          <w:color w:val="auto"/>
        </w:rPr>
      </w:pPr>
      <w:r>
        <w:rPr>
          <w:rFonts w:ascii="Arial" w:cs="Arial" w:eastAsia="Arial" w:hAnsi="Arial"/>
          <w:sz w:val="16"/>
          <w:szCs w:val="16"/>
          <w:color w:val="auto"/>
        </w:rPr>
        <w:t>Proved oil and gas properties held and used by the Corporation are reviewed for impairment whenever events or changes in circumstances indicate that the c amounts may not be recoverable. Assets are grouped at the lowest level for which there are identifiable cash flows that are largely independent of the cash flows groups of assets.</w:t>
      </w:r>
    </w:p>
    <w:p>
      <w:pPr>
        <w:spacing w:after="0" w:line="38" w:lineRule="exact"/>
        <w:rPr>
          <w:sz w:val="20"/>
          <w:szCs w:val="20"/>
          <w:color w:val="auto"/>
        </w:rPr>
      </w:pPr>
    </w:p>
    <w:p>
      <w:pPr>
        <w:jc w:val="both"/>
        <w:ind w:firstLine="200"/>
        <w:spacing w:after="0" w:line="263" w:lineRule="auto"/>
        <w:rPr>
          <w:sz w:val="20"/>
          <w:szCs w:val="20"/>
          <w:color w:val="auto"/>
        </w:rPr>
      </w:pPr>
      <w:r>
        <w:rPr>
          <w:rFonts w:ascii="Arial" w:cs="Arial" w:eastAsia="Arial" w:hAnsi="Arial"/>
          <w:sz w:val="16"/>
          <w:szCs w:val="16"/>
          <w:color w:val="auto"/>
        </w:rPr>
        <w:t>The Corporation estimates the future undiscounted cash flows of the affected properties to judge the recoverability of carrying amounts. Cash flows used in imp evaluations are developed using annually updated corporate plan investment evaluation assumptions for crude oil and natural gas commodity prices, refining and c margins and foreign currency exchange rates. Annual volumes are based on field production profiles, which are also updated annually. Prices for other petrole chemical products are based on corporate plan assumptions developed annually by major region and also for investment evaluation purposes. Cash flow estim impairment testing exclude derivative instruments.</w:t>
      </w:r>
    </w:p>
    <w:p>
      <w:pPr>
        <w:spacing w:after="0" w:line="46" w:lineRule="exact"/>
        <w:rPr>
          <w:sz w:val="20"/>
          <w:szCs w:val="20"/>
          <w:color w:val="auto"/>
        </w:rPr>
      </w:pPr>
    </w:p>
    <w:p>
      <w:pPr>
        <w:jc w:val="both"/>
        <w:ind w:firstLine="200"/>
        <w:spacing w:after="0" w:line="271" w:lineRule="auto"/>
        <w:rPr>
          <w:sz w:val="20"/>
          <w:szCs w:val="20"/>
          <w:color w:val="auto"/>
        </w:rPr>
      </w:pPr>
      <w:r>
        <w:rPr>
          <w:rFonts w:ascii="Arial" w:cs="Arial" w:eastAsia="Arial" w:hAnsi="Arial"/>
          <w:sz w:val="16"/>
          <w:szCs w:val="16"/>
          <w:color w:val="auto"/>
        </w:rPr>
        <w:t>Impairment analyses are generally based on proved reserves. Where probable reserves exist, an appropriately risk-adjusted amount of these reserves may be include impairment evaluation. An asset group would be impaired if the undiscounted cash flows were less than its carrying value. Impairments are measured by the amo carrying value exceeds fair value.</w:t>
      </w:r>
    </w:p>
    <w:p>
      <w:pPr>
        <w:spacing w:after="0" w:line="38" w:lineRule="exact"/>
        <w:rPr>
          <w:sz w:val="20"/>
          <w:szCs w:val="20"/>
          <w:color w:val="auto"/>
        </w:rPr>
      </w:pPr>
    </w:p>
    <w:p>
      <w:pPr>
        <w:jc w:val="both"/>
        <w:ind w:firstLine="200"/>
        <w:spacing w:after="0" w:line="297" w:lineRule="auto"/>
        <w:rPr>
          <w:sz w:val="20"/>
          <w:szCs w:val="20"/>
          <w:color w:val="auto"/>
        </w:rPr>
      </w:pPr>
      <w:r>
        <w:rPr>
          <w:rFonts w:ascii="Arial" w:cs="Arial" w:eastAsia="Arial" w:hAnsi="Arial"/>
          <w:sz w:val="15"/>
          <w:szCs w:val="15"/>
          <w:color w:val="auto"/>
        </w:rPr>
        <w:t>Significant unproved properties are assessed for impairment individually, and valuation allowances against the capitalized costs are recorded based on the es economic chance of success and the length of time that the Corporation expects to hold the properties. Properties that are not individually significant are aggregated by and amortized based on development risk and average holding period. The valuation allowances are reviewed at least annually.</w:t>
      </w:r>
    </w:p>
    <w:p>
      <w:pPr>
        <w:spacing w:after="0" w:line="21" w:lineRule="exact"/>
        <w:rPr>
          <w:sz w:val="20"/>
          <w:szCs w:val="20"/>
          <w:color w:val="auto"/>
        </w:rPr>
      </w:pPr>
    </w:p>
    <w:p>
      <w:pPr>
        <w:jc w:val="both"/>
        <w:ind w:firstLine="200"/>
        <w:spacing w:after="0" w:line="286" w:lineRule="auto"/>
        <w:rPr>
          <w:sz w:val="20"/>
          <w:szCs w:val="20"/>
          <w:color w:val="auto"/>
        </w:rPr>
      </w:pPr>
      <w:r>
        <w:rPr>
          <w:rFonts w:ascii="Arial" w:cs="Arial" w:eastAsia="Arial" w:hAnsi="Arial"/>
          <w:sz w:val="16"/>
          <w:szCs w:val="16"/>
          <w:color w:val="auto"/>
        </w:rPr>
        <w:t>Gains on sales of proved and unproved properties are only recognized when there is neither uncertainty about the recovery of costs applicable to any interest retai any substantial obligation for future performance by the Corporation.</w:t>
      </w:r>
    </w:p>
    <w:p>
      <w:pPr>
        <w:spacing w:after="0" w:line="27" w:lineRule="exact"/>
        <w:rPr>
          <w:sz w:val="20"/>
          <w:szCs w:val="20"/>
          <w:color w:val="auto"/>
        </w:rPr>
      </w:pPr>
    </w:p>
    <w:p>
      <w:pPr>
        <w:jc w:val="center"/>
        <w:spacing w:after="0" w:line="414" w:lineRule="auto"/>
        <w:rPr>
          <w:sz w:val="20"/>
          <w:szCs w:val="20"/>
          <w:color w:val="auto"/>
        </w:rPr>
      </w:pPr>
      <w:r>
        <w:rPr>
          <w:rFonts w:ascii="Arial" w:cs="Arial" w:eastAsia="Arial" w:hAnsi="Arial"/>
          <w:sz w:val="16"/>
          <w:szCs w:val="16"/>
          <w:color w:val="auto"/>
        </w:rPr>
        <w:t>Losses on properties sold are recognized when incurred or when the properties are held for sale and the fair value of the properties is less than the carrying value.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380365</wp:posOffset>
            </wp:positionV>
            <wp:extent cx="7279640" cy="20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70" w:name="page71"/>
    <w:bookmarkEnd w:id="70"/>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2" w:lineRule="exact"/>
        <w:rPr>
          <w:sz w:val="20"/>
          <w:szCs w:val="20"/>
          <w:color w:val="auto"/>
        </w:rPr>
      </w:pPr>
    </w:p>
    <w:p>
      <w:pPr>
        <w:jc w:val="both"/>
        <w:ind w:left="580" w:right="20" w:firstLine="200"/>
        <w:spacing w:after="0" w:line="297" w:lineRule="auto"/>
        <w:rPr>
          <w:sz w:val="20"/>
          <w:szCs w:val="20"/>
          <w:color w:val="auto"/>
        </w:rPr>
      </w:pPr>
      <w:r>
        <w:rPr>
          <w:rFonts w:ascii="Arial" w:cs="Arial" w:eastAsia="Arial" w:hAnsi="Arial"/>
          <w:sz w:val="15"/>
          <w:szCs w:val="15"/>
          <w:color w:val="auto"/>
        </w:rPr>
        <w:t>Interest costs incurred to finance expenditures during the construction phase of multiyear projects are capitalized as part of the historical cost of acquiring the con assets. The project construction phase commences with the development of the detailed engineering design and ends when the constructed assets are ready for their i use. Capitalized interest costs are included in property, plant and equipment and are depreciated over the service life of the related assets.</w:t>
      </w:r>
    </w:p>
    <w:p>
      <w:pPr>
        <w:spacing w:after="0" w:line="17" w:lineRule="exact"/>
        <w:rPr>
          <w:sz w:val="20"/>
          <w:szCs w:val="20"/>
          <w:color w:val="auto"/>
        </w:rPr>
      </w:pPr>
    </w:p>
    <w:p>
      <w:pPr>
        <w:jc w:val="both"/>
        <w:ind w:left="580"/>
        <w:spacing w:after="0" w:line="273" w:lineRule="auto"/>
        <w:rPr>
          <w:sz w:val="20"/>
          <w:szCs w:val="20"/>
          <w:color w:val="auto"/>
        </w:rPr>
      </w:pPr>
      <w:r>
        <w:rPr>
          <w:rFonts w:ascii="Arial" w:cs="Arial" w:eastAsia="Arial" w:hAnsi="Arial"/>
          <w:sz w:val="16"/>
          <w:szCs w:val="16"/>
          <w:b w:val="1"/>
          <w:bCs w:val="1"/>
          <w:color w:val="auto"/>
        </w:rPr>
        <w:t xml:space="preserve">Asset Retirement Obligations and Environmental Liabilities. </w:t>
      </w:r>
      <w:r>
        <w:rPr>
          <w:rFonts w:ascii="Arial" w:cs="Arial" w:eastAsia="Arial" w:hAnsi="Arial"/>
          <w:sz w:val="16"/>
          <w:szCs w:val="16"/>
          <w:color w:val="auto"/>
        </w:rPr>
        <w:t>The Corporation incurs retirement obligations for certain assets. The fair values of these obligati</w:t>
      </w:r>
      <w:r>
        <w:rPr>
          <w:rFonts w:ascii="Arial" w:cs="Arial" w:eastAsia="Arial" w:hAnsi="Arial"/>
          <w:sz w:val="16"/>
          <w:szCs w:val="16"/>
          <w:b w:val="1"/>
          <w:bCs w:val="1"/>
          <w:color w:val="auto"/>
        </w:rPr>
        <w:t xml:space="preserve"> </w:t>
      </w:r>
      <w:r>
        <w:rPr>
          <w:rFonts w:ascii="Arial" w:cs="Arial" w:eastAsia="Arial" w:hAnsi="Arial"/>
          <w:sz w:val="16"/>
          <w:szCs w:val="16"/>
          <w:color w:val="auto"/>
        </w:rPr>
        <w:t>recorded as liabilities on a discounted basis, which is typically at the time the assets are installed. The costs associated with these liabilities are capitalized as par related assets and depreciated. Over time, the liabilities are accreted for the change in their present value.</w:t>
      </w:r>
    </w:p>
    <w:p>
      <w:pPr>
        <w:spacing w:after="0" w:line="38" w:lineRule="exact"/>
        <w:rPr>
          <w:sz w:val="20"/>
          <w:szCs w:val="20"/>
          <w:color w:val="auto"/>
        </w:rPr>
      </w:pPr>
    </w:p>
    <w:p>
      <w:pPr>
        <w:jc w:val="both"/>
        <w:ind w:left="580" w:firstLine="200"/>
        <w:spacing w:after="0" w:line="286" w:lineRule="auto"/>
        <w:rPr>
          <w:sz w:val="20"/>
          <w:szCs w:val="20"/>
          <w:color w:val="auto"/>
        </w:rPr>
      </w:pPr>
      <w:r>
        <w:rPr>
          <w:rFonts w:ascii="Arial" w:cs="Arial" w:eastAsia="Arial" w:hAnsi="Arial"/>
          <w:sz w:val="16"/>
          <w:szCs w:val="16"/>
          <w:color w:val="auto"/>
        </w:rPr>
        <w:t>Liabilities for environmental costs are recorded when it is probable that obligations have been incurred and the amounts can be reasonably estimated. These liabili not reduced by possible recoveries from third parties and projected cash expenditures are not discounted.</w:t>
      </w:r>
    </w:p>
    <w:p>
      <w:pPr>
        <w:spacing w:after="0" w:line="23" w:lineRule="exact"/>
        <w:rPr>
          <w:sz w:val="20"/>
          <w:szCs w:val="20"/>
          <w:color w:val="auto"/>
        </w:rPr>
      </w:pPr>
    </w:p>
    <w:p>
      <w:pPr>
        <w:jc w:val="both"/>
        <w:ind w:left="580"/>
        <w:spacing w:after="0" w:line="291" w:lineRule="auto"/>
        <w:rPr>
          <w:sz w:val="20"/>
          <w:szCs w:val="20"/>
          <w:color w:val="auto"/>
        </w:rPr>
      </w:pPr>
      <w:r>
        <w:rPr>
          <w:rFonts w:ascii="Arial" w:cs="Arial" w:eastAsia="Arial" w:hAnsi="Arial"/>
          <w:sz w:val="16"/>
          <w:szCs w:val="16"/>
          <w:b w:val="1"/>
          <w:bCs w:val="1"/>
          <w:color w:val="auto"/>
        </w:rPr>
        <w:t xml:space="preserve">Foreign Currency Translation. </w:t>
      </w:r>
      <w:r>
        <w:rPr>
          <w:rFonts w:ascii="Arial" w:cs="Arial" w:eastAsia="Arial" w:hAnsi="Arial"/>
          <w:sz w:val="16"/>
          <w:szCs w:val="16"/>
          <w:color w:val="auto"/>
        </w:rPr>
        <w:t>The Corporation selects the functional reporting currency for its international subsidiaries based on the currency of the primary ec</w:t>
      </w:r>
      <w:r>
        <w:rPr>
          <w:rFonts w:ascii="Arial" w:cs="Arial" w:eastAsia="Arial" w:hAnsi="Arial"/>
          <w:sz w:val="16"/>
          <w:szCs w:val="16"/>
          <w:b w:val="1"/>
          <w:bCs w:val="1"/>
          <w:color w:val="auto"/>
        </w:rPr>
        <w:t xml:space="preserve"> </w:t>
      </w:r>
      <w:r>
        <w:rPr>
          <w:rFonts w:ascii="Arial" w:cs="Arial" w:eastAsia="Arial" w:hAnsi="Arial"/>
          <w:sz w:val="16"/>
          <w:szCs w:val="16"/>
          <w:color w:val="auto"/>
        </w:rPr>
        <w:t>environment in which each subsidiary operates.</w:t>
      </w:r>
    </w:p>
    <w:p>
      <w:pPr>
        <w:spacing w:after="0" w:line="23" w:lineRule="exact"/>
        <w:rPr>
          <w:sz w:val="20"/>
          <w:szCs w:val="20"/>
          <w:color w:val="auto"/>
        </w:rPr>
      </w:pPr>
    </w:p>
    <w:p>
      <w:pPr>
        <w:jc w:val="both"/>
        <w:ind w:left="580" w:firstLine="200"/>
        <w:spacing w:after="0" w:line="289" w:lineRule="auto"/>
        <w:rPr>
          <w:sz w:val="20"/>
          <w:szCs w:val="20"/>
          <w:color w:val="auto"/>
        </w:rPr>
      </w:pPr>
      <w:r>
        <w:rPr>
          <w:rFonts w:ascii="Arial" w:cs="Arial" w:eastAsia="Arial" w:hAnsi="Arial"/>
          <w:sz w:val="15"/>
          <w:szCs w:val="15"/>
          <w:color w:val="auto"/>
        </w:rPr>
        <w:t>Downstream and Chemical operations primarily use the local currency. However, the U.S. dollar is used in countries with a history of high inflation (primarily i America) and Singapore, which predominantly sells into the U.S. dollar export market. Upstream operations which are relatively self-contained and integrated w particular country, such as Canada, the United Kingdom, Norway and continental Europe, use the local currency. Some Upstream operations, primarily in Asia and Afr the U.S. dollar because they predominantly sell crude and natural gas production into U.S. dollar-denominated markets.</w:t>
      </w:r>
    </w:p>
    <w:p>
      <w:pPr>
        <w:spacing w:after="0" w:line="2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For all operations, gains or losses from remeasuring foreign currency transactions into the functional currency are included in income.</w:t>
      </w:r>
    </w:p>
    <w:p>
      <w:pPr>
        <w:spacing w:after="0" w:line="82" w:lineRule="exact"/>
        <w:rPr>
          <w:sz w:val="20"/>
          <w:szCs w:val="20"/>
          <w:color w:val="auto"/>
        </w:rPr>
      </w:pPr>
    </w:p>
    <w:p>
      <w:pPr>
        <w:ind w:left="580" w:right="40"/>
        <w:spacing w:after="0" w:line="291" w:lineRule="auto"/>
        <w:rPr>
          <w:sz w:val="20"/>
          <w:szCs w:val="20"/>
          <w:color w:val="auto"/>
        </w:rPr>
      </w:pPr>
      <w:r>
        <w:rPr>
          <w:rFonts w:ascii="Arial" w:cs="Arial" w:eastAsia="Arial" w:hAnsi="Arial"/>
          <w:sz w:val="16"/>
          <w:szCs w:val="16"/>
          <w:b w:val="1"/>
          <w:bCs w:val="1"/>
          <w:color w:val="auto"/>
        </w:rPr>
        <w:t xml:space="preserve">Stock-Based Payments. </w:t>
      </w:r>
      <w:r>
        <w:rPr>
          <w:rFonts w:ascii="Arial" w:cs="Arial" w:eastAsia="Arial" w:hAnsi="Arial"/>
          <w:sz w:val="16"/>
          <w:szCs w:val="16"/>
          <w:color w:val="auto"/>
        </w:rPr>
        <w:t>The Corporation awards stock-based compensation to employees in the form of restricted stock and restricted stock units. Compensation ex</w:t>
      </w:r>
      <w:r>
        <w:rPr>
          <w:rFonts w:ascii="Arial" w:cs="Arial" w:eastAsia="Arial" w:hAnsi="Arial"/>
          <w:sz w:val="16"/>
          <w:szCs w:val="16"/>
          <w:b w:val="1"/>
          <w:bCs w:val="1"/>
          <w:color w:val="auto"/>
        </w:rPr>
        <w:t xml:space="preserve"> </w:t>
      </w:r>
      <w:r>
        <w:rPr>
          <w:rFonts w:ascii="Arial" w:cs="Arial" w:eastAsia="Arial" w:hAnsi="Arial"/>
          <w:sz w:val="16"/>
          <w:szCs w:val="16"/>
          <w:color w:val="auto"/>
        </w:rPr>
        <w:t>measured by the price of the stock at the date of grant and is recognized in income over the requisite service period.</w:t>
      </w:r>
    </w:p>
    <w:p>
      <w:pPr>
        <w:spacing w:after="0" w:line="215"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2. Accounting Changes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Corporation did not adopt authoritative guidance in 2014 that had a material impact on the Corporation’s financial statements.</w:t>
      </w:r>
    </w:p>
    <w:p>
      <w:pPr>
        <w:spacing w:after="0" w:line="86" w:lineRule="exact"/>
        <w:rPr>
          <w:sz w:val="20"/>
          <w:szCs w:val="20"/>
          <w:color w:val="auto"/>
        </w:rPr>
      </w:pPr>
    </w:p>
    <w:p>
      <w:pPr>
        <w:jc w:val="both"/>
        <w:ind w:left="580" w:firstLine="294"/>
        <w:spacing w:after="0" w:line="271" w:lineRule="auto"/>
        <w:rPr>
          <w:sz w:val="20"/>
          <w:szCs w:val="20"/>
          <w:color w:val="auto"/>
        </w:rPr>
      </w:pPr>
      <w:r>
        <w:rPr>
          <w:rFonts w:ascii="Arial" w:cs="Arial" w:eastAsia="Arial" w:hAnsi="Arial"/>
          <w:sz w:val="16"/>
          <w:szCs w:val="16"/>
          <w:color w:val="auto"/>
        </w:rPr>
        <w:t xml:space="preserve">In May 2014, the Financial Accounting Standards Board issued a new standard,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standard establishes a single r recognition model for all contracts with customers, eliminates industry specific requirements, and expands disclosure requirements. The standard is required to be beginning January 1, 2017. ExxonMobil is evaluating the standard and its effect on the Corporation’s financial statements.</w:t>
      </w:r>
    </w:p>
    <w:p>
      <w:pPr>
        <w:spacing w:after="0" w:line="230"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3. Miscellaneous Financial Information</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Research and development expenses totaled $971 million in 2014, $1,044 million in 2013 and $1,042 million in 2012.</w:t>
      </w:r>
    </w:p>
    <w:p>
      <w:pPr>
        <w:spacing w:after="0" w:line="86" w:lineRule="exact"/>
        <w:rPr>
          <w:sz w:val="20"/>
          <w:szCs w:val="20"/>
          <w:color w:val="auto"/>
        </w:rPr>
      </w:pPr>
    </w:p>
    <w:p>
      <w:pPr>
        <w:ind w:left="580" w:right="20" w:firstLine="200"/>
        <w:spacing w:after="0" w:line="286" w:lineRule="auto"/>
        <w:rPr>
          <w:sz w:val="20"/>
          <w:szCs w:val="20"/>
          <w:color w:val="auto"/>
        </w:rPr>
      </w:pPr>
      <w:r>
        <w:rPr>
          <w:rFonts w:ascii="Arial" w:cs="Arial" w:eastAsia="Arial" w:hAnsi="Arial"/>
          <w:sz w:val="16"/>
          <w:szCs w:val="16"/>
          <w:color w:val="auto"/>
        </w:rPr>
        <w:t>Net income included before-tax aggregate foreign exchange transaction losses of $225 million, and gains of $155 million and $159 million in 2014, 2013 an respectively.</w:t>
      </w:r>
    </w:p>
    <w:p>
      <w:pPr>
        <w:spacing w:after="0" w:line="27" w:lineRule="exact"/>
        <w:rPr>
          <w:sz w:val="20"/>
          <w:szCs w:val="20"/>
          <w:color w:val="auto"/>
        </w:rPr>
      </w:pPr>
    </w:p>
    <w:p>
      <w:pPr>
        <w:jc w:val="both"/>
        <w:ind w:left="580" w:firstLine="200"/>
        <w:spacing w:after="0" w:line="271" w:lineRule="auto"/>
        <w:rPr>
          <w:sz w:val="20"/>
          <w:szCs w:val="20"/>
          <w:color w:val="auto"/>
        </w:rPr>
      </w:pPr>
      <w:r>
        <w:rPr>
          <w:rFonts w:ascii="Arial" w:cs="Arial" w:eastAsia="Arial" w:hAnsi="Arial"/>
          <w:sz w:val="16"/>
          <w:szCs w:val="16"/>
          <w:color w:val="auto"/>
        </w:rPr>
        <w:t>In 2014, 2013 and 2012, net income included gains of $187 million, $282 million and $328 million, respectively, attributable to the combined effects of LIFO in accumulations and drawdowns. The aggregate replacement cost of inventories was estimated to exceed their LIFO carrying values by $10.6 billion and $21.2 bi December 31, 2014, and 2013, respectively.</w:t>
      </w:r>
    </w:p>
    <w:p>
      <w:pPr>
        <w:spacing w:after="0" w:line="3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Crude oil, products and merchandise as of year-end 2014 and 2013 consist of the following:</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440" w:type="dxa"/>
            <w:vAlign w:val="bottom"/>
            <w:gridSpan w:val="2"/>
          </w:tcPr>
          <w:p>
            <w:pPr>
              <w:jc w:val="right"/>
              <w:ind w:right="1007"/>
              <w:spacing w:after="0"/>
              <w:rPr>
                <w:sz w:val="20"/>
                <w:szCs w:val="20"/>
                <w:color w:val="auto"/>
              </w:rPr>
            </w:pPr>
            <w:r>
              <w:rPr>
                <w:rFonts w:ascii="Arial" w:cs="Arial" w:eastAsia="Arial" w:hAnsi="Arial"/>
                <w:sz w:val="13"/>
                <w:szCs w:val="13"/>
                <w:b w:val="1"/>
                <w:bCs w:val="1"/>
                <w:color w:val="auto"/>
              </w:rPr>
              <w:t>2014</w:t>
            </w:r>
          </w:p>
        </w:tc>
        <w:tc>
          <w:tcPr>
            <w:tcW w:w="60" w:type="dxa"/>
            <w:vAlign w:val="bottom"/>
          </w:tcPr>
          <w:p>
            <w:pPr>
              <w:spacing w:after="0"/>
              <w:rPr>
                <w:sz w:val="14"/>
                <w:szCs w:val="14"/>
                <w:color w:val="auto"/>
              </w:rPr>
            </w:pPr>
          </w:p>
        </w:tc>
      </w:tr>
      <w:tr>
        <w:trPr>
          <w:trHeight w:val="23"/>
        </w:trPr>
        <w:tc>
          <w:tcPr>
            <w:tcW w:w="58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65"/>
        </w:trPr>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900" w:type="dxa"/>
            <w:vAlign w:val="bottom"/>
            <w:gridSpan w:val="2"/>
          </w:tcPr>
          <w:p>
            <w:pPr>
              <w:ind w:left="760"/>
              <w:spacing w:after="0"/>
              <w:rPr>
                <w:sz w:val="20"/>
                <w:szCs w:val="20"/>
                <w:color w:val="auto"/>
              </w:rPr>
            </w:pPr>
            <w:r>
              <w:rPr>
                <w:rFonts w:ascii="Arial" w:cs="Arial" w:eastAsia="Arial" w:hAnsi="Arial"/>
                <w:sz w:val="13"/>
                <w:szCs w:val="13"/>
                <w:i w:val="1"/>
                <w:iCs w:val="1"/>
                <w:color w:val="auto"/>
              </w:rPr>
              <w:t>(billions of dollars)</w:t>
            </w:r>
          </w:p>
        </w:tc>
      </w:tr>
      <w:tr>
        <w:trPr>
          <w:trHeight w:val="403"/>
        </w:trPr>
        <w:tc>
          <w:tcPr>
            <w:tcW w:w="58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Petroleum products</w:t>
            </w:r>
          </w:p>
        </w:tc>
        <w:tc>
          <w:tcPr>
            <w:tcW w:w="7440" w:type="dxa"/>
            <w:vAlign w:val="bottom"/>
            <w:gridSpan w:val="2"/>
          </w:tcPr>
          <w:p>
            <w:pPr>
              <w:jc w:val="right"/>
              <w:ind w:right="1007"/>
              <w:spacing w:after="0"/>
              <w:rPr>
                <w:sz w:val="20"/>
                <w:szCs w:val="20"/>
                <w:color w:val="auto"/>
              </w:rPr>
            </w:pPr>
            <w:r>
              <w:rPr>
                <w:rFonts w:ascii="Arial" w:cs="Arial" w:eastAsia="Arial" w:hAnsi="Arial"/>
                <w:sz w:val="16"/>
                <w:szCs w:val="16"/>
                <w:color w:val="auto"/>
              </w:rPr>
              <w:t>4.1</w:t>
            </w:r>
          </w:p>
        </w:tc>
        <w:tc>
          <w:tcPr>
            <w:tcW w:w="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Crude oil</w:t>
            </w:r>
          </w:p>
        </w:tc>
        <w:tc>
          <w:tcPr>
            <w:tcW w:w="7440" w:type="dxa"/>
            <w:vAlign w:val="bottom"/>
            <w:gridSpan w:val="2"/>
          </w:tcPr>
          <w:p>
            <w:pPr>
              <w:jc w:val="right"/>
              <w:ind w:right="1007"/>
              <w:spacing w:after="0"/>
              <w:rPr>
                <w:sz w:val="20"/>
                <w:szCs w:val="20"/>
                <w:color w:val="auto"/>
              </w:rPr>
            </w:pPr>
            <w:r>
              <w:rPr>
                <w:rFonts w:ascii="Arial" w:cs="Arial" w:eastAsia="Arial" w:hAnsi="Arial"/>
                <w:sz w:val="16"/>
                <w:szCs w:val="16"/>
                <w:color w:val="auto"/>
              </w:rPr>
              <w:t>4.6</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Chemical products</w:t>
            </w:r>
          </w:p>
        </w:tc>
        <w:tc>
          <w:tcPr>
            <w:tcW w:w="7440" w:type="dxa"/>
            <w:vAlign w:val="bottom"/>
            <w:gridSpan w:val="2"/>
          </w:tcPr>
          <w:p>
            <w:pPr>
              <w:jc w:val="right"/>
              <w:ind w:right="1007"/>
              <w:spacing w:after="0"/>
              <w:rPr>
                <w:sz w:val="20"/>
                <w:szCs w:val="20"/>
                <w:color w:val="auto"/>
              </w:rPr>
            </w:pPr>
            <w:r>
              <w:rPr>
                <w:rFonts w:ascii="Arial" w:cs="Arial" w:eastAsia="Arial" w:hAnsi="Arial"/>
                <w:sz w:val="16"/>
                <w:szCs w:val="16"/>
                <w:color w:val="auto"/>
              </w:rPr>
              <w:t>2.9</w:t>
            </w:r>
          </w:p>
        </w:tc>
        <w:tc>
          <w:tcPr>
            <w:tcW w:w="60" w:type="dxa"/>
            <w:vAlign w:val="bottom"/>
          </w:tcPr>
          <w:p>
            <w:pPr>
              <w:spacing w:after="0"/>
              <w:rPr>
                <w:sz w:val="17"/>
                <w:szCs w:val="17"/>
                <w:color w:val="auto"/>
              </w:rPr>
            </w:pPr>
          </w:p>
        </w:tc>
      </w:tr>
      <w:tr>
        <w:trPr>
          <w:trHeight w:val="208"/>
        </w:trPr>
        <w:tc>
          <w:tcPr>
            <w:tcW w:w="5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Gas/other</w:t>
            </w:r>
          </w:p>
        </w:tc>
        <w:tc>
          <w:tcPr>
            <w:tcW w:w="7440" w:type="dxa"/>
            <w:vAlign w:val="bottom"/>
            <w:gridSpan w:val="2"/>
          </w:tcPr>
          <w:p>
            <w:pPr>
              <w:jc w:val="right"/>
              <w:ind w:right="1007"/>
              <w:spacing w:after="0"/>
              <w:rPr>
                <w:sz w:val="20"/>
                <w:szCs w:val="20"/>
                <w:color w:val="auto"/>
              </w:rPr>
            </w:pPr>
            <w:r>
              <w:rPr>
                <w:rFonts w:ascii="Arial" w:cs="Arial" w:eastAsia="Arial" w:hAnsi="Arial"/>
                <w:sz w:val="16"/>
                <w:szCs w:val="16"/>
                <w:color w:val="auto"/>
              </w:rPr>
              <w:t>0.8</w:t>
            </w:r>
          </w:p>
        </w:tc>
        <w:tc>
          <w:tcPr>
            <w:tcW w:w="60" w:type="dxa"/>
            <w:vAlign w:val="bottom"/>
          </w:tcPr>
          <w:p>
            <w:pPr>
              <w:spacing w:after="0"/>
              <w:rPr>
                <w:sz w:val="18"/>
                <w:szCs w:val="18"/>
                <w:color w:val="auto"/>
              </w:rPr>
            </w:pPr>
          </w:p>
        </w:tc>
      </w:tr>
      <w:tr>
        <w:trPr>
          <w:trHeight w:val="189"/>
        </w:trPr>
        <w:tc>
          <w:tcPr>
            <w:tcW w:w="580" w:type="dxa"/>
            <w:vAlign w:val="bottom"/>
          </w:tcPr>
          <w:p>
            <w:pPr>
              <w:spacing w:after="0"/>
              <w:rPr>
                <w:sz w:val="16"/>
                <w:szCs w:val="16"/>
                <w:color w:val="auto"/>
              </w:rPr>
            </w:pPr>
          </w:p>
        </w:tc>
        <w:tc>
          <w:tcPr>
            <w:tcW w:w="3440" w:type="dxa"/>
            <w:vAlign w:val="bottom"/>
          </w:tcPr>
          <w:p>
            <w:pPr>
              <w:ind w:left="340"/>
              <w:spacing w:after="0"/>
              <w:rPr>
                <w:sz w:val="20"/>
                <w:szCs w:val="20"/>
                <w:color w:val="auto"/>
              </w:rPr>
            </w:pPr>
            <w:r>
              <w:rPr>
                <w:rFonts w:ascii="Arial" w:cs="Arial" w:eastAsia="Arial" w:hAnsi="Arial"/>
                <w:sz w:val="16"/>
                <w:szCs w:val="16"/>
                <w:color w:val="auto"/>
              </w:rPr>
              <w:t>Total</w:t>
            </w:r>
          </w:p>
        </w:tc>
        <w:tc>
          <w:tcPr>
            <w:tcW w:w="5600" w:type="dxa"/>
            <w:vAlign w:val="bottom"/>
          </w:tcPr>
          <w:p>
            <w:pPr>
              <w:spacing w:after="0"/>
              <w:rPr>
                <w:sz w:val="16"/>
                <w:szCs w:val="16"/>
                <w:color w:val="auto"/>
              </w:rPr>
            </w:pPr>
          </w:p>
        </w:tc>
        <w:tc>
          <w:tcPr>
            <w:tcW w:w="1840" w:type="dxa"/>
            <w:vAlign w:val="bottom"/>
            <w:tcBorders>
              <w:top w:val="single" w:sz="8" w:color="auto"/>
              <w:bottom w:val="single" w:sz="8" w:color="auto"/>
            </w:tcBorders>
          </w:tcPr>
          <w:p>
            <w:pPr>
              <w:jc w:val="right"/>
              <w:ind w:right="1007"/>
              <w:spacing w:after="0"/>
              <w:rPr>
                <w:sz w:val="20"/>
                <w:szCs w:val="20"/>
                <w:color w:val="auto"/>
              </w:rPr>
            </w:pPr>
            <w:r>
              <w:rPr>
                <w:rFonts w:ascii="Arial" w:cs="Arial" w:eastAsia="Arial" w:hAnsi="Arial"/>
                <w:sz w:val="16"/>
                <w:szCs w:val="16"/>
                <w:color w:val="auto"/>
              </w:rPr>
              <w:t>12.4</w:t>
            </w:r>
          </w:p>
        </w:tc>
        <w:tc>
          <w:tcPr>
            <w:tcW w:w="60" w:type="dxa"/>
            <w:vAlign w:val="bottom"/>
            <w:tcBorders>
              <w:top w:val="single" w:sz="8" w:color="auto"/>
              <w:bottom w:val="single" w:sz="8" w:color="auto"/>
            </w:tcBorders>
          </w:tcPr>
          <w:p>
            <w:pPr>
              <w:spacing w:after="0"/>
              <w:rPr>
                <w:sz w:val="16"/>
                <w:szCs w:val="16"/>
                <w:color w:val="auto"/>
              </w:rPr>
            </w:pPr>
          </w:p>
        </w:tc>
      </w:tr>
      <w:tr>
        <w:trPr>
          <w:trHeight w:val="383"/>
        </w:trPr>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600" w:type="dxa"/>
            <w:vAlign w:val="bottom"/>
          </w:tcPr>
          <w:p>
            <w:pPr>
              <w:jc w:val="right"/>
              <w:ind w:right="3181"/>
              <w:spacing w:after="0"/>
              <w:rPr>
                <w:sz w:val="20"/>
                <w:szCs w:val="20"/>
                <w:color w:val="auto"/>
              </w:rPr>
            </w:pPr>
            <w:r>
              <w:rPr>
                <w:rFonts w:ascii="Arial" w:cs="Arial" w:eastAsia="Arial" w:hAnsi="Arial"/>
                <w:sz w:val="16"/>
                <w:szCs w:val="16"/>
                <w:color w:val="auto"/>
              </w:rPr>
              <w:t>69</w:t>
            </w: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32"/>
        </w:trPr>
        <w:tc>
          <w:tcPr>
            <w:tcW w:w="58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589" w:right="139" w:bottom="1440" w:gutter="0" w:footer="0" w:header="0"/>
        </w:sectPr>
      </w:pPr>
    </w:p>
    <w:bookmarkStart w:id="71" w:name="page72"/>
    <w:bookmarkEnd w:id="71"/>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8" w:lineRule="exact"/>
        <w:rPr>
          <w:sz w:val="20"/>
          <w:szCs w:val="20"/>
          <w:color w:val="auto"/>
        </w:rPr>
      </w:pPr>
    </w:p>
    <w:p>
      <w:pPr>
        <w:ind w:left="580"/>
        <w:spacing w:after="0"/>
        <w:tabs>
          <w:tab w:leader="none" w:pos="900" w:val="left"/>
        </w:tabs>
        <w:rPr>
          <w:sz w:val="20"/>
          <w:szCs w:val="20"/>
          <w:color w:val="auto"/>
        </w:rPr>
      </w:pPr>
      <w:r>
        <w:rPr>
          <w:rFonts w:ascii="Arial" w:cs="Arial" w:eastAsia="Arial" w:hAnsi="Arial"/>
          <w:sz w:val="16"/>
          <w:szCs w:val="16"/>
          <w:b w:val="1"/>
          <w:bCs w:val="1"/>
          <w:color w:val="auto"/>
        </w:rPr>
        <w:t>4.</w:t>
        <w:tab/>
        <w:t>Other Comprehensive Income Information</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68"/>
        </w:trPr>
        <w:tc>
          <w:tcPr>
            <w:tcW w:w="5620" w:type="dxa"/>
            <w:vAlign w:val="bottom"/>
          </w:tcPr>
          <w:p>
            <w:pPr>
              <w:spacing w:after="0"/>
              <w:rPr>
                <w:sz w:val="14"/>
                <w:szCs w:val="14"/>
                <w:color w:val="auto"/>
              </w:rPr>
            </w:pPr>
          </w:p>
        </w:tc>
        <w:tc>
          <w:tcPr>
            <w:tcW w:w="1460" w:type="dxa"/>
            <w:vAlign w:val="bottom"/>
          </w:tcPr>
          <w:p>
            <w:pPr>
              <w:jc w:val="center"/>
              <w:ind w:right="122"/>
              <w:spacing w:after="0"/>
              <w:rPr>
                <w:sz w:val="20"/>
                <w:szCs w:val="20"/>
                <w:color w:val="auto"/>
              </w:rPr>
            </w:pPr>
            <w:r>
              <w:rPr>
                <w:rFonts w:ascii="Arial" w:cs="Arial" w:eastAsia="Arial" w:hAnsi="Arial"/>
                <w:sz w:val="13"/>
                <w:szCs w:val="13"/>
                <w:b w:val="1"/>
                <w:bCs w:val="1"/>
                <w:color w:val="auto"/>
                <w:w w:val="94"/>
              </w:rPr>
              <w:t>Cumulative</w:t>
            </w: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86"/>
              </w:rPr>
              <w:t>Post-</w:t>
            </w:r>
          </w:p>
        </w:tc>
        <w:tc>
          <w:tcPr>
            <w:tcW w:w="1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96"/>
        </w:trPr>
        <w:tc>
          <w:tcPr>
            <w:tcW w:w="5620" w:type="dxa"/>
            <w:vAlign w:val="bottom"/>
          </w:tcPr>
          <w:p>
            <w:pPr>
              <w:spacing w:after="0"/>
              <w:rPr>
                <w:sz w:val="17"/>
                <w:szCs w:val="17"/>
                <w:color w:val="auto"/>
              </w:rPr>
            </w:pPr>
          </w:p>
        </w:tc>
        <w:tc>
          <w:tcPr>
            <w:tcW w:w="1460" w:type="dxa"/>
            <w:vAlign w:val="bottom"/>
          </w:tcPr>
          <w:p>
            <w:pPr>
              <w:jc w:val="center"/>
              <w:ind w:right="122"/>
              <w:spacing w:after="0"/>
              <w:rPr>
                <w:sz w:val="20"/>
                <w:szCs w:val="20"/>
                <w:color w:val="auto"/>
              </w:rPr>
            </w:pPr>
            <w:r>
              <w:rPr>
                <w:rFonts w:ascii="Arial" w:cs="Arial" w:eastAsia="Arial" w:hAnsi="Arial"/>
                <w:sz w:val="13"/>
                <w:szCs w:val="13"/>
                <w:b w:val="1"/>
                <w:bCs w:val="1"/>
                <w:color w:val="auto"/>
                <w:w w:val="88"/>
              </w:rPr>
              <w:t>Foreign</w:t>
            </w: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1"/>
              </w:rPr>
              <w:t>retirement</w:t>
            </w:r>
          </w:p>
        </w:tc>
        <w:tc>
          <w:tcPr>
            <w:tcW w:w="1660" w:type="dxa"/>
            <w:vAlign w:val="bottom"/>
          </w:tcPr>
          <w:p>
            <w:pPr>
              <w:jc w:val="center"/>
              <w:ind w:right="242"/>
              <w:spacing w:after="0"/>
              <w:rPr>
                <w:sz w:val="20"/>
                <w:szCs w:val="20"/>
                <w:color w:val="auto"/>
              </w:rPr>
            </w:pPr>
            <w:r>
              <w:rPr>
                <w:rFonts w:ascii="Arial" w:cs="Arial" w:eastAsia="Arial" w:hAnsi="Arial"/>
                <w:sz w:val="13"/>
                <w:szCs w:val="13"/>
                <w:b w:val="1"/>
                <w:bCs w:val="1"/>
                <w:color w:val="auto"/>
                <w:w w:val="94"/>
              </w:rPr>
              <w:t>Unrealized</w:t>
            </w:r>
          </w:p>
        </w:tc>
        <w:tc>
          <w:tcPr>
            <w:tcW w:w="600" w:type="dxa"/>
            <w:vAlign w:val="bottom"/>
          </w:tcPr>
          <w:p>
            <w:pPr>
              <w:spacing w:after="0"/>
              <w:rPr>
                <w:sz w:val="17"/>
                <w:szCs w:val="17"/>
                <w:color w:val="auto"/>
              </w:rPr>
            </w:pPr>
          </w:p>
        </w:tc>
      </w:tr>
      <w:tr>
        <w:trPr>
          <w:trHeight w:val="196"/>
        </w:trPr>
        <w:tc>
          <w:tcPr>
            <w:tcW w:w="5620" w:type="dxa"/>
            <w:vAlign w:val="bottom"/>
          </w:tcPr>
          <w:p>
            <w:pPr>
              <w:spacing w:after="0"/>
              <w:rPr>
                <w:sz w:val="17"/>
                <w:szCs w:val="17"/>
                <w:color w:val="auto"/>
              </w:rPr>
            </w:pPr>
          </w:p>
        </w:tc>
        <w:tc>
          <w:tcPr>
            <w:tcW w:w="1460" w:type="dxa"/>
            <w:vAlign w:val="bottom"/>
          </w:tcPr>
          <w:p>
            <w:pPr>
              <w:jc w:val="center"/>
              <w:ind w:right="122"/>
              <w:spacing w:after="0"/>
              <w:rPr>
                <w:sz w:val="20"/>
                <w:szCs w:val="20"/>
                <w:color w:val="auto"/>
              </w:rPr>
            </w:pPr>
            <w:r>
              <w:rPr>
                <w:rFonts w:ascii="Arial" w:cs="Arial" w:eastAsia="Arial" w:hAnsi="Arial"/>
                <w:sz w:val="13"/>
                <w:szCs w:val="13"/>
                <w:b w:val="1"/>
                <w:bCs w:val="1"/>
                <w:color w:val="auto"/>
                <w:w w:val="87"/>
              </w:rPr>
              <w:t>Exchange</w:t>
            </w: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89"/>
              </w:rPr>
              <w:t>Benefits</w:t>
            </w:r>
          </w:p>
        </w:tc>
        <w:tc>
          <w:tcPr>
            <w:tcW w:w="1660" w:type="dxa"/>
            <w:vAlign w:val="bottom"/>
          </w:tcPr>
          <w:p>
            <w:pPr>
              <w:jc w:val="center"/>
              <w:ind w:right="242"/>
              <w:spacing w:after="0"/>
              <w:rPr>
                <w:sz w:val="20"/>
                <w:szCs w:val="20"/>
                <w:color w:val="auto"/>
              </w:rPr>
            </w:pPr>
            <w:r>
              <w:rPr>
                <w:rFonts w:ascii="Arial" w:cs="Arial" w:eastAsia="Arial" w:hAnsi="Arial"/>
                <w:sz w:val="13"/>
                <w:szCs w:val="13"/>
                <w:b w:val="1"/>
                <w:bCs w:val="1"/>
                <w:color w:val="auto"/>
                <w:w w:val="92"/>
              </w:rPr>
              <w:t>Change in</w:t>
            </w:r>
          </w:p>
        </w:tc>
        <w:tc>
          <w:tcPr>
            <w:tcW w:w="600" w:type="dxa"/>
            <w:vAlign w:val="bottom"/>
          </w:tcPr>
          <w:p>
            <w:pPr>
              <w:spacing w:after="0"/>
              <w:rPr>
                <w:sz w:val="17"/>
                <w:szCs w:val="17"/>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b w:val="1"/>
                <w:bCs w:val="1"/>
                <w:color w:val="auto"/>
              </w:rPr>
              <w:t>ExxonMobil Share of Accumulated Other</w:t>
            </w:r>
          </w:p>
        </w:tc>
        <w:tc>
          <w:tcPr>
            <w:tcW w:w="1460" w:type="dxa"/>
            <w:vAlign w:val="bottom"/>
          </w:tcPr>
          <w:p>
            <w:pPr>
              <w:jc w:val="center"/>
              <w:ind w:right="122"/>
              <w:spacing w:after="0"/>
              <w:rPr>
                <w:sz w:val="20"/>
                <w:szCs w:val="20"/>
                <w:color w:val="auto"/>
              </w:rPr>
            </w:pPr>
            <w:r>
              <w:rPr>
                <w:rFonts w:ascii="Arial" w:cs="Arial" w:eastAsia="Arial" w:hAnsi="Arial"/>
                <w:sz w:val="13"/>
                <w:szCs w:val="13"/>
                <w:b w:val="1"/>
                <w:bCs w:val="1"/>
                <w:color w:val="auto"/>
                <w:w w:val="94"/>
              </w:rPr>
              <w:t>Translation</w:t>
            </w: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86"/>
              </w:rPr>
              <w:t>Reserves</w:t>
            </w:r>
          </w:p>
        </w:tc>
        <w:tc>
          <w:tcPr>
            <w:tcW w:w="1660" w:type="dxa"/>
            <w:vAlign w:val="bottom"/>
          </w:tcPr>
          <w:p>
            <w:pPr>
              <w:jc w:val="center"/>
              <w:ind w:right="242"/>
              <w:spacing w:after="0"/>
              <w:rPr>
                <w:sz w:val="20"/>
                <w:szCs w:val="20"/>
                <w:color w:val="auto"/>
              </w:rPr>
            </w:pPr>
            <w:r>
              <w:rPr>
                <w:rFonts w:ascii="Arial" w:cs="Arial" w:eastAsia="Arial" w:hAnsi="Arial"/>
                <w:sz w:val="13"/>
                <w:szCs w:val="13"/>
                <w:b w:val="1"/>
                <w:bCs w:val="1"/>
                <w:color w:val="auto"/>
                <w:w w:val="84"/>
              </w:rPr>
              <w:t>Stock</w:t>
            </w:r>
          </w:p>
        </w:tc>
        <w:tc>
          <w:tcPr>
            <w:tcW w:w="600" w:type="dxa"/>
            <w:vAlign w:val="bottom"/>
          </w:tcPr>
          <w:p>
            <w:pPr>
              <w:spacing w:after="0"/>
              <w:rPr>
                <w:sz w:val="17"/>
                <w:szCs w:val="17"/>
                <w:color w:val="auto"/>
              </w:rPr>
            </w:pPr>
          </w:p>
        </w:tc>
      </w:tr>
      <w:tr>
        <w:trPr>
          <w:trHeight w:val="212"/>
        </w:trPr>
        <w:tc>
          <w:tcPr>
            <w:tcW w:w="5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Comprehensive Income</w:t>
            </w:r>
          </w:p>
        </w:tc>
        <w:tc>
          <w:tcPr>
            <w:tcW w:w="1460" w:type="dxa"/>
            <w:vAlign w:val="bottom"/>
            <w:tcBorders>
              <w:bottom w:val="single" w:sz="8" w:color="auto"/>
            </w:tcBorders>
          </w:tcPr>
          <w:p>
            <w:pPr>
              <w:jc w:val="center"/>
              <w:ind w:right="122"/>
              <w:spacing w:after="0"/>
              <w:rPr>
                <w:sz w:val="20"/>
                <w:szCs w:val="20"/>
                <w:color w:val="auto"/>
              </w:rPr>
            </w:pPr>
            <w:r>
              <w:rPr>
                <w:rFonts w:ascii="Arial" w:cs="Arial" w:eastAsia="Arial" w:hAnsi="Arial"/>
                <w:sz w:val="13"/>
                <w:szCs w:val="13"/>
                <w:b w:val="1"/>
                <w:bCs w:val="1"/>
                <w:color w:val="auto"/>
                <w:w w:val="92"/>
              </w:rPr>
              <w:t>Adjustment</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Adjustment</w:t>
            </w:r>
          </w:p>
        </w:tc>
        <w:tc>
          <w:tcPr>
            <w:tcW w:w="1660" w:type="dxa"/>
            <w:vAlign w:val="bottom"/>
            <w:tcBorders>
              <w:bottom w:val="single" w:sz="8" w:color="auto"/>
            </w:tcBorders>
          </w:tcPr>
          <w:p>
            <w:pPr>
              <w:jc w:val="center"/>
              <w:ind w:right="242"/>
              <w:spacing w:after="0"/>
              <w:rPr>
                <w:sz w:val="20"/>
                <w:szCs w:val="20"/>
                <w:color w:val="auto"/>
              </w:rPr>
            </w:pPr>
            <w:r>
              <w:rPr>
                <w:rFonts w:ascii="Arial" w:cs="Arial" w:eastAsia="Arial" w:hAnsi="Arial"/>
                <w:sz w:val="13"/>
                <w:szCs w:val="13"/>
                <w:b w:val="1"/>
                <w:bCs w:val="1"/>
                <w:color w:val="auto"/>
                <w:w w:val="86"/>
              </w:rPr>
              <w:t>Investments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w:t>
            </w:r>
          </w:p>
        </w:tc>
      </w:tr>
      <w:tr>
        <w:trPr>
          <w:trHeight w:val="176"/>
        </w:trPr>
        <w:tc>
          <w:tcPr>
            <w:tcW w:w="56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60" w:type="dxa"/>
            <w:vAlign w:val="bottom"/>
            <w:gridSpan w:val="2"/>
          </w:tcPr>
          <w:p>
            <w:pPr>
              <w:jc w:val="right"/>
              <w:ind w:right="1202"/>
              <w:spacing w:after="0"/>
              <w:rPr>
                <w:sz w:val="20"/>
                <w:szCs w:val="20"/>
                <w:color w:val="auto"/>
              </w:rPr>
            </w:pPr>
            <w:r>
              <w:rPr>
                <w:rFonts w:ascii="Arial" w:cs="Arial" w:eastAsia="Arial" w:hAnsi="Arial"/>
                <w:sz w:val="13"/>
                <w:szCs w:val="13"/>
                <w:i w:val="1"/>
                <w:iCs w:val="1"/>
                <w:color w:val="auto"/>
              </w:rPr>
              <w:t>(millions of dollars)</w:t>
            </w:r>
          </w:p>
        </w:tc>
        <w:tc>
          <w:tcPr>
            <w:tcW w:w="600" w:type="dxa"/>
            <w:vAlign w:val="bottom"/>
          </w:tcPr>
          <w:p>
            <w:pPr>
              <w:spacing w:after="0"/>
              <w:rPr>
                <w:sz w:val="15"/>
                <w:szCs w:val="15"/>
                <w:color w:val="auto"/>
              </w:rPr>
            </w:pPr>
          </w:p>
        </w:tc>
      </w:tr>
      <w:tr>
        <w:trPr>
          <w:trHeight w:val="196"/>
        </w:trPr>
        <w:tc>
          <w:tcPr>
            <w:tcW w:w="5620" w:type="dxa"/>
            <w:vAlign w:val="bottom"/>
          </w:tcPr>
          <w:p>
            <w:pPr>
              <w:spacing w:after="0"/>
              <w:rPr>
                <w:sz w:val="20"/>
                <w:szCs w:val="20"/>
                <w:color w:val="auto"/>
              </w:rPr>
            </w:pPr>
            <w:r>
              <w:rPr>
                <w:rFonts w:ascii="Arial" w:cs="Arial" w:eastAsia="Arial" w:hAnsi="Arial"/>
                <w:sz w:val="16"/>
                <w:szCs w:val="16"/>
                <w:color w:val="auto"/>
              </w:rPr>
              <w:t>Balance as of December 31, 2011</w:t>
            </w:r>
          </w:p>
        </w:tc>
        <w:tc>
          <w:tcPr>
            <w:tcW w:w="1460" w:type="dxa"/>
            <w:vAlign w:val="bottom"/>
          </w:tcPr>
          <w:p>
            <w:pPr>
              <w:jc w:val="right"/>
              <w:ind w:right="402"/>
              <w:spacing w:after="0"/>
              <w:rPr>
                <w:sz w:val="20"/>
                <w:szCs w:val="20"/>
                <w:color w:val="auto"/>
              </w:rPr>
            </w:pPr>
            <w:r>
              <w:rPr>
                <w:rFonts w:ascii="Arial" w:cs="Arial" w:eastAsia="Arial" w:hAnsi="Arial"/>
                <w:sz w:val="16"/>
                <w:szCs w:val="16"/>
                <w:color w:val="auto"/>
              </w:rPr>
              <w:t>4,168</w:t>
            </w:r>
          </w:p>
        </w:tc>
        <w:tc>
          <w:tcPr>
            <w:tcW w:w="1600" w:type="dxa"/>
            <w:vAlign w:val="bottom"/>
          </w:tcPr>
          <w:p>
            <w:pPr>
              <w:jc w:val="right"/>
              <w:ind w:right="343"/>
              <w:spacing w:after="0"/>
              <w:rPr>
                <w:sz w:val="20"/>
                <w:szCs w:val="20"/>
                <w:color w:val="auto"/>
              </w:rPr>
            </w:pPr>
            <w:r>
              <w:rPr>
                <w:rFonts w:ascii="Arial" w:cs="Arial" w:eastAsia="Arial" w:hAnsi="Arial"/>
                <w:sz w:val="16"/>
                <w:szCs w:val="16"/>
                <w:color w:val="auto"/>
              </w:rPr>
              <w:t>(13,291)</w:t>
            </w:r>
          </w:p>
        </w:tc>
        <w:tc>
          <w:tcPr>
            <w:tcW w:w="166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96"/>
        </w:trPr>
        <w:tc>
          <w:tcPr>
            <w:tcW w:w="5620" w:type="dxa"/>
            <w:vAlign w:val="bottom"/>
          </w:tcPr>
          <w:p>
            <w:pPr>
              <w:spacing w:after="0"/>
              <w:rPr>
                <w:sz w:val="20"/>
                <w:szCs w:val="20"/>
                <w:color w:val="auto"/>
              </w:rPr>
            </w:pPr>
            <w:r>
              <w:rPr>
                <w:rFonts w:ascii="Arial" w:cs="Arial" w:eastAsia="Arial" w:hAnsi="Arial"/>
                <w:sz w:val="16"/>
                <w:szCs w:val="16"/>
                <w:color w:val="auto"/>
              </w:rPr>
              <w:t>Current period change excluding amounts reclassified</w:t>
            </w:r>
          </w:p>
        </w:tc>
        <w:tc>
          <w:tcPr>
            <w:tcW w:w="1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5620" w:type="dxa"/>
            <w:vAlign w:val="bottom"/>
          </w:tcPr>
          <w:p>
            <w:pPr>
              <w:ind w:left="240"/>
              <w:spacing w:after="0"/>
              <w:rPr>
                <w:sz w:val="20"/>
                <w:szCs w:val="20"/>
                <w:color w:val="auto"/>
              </w:rPr>
            </w:pPr>
            <w:r>
              <w:rPr>
                <w:rFonts w:ascii="Arial" w:cs="Arial" w:eastAsia="Arial" w:hAnsi="Arial"/>
                <w:sz w:val="16"/>
                <w:szCs w:val="16"/>
                <w:color w:val="auto"/>
              </w:rPr>
              <w:t>from accumulated other comprehensive income</w:t>
            </w:r>
          </w:p>
        </w:tc>
        <w:tc>
          <w:tcPr>
            <w:tcW w:w="1460" w:type="dxa"/>
            <w:vAlign w:val="bottom"/>
          </w:tcPr>
          <w:p>
            <w:pPr>
              <w:jc w:val="right"/>
              <w:ind w:right="402"/>
              <w:spacing w:after="0"/>
              <w:rPr>
                <w:sz w:val="20"/>
                <w:szCs w:val="20"/>
                <w:color w:val="auto"/>
              </w:rPr>
            </w:pPr>
            <w:r>
              <w:rPr>
                <w:rFonts w:ascii="Arial" w:cs="Arial" w:eastAsia="Arial" w:hAnsi="Arial"/>
                <w:sz w:val="16"/>
                <w:szCs w:val="16"/>
                <w:color w:val="auto"/>
              </w:rPr>
              <w:t>842</w:t>
            </w:r>
          </w:p>
        </w:tc>
        <w:tc>
          <w:tcPr>
            <w:tcW w:w="1600" w:type="dxa"/>
            <w:vAlign w:val="bottom"/>
          </w:tcPr>
          <w:p>
            <w:pPr>
              <w:jc w:val="right"/>
              <w:ind w:right="343"/>
              <w:spacing w:after="0"/>
              <w:rPr>
                <w:sz w:val="20"/>
                <w:szCs w:val="20"/>
                <w:color w:val="auto"/>
              </w:rPr>
            </w:pPr>
            <w:r>
              <w:rPr>
                <w:rFonts w:ascii="Arial" w:cs="Arial" w:eastAsia="Arial" w:hAnsi="Arial"/>
                <w:sz w:val="16"/>
                <w:szCs w:val="16"/>
                <w:color w:val="auto"/>
              </w:rPr>
              <w:t>(3,402)</w:t>
            </w:r>
          </w:p>
        </w:tc>
        <w:tc>
          <w:tcPr>
            <w:tcW w:w="166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196"/>
        </w:trPr>
        <w:tc>
          <w:tcPr>
            <w:tcW w:w="562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1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8"/>
        </w:trPr>
        <w:tc>
          <w:tcPr>
            <w:tcW w:w="5620" w:type="dxa"/>
            <w:vAlign w:val="bottom"/>
          </w:tcPr>
          <w:p>
            <w:pPr>
              <w:ind w:left="240"/>
              <w:spacing w:after="0"/>
              <w:rPr>
                <w:sz w:val="20"/>
                <w:szCs w:val="20"/>
                <w:color w:val="auto"/>
              </w:rPr>
            </w:pPr>
            <w:r>
              <w:rPr>
                <w:rFonts w:ascii="Arial" w:cs="Arial" w:eastAsia="Arial" w:hAnsi="Arial"/>
                <w:sz w:val="16"/>
                <w:szCs w:val="16"/>
                <w:color w:val="auto"/>
              </w:rPr>
              <w:t>comprehensive income</w:t>
            </w:r>
          </w:p>
        </w:tc>
        <w:tc>
          <w:tcPr>
            <w:tcW w:w="14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(2,600)</w:t>
            </w:r>
          </w:p>
        </w:tc>
        <w:tc>
          <w:tcPr>
            <w:tcW w:w="1600" w:type="dxa"/>
            <w:vAlign w:val="bottom"/>
            <w:tcBorders>
              <w:bottom w:val="single" w:sz="8" w:color="auto"/>
            </w:tcBorders>
          </w:tcPr>
          <w:p>
            <w:pPr>
              <w:jc w:val="right"/>
              <w:ind w:right="403"/>
              <w:spacing w:after="0"/>
              <w:rPr>
                <w:sz w:val="20"/>
                <w:szCs w:val="20"/>
                <w:color w:val="auto"/>
              </w:rPr>
            </w:pPr>
            <w:r>
              <w:rPr>
                <w:rFonts w:ascii="Arial" w:cs="Arial" w:eastAsia="Arial" w:hAnsi="Arial"/>
                <w:sz w:val="16"/>
                <w:szCs w:val="16"/>
                <w:color w:val="auto"/>
              </w:rPr>
              <w:t>2,099</w:t>
            </w:r>
          </w:p>
        </w:tc>
        <w:tc>
          <w:tcPr>
            <w:tcW w:w="166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Total change in accumulated other comprehensive income</w:t>
            </w:r>
          </w:p>
        </w:tc>
        <w:tc>
          <w:tcPr>
            <w:tcW w:w="14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(1,758)</w:t>
            </w:r>
          </w:p>
        </w:tc>
        <w:tc>
          <w:tcPr>
            <w:tcW w:w="1600" w:type="dxa"/>
            <w:vAlign w:val="bottom"/>
            <w:tcBorders>
              <w:bottom w:val="single" w:sz="8" w:color="auto"/>
            </w:tcBorders>
          </w:tcPr>
          <w:p>
            <w:pPr>
              <w:jc w:val="right"/>
              <w:ind w:right="343"/>
              <w:spacing w:after="0"/>
              <w:rPr>
                <w:sz w:val="20"/>
                <w:szCs w:val="20"/>
                <w:color w:val="auto"/>
              </w:rPr>
            </w:pPr>
            <w:r>
              <w:rPr>
                <w:rFonts w:ascii="Arial" w:cs="Arial" w:eastAsia="Arial" w:hAnsi="Arial"/>
                <w:sz w:val="16"/>
                <w:szCs w:val="16"/>
                <w:color w:val="auto"/>
              </w:rPr>
              <w:t>(1,303)</w:t>
            </w:r>
          </w:p>
        </w:tc>
        <w:tc>
          <w:tcPr>
            <w:tcW w:w="166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88"/>
        </w:trPr>
        <w:tc>
          <w:tcPr>
            <w:tcW w:w="5620" w:type="dxa"/>
            <w:vAlign w:val="bottom"/>
          </w:tcPr>
          <w:p>
            <w:pPr>
              <w:spacing w:after="0"/>
              <w:rPr>
                <w:sz w:val="20"/>
                <w:szCs w:val="20"/>
                <w:color w:val="auto"/>
              </w:rPr>
            </w:pPr>
            <w:r>
              <w:rPr>
                <w:rFonts w:ascii="Arial" w:cs="Arial" w:eastAsia="Arial" w:hAnsi="Arial"/>
                <w:sz w:val="16"/>
                <w:szCs w:val="16"/>
                <w:color w:val="auto"/>
              </w:rPr>
              <w:t>Balance as of December 31, 2012</w:t>
            </w:r>
          </w:p>
        </w:tc>
        <w:tc>
          <w:tcPr>
            <w:tcW w:w="146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2,410</w:t>
            </w:r>
          </w:p>
        </w:tc>
        <w:tc>
          <w:tcPr>
            <w:tcW w:w="1600" w:type="dxa"/>
            <w:vAlign w:val="bottom"/>
            <w:tcBorders>
              <w:bottom w:val="single" w:sz="8" w:color="auto"/>
            </w:tcBorders>
          </w:tcPr>
          <w:p>
            <w:pPr>
              <w:jc w:val="right"/>
              <w:ind w:right="343"/>
              <w:spacing w:after="0"/>
              <w:rPr>
                <w:sz w:val="20"/>
                <w:szCs w:val="20"/>
                <w:color w:val="auto"/>
              </w:rPr>
            </w:pPr>
            <w:r>
              <w:rPr>
                <w:rFonts w:ascii="Arial" w:cs="Arial" w:eastAsia="Arial" w:hAnsi="Arial"/>
                <w:sz w:val="16"/>
                <w:szCs w:val="16"/>
                <w:color w:val="auto"/>
              </w:rPr>
              <w:t>(14,594)</w:t>
            </w:r>
          </w:p>
        </w:tc>
        <w:tc>
          <w:tcPr>
            <w:tcW w:w="166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372"/>
        </w:trPr>
        <w:tc>
          <w:tcPr>
            <w:tcW w:w="5620" w:type="dxa"/>
            <w:vAlign w:val="bottom"/>
          </w:tcPr>
          <w:p>
            <w:pPr>
              <w:spacing w:after="0"/>
              <w:rPr>
                <w:sz w:val="20"/>
                <w:szCs w:val="20"/>
                <w:color w:val="auto"/>
              </w:rPr>
            </w:pPr>
            <w:r>
              <w:rPr>
                <w:rFonts w:ascii="Arial" w:cs="Arial" w:eastAsia="Arial" w:hAnsi="Arial"/>
                <w:sz w:val="16"/>
                <w:szCs w:val="16"/>
                <w:color w:val="auto"/>
              </w:rPr>
              <w:t>Balance as of December 31, 2012</w:t>
            </w:r>
          </w:p>
        </w:tc>
        <w:tc>
          <w:tcPr>
            <w:tcW w:w="1460" w:type="dxa"/>
            <w:vAlign w:val="bottom"/>
          </w:tcPr>
          <w:p>
            <w:pPr>
              <w:jc w:val="right"/>
              <w:ind w:right="402"/>
              <w:spacing w:after="0"/>
              <w:rPr>
                <w:sz w:val="20"/>
                <w:szCs w:val="20"/>
                <w:color w:val="auto"/>
              </w:rPr>
            </w:pPr>
            <w:r>
              <w:rPr>
                <w:rFonts w:ascii="Arial" w:cs="Arial" w:eastAsia="Arial" w:hAnsi="Arial"/>
                <w:sz w:val="16"/>
                <w:szCs w:val="16"/>
                <w:color w:val="auto"/>
              </w:rPr>
              <w:t>2,410</w:t>
            </w:r>
          </w:p>
        </w:tc>
        <w:tc>
          <w:tcPr>
            <w:tcW w:w="1600" w:type="dxa"/>
            <w:vAlign w:val="bottom"/>
          </w:tcPr>
          <w:p>
            <w:pPr>
              <w:jc w:val="right"/>
              <w:ind w:right="343"/>
              <w:spacing w:after="0"/>
              <w:rPr>
                <w:sz w:val="20"/>
                <w:szCs w:val="20"/>
                <w:color w:val="auto"/>
              </w:rPr>
            </w:pPr>
            <w:r>
              <w:rPr>
                <w:rFonts w:ascii="Arial" w:cs="Arial" w:eastAsia="Arial" w:hAnsi="Arial"/>
                <w:sz w:val="16"/>
                <w:szCs w:val="16"/>
                <w:color w:val="auto"/>
              </w:rPr>
              <w:t>(14,594)</w:t>
            </w:r>
          </w:p>
        </w:tc>
        <w:tc>
          <w:tcPr>
            <w:tcW w:w="166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96"/>
        </w:trPr>
        <w:tc>
          <w:tcPr>
            <w:tcW w:w="5620" w:type="dxa"/>
            <w:vAlign w:val="bottom"/>
          </w:tcPr>
          <w:p>
            <w:pPr>
              <w:spacing w:after="0"/>
              <w:rPr>
                <w:sz w:val="20"/>
                <w:szCs w:val="20"/>
                <w:color w:val="auto"/>
              </w:rPr>
            </w:pPr>
            <w:r>
              <w:rPr>
                <w:rFonts w:ascii="Arial" w:cs="Arial" w:eastAsia="Arial" w:hAnsi="Arial"/>
                <w:sz w:val="16"/>
                <w:szCs w:val="16"/>
                <w:color w:val="auto"/>
              </w:rPr>
              <w:t>Current period change excluding amounts reclassified</w:t>
            </w:r>
          </w:p>
        </w:tc>
        <w:tc>
          <w:tcPr>
            <w:tcW w:w="1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5620" w:type="dxa"/>
            <w:vAlign w:val="bottom"/>
          </w:tcPr>
          <w:p>
            <w:pPr>
              <w:ind w:left="240"/>
              <w:spacing w:after="0"/>
              <w:rPr>
                <w:sz w:val="20"/>
                <w:szCs w:val="20"/>
                <w:color w:val="auto"/>
              </w:rPr>
            </w:pPr>
            <w:r>
              <w:rPr>
                <w:rFonts w:ascii="Arial" w:cs="Arial" w:eastAsia="Arial" w:hAnsi="Arial"/>
                <w:sz w:val="16"/>
                <w:szCs w:val="16"/>
                <w:color w:val="auto"/>
              </w:rPr>
              <w:t>from accumulated other comprehensive income</w:t>
            </w:r>
          </w:p>
        </w:tc>
        <w:tc>
          <w:tcPr>
            <w:tcW w:w="1460" w:type="dxa"/>
            <w:vAlign w:val="bottom"/>
          </w:tcPr>
          <w:p>
            <w:pPr>
              <w:jc w:val="right"/>
              <w:ind w:right="362"/>
              <w:spacing w:after="0"/>
              <w:rPr>
                <w:sz w:val="20"/>
                <w:szCs w:val="20"/>
                <w:color w:val="auto"/>
              </w:rPr>
            </w:pPr>
            <w:r>
              <w:rPr>
                <w:rFonts w:ascii="Arial" w:cs="Arial" w:eastAsia="Arial" w:hAnsi="Arial"/>
                <w:sz w:val="16"/>
                <w:szCs w:val="16"/>
                <w:color w:val="auto"/>
              </w:rPr>
              <w:t>(3,233)</w:t>
            </w:r>
          </w:p>
        </w:tc>
        <w:tc>
          <w:tcPr>
            <w:tcW w:w="1600" w:type="dxa"/>
            <w:vAlign w:val="bottom"/>
          </w:tcPr>
          <w:p>
            <w:pPr>
              <w:jc w:val="right"/>
              <w:ind w:right="403"/>
              <w:spacing w:after="0"/>
              <w:rPr>
                <w:sz w:val="20"/>
                <w:szCs w:val="20"/>
                <w:color w:val="auto"/>
              </w:rPr>
            </w:pPr>
            <w:r>
              <w:rPr>
                <w:rFonts w:ascii="Arial" w:cs="Arial" w:eastAsia="Arial" w:hAnsi="Arial"/>
                <w:sz w:val="16"/>
                <w:szCs w:val="16"/>
                <w:color w:val="auto"/>
              </w:rPr>
              <w:t>2,963</w:t>
            </w:r>
          </w:p>
        </w:tc>
        <w:tc>
          <w:tcPr>
            <w:tcW w:w="166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562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1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8"/>
        </w:trPr>
        <w:tc>
          <w:tcPr>
            <w:tcW w:w="5620" w:type="dxa"/>
            <w:vAlign w:val="bottom"/>
          </w:tcPr>
          <w:p>
            <w:pPr>
              <w:ind w:left="240"/>
              <w:spacing w:after="0"/>
              <w:rPr>
                <w:sz w:val="20"/>
                <w:szCs w:val="20"/>
                <w:color w:val="auto"/>
              </w:rPr>
            </w:pPr>
            <w:r>
              <w:rPr>
                <w:rFonts w:ascii="Arial" w:cs="Arial" w:eastAsia="Arial" w:hAnsi="Arial"/>
                <w:sz w:val="16"/>
                <w:szCs w:val="16"/>
                <w:color w:val="auto"/>
              </w:rPr>
              <w:t>comprehensive income</w:t>
            </w:r>
          </w:p>
        </w:tc>
        <w:tc>
          <w:tcPr>
            <w:tcW w:w="14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(23)</w:t>
            </w:r>
          </w:p>
        </w:tc>
        <w:tc>
          <w:tcPr>
            <w:tcW w:w="1600" w:type="dxa"/>
            <w:vAlign w:val="bottom"/>
            <w:tcBorders>
              <w:bottom w:val="single" w:sz="8" w:color="auto"/>
            </w:tcBorders>
          </w:tcPr>
          <w:p>
            <w:pPr>
              <w:jc w:val="right"/>
              <w:ind w:right="403"/>
              <w:spacing w:after="0"/>
              <w:rPr>
                <w:sz w:val="20"/>
                <w:szCs w:val="20"/>
                <w:color w:val="auto"/>
              </w:rPr>
            </w:pPr>
            <w:r>
              <w:rPr>
                <w:rFonts w:ascii="Arial" w:cs="Arial" w:eastAsia="Arial" w:hAnsi="Arial"/>
                <w:sz w:val="16"/>
                <w:szCs w:val="16"/>
                <w:color w:val="auto"/>
              </w:rPr>
              <w:t>1,752</w:t>
            </w:r>
          </w:p>
        </w:tc>
        <w:tc>
          <w:tcPr>
            <w:tcW w:w="166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Total change in accumulated other comprehensive income</w:t>
            </w:r>
          </w:p>
        </w:tc>
        <w:tc>
          <w:tcPr>
            <w:tcW w:w="14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(3,256)</w:t>
            </w:r>
          </w:p>
        </w:tc>
        <w:tc>
          <w:tcPr>
            <w:tcW w:w="1600" w:type="dxa"/>
            <w:vAlign w:val="bottom"/>
            <w:tcBorders>
              <w:bottom w:val="single" w:sz="8" w:color="auto"/>
            </w:tcBorders>
          </w:tcPr>
          <w:p>
            <w:pPr>
              <w:jc w:val="right"/>
              <w:ind w:right="403"/>
              <w:spacing w:after="0"/>
              <w:rPr>
                <w:sz w:val="20"/>
                <w:szCs w:val="20"/>
                <w:color w:val="auto"/>
              </w:rPr>
            </w:pPr>
            <w:r>
              <w:rPr>
                <w:rFonts w:ascii="Arial" w:cs="Arial" w:eastAsia="Arial" w:hAnsi="Arial"/>
                <w:sz w:val="16"/>
                <w:szCs w:val="16"/>
                <w:color w:val="auto"/>
              </w:rPr>
              <w:t>4,715</w:t>
            </w:r>
          </w:p>
        </w:tc>
        <w:tc>
          <w:tcPr>
            <w:tcW w:w="166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8"/>
        </w:trPr>
        <w:tc>
          <w:tcPr>
            <w:tcW w:w="5620" w:type="dxa"/>
            <w:vAlign w:val="bottom"/>
          </w:tcPr>
          <w:p>
            <w:pPr>
              <w:spacing w:after="0"/>
              <w:rPr>
                <w:sz w:val="20"/>
                <w:szCs w:val="20"/>
                <w:color w:val="auto"/>
              </w:rPr>
            </w:pPr>
            <w:r>
              <w:rPr>
                <w:rFonts w:ascii="Arial" w:cs="Arial" w:eastAsia="Arial" w:hAnsi="Arial"/>
                <w:sz w:val="16"/>
                <w:szCs w:val="16"/>
                <w:color w:val="auto"/>
              </w:rPr>
              <w:t>Balance as of December 31, 2013</w:t>
            </w:r>
          </w:p>
        </w:tc>
        <w:tc>
          <w:tcPr>
            <w:tcW w:w="14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(846)</w:t>
            </w:r>
          </w:p>
        </w:tc>
        <w:tc>
          <w:tcPr>
            <w:tcW w:w="1600" w:type="dxa"/>
            <w:vAlign w:val="bottom"/>
            <w:tcBorders>
              <w:bottom w:val="single" w:sz="8" w:color="auto"/>
            </w:tcBorders>
          </w:tcPr>
          <w:p>
            <w:pPr>
              <w:jc w:val="right"/>
              <w:ind w:right="343"/>
              <w:spacing w:after="0"/>
              <w:rPr>
                <w:sz w:val="20"/>
                <w:szCs w:val="20"/>
                <w:color w:val="auto"/>
              </w:rPr>
            </w:pPr>
            <w:r>
              <w:rPr>
                <w:rFonts w:ascii="Arial" w:cs="Arial" w:eastAsia="Arial" w:hAnsi="Arial"/>
                <w:sz w:val="16"/>
                <w:szCs w:val="16"/>
                <w:color w:val="auto"/>
              </w:rPr>
              <w:t>(9,879)</w:t>
            </w:r>
          </w:p>
        </w:tc>
        <w:tc>
          <w:tcPr>
            <w:tcW w:w="166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372"/>
        </w:trPr>
        <w:tc>
          <w:tcPr>
            <w:tcW w:w="5620" w:type="dxa"/>
            <w:vAlign w:val="bottom"/>
          </w:tcPr>
          <w:p>
            <w:pPr>
              <w:spacing w:after="0"/>
              <w:rPr>
                <w:sz w:val="20"/>
                <w:szCs w:val="20"/>
                <w:color w:val="auto"/>
              </w:rPr>
            </w:pPr>
            <w:r>
              <w:rPr>
                <w:rFonts w:ascii="Arial" w:cs="Arial" w:eastAsia="Arial" w:hAnsi="Arial"/>
                <w:sz w:val="16"/>
                <w:szCs w:val="16"/>
                <w:color w:val="auto"/>
              </w:rPr>
              <w:t>Balance as of December 31, 2013</w:t>
            </w:r>
          </w:p>
        </w:tc>
        <w:tc>
          <w:tcPr>
            <w:tcW w:w="1460" w:type="dxa"/>
            <w:vAlign w:val="bottom"/>
          </w:tcPr>
          <w:p>
            <w:pPr>
              <w:jc w:val="right"/>
              <w:ind w:right="362"/>
              <w:spacing w:after="0"/>
              <w:rPr>
                <w:sz w:val="20"/>
                <w:szCs w:val="20"/>
                <w:color w:val="auto"/>
              </w:rPr>
            </w:pPr>
            <w:r>
              <w:rPr>
                <w:rFonts w:ascii="Arial" w:cs="Arial" w:eastAsia="Arial" w:hAnsi="Arial"/>
                <w:sz w:val="16"/>
                <w:szCs w:val="16"/>
                <w:color w:val="auto"/>
              </w:rPr>
              <w:t>(846)</w:t>
            </w:r>
          </w:p>
        </w:tc>
        <w:tc>
          <w:tcPr>
            <w:tcW w:w="1600" w:type="dxa"/>
            <w:vAlign w:val="bottom"/>
          </w:tcPr>
          <w:p>
            <w:pPr>
              <w:jc w:val="right"/>
              <w:ind w:right="343"/>
              <w:spacing w:after="0"/>
              <w:rPr>
                <w:sz w:val="20"/>
                <w:szCs w:val="20"/>
                <w:color w:val="auto"/>
              </w:rPr>
            </w:pPr>
            <w:r>
              <w:rPr>
                <w:rFonts w:ascii="Arial" w:cs="Arial" w:eastAsia="Arial" w:hAnsi="Arial"/>
                <w:sz w:val="16"/>
                <w:szCs w:val="16"/>
                <w:color w:val="auto"/>
              </w:rPr>
              <w:t>(9,879)</w:t>
            </w:r>
          </w:p>
        </w:tc>
        <w:tc>
          <w:tcPr>
            <w:tcW w:w="166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96"/>
        </w:trPr>
        <w:tc>
          <w:tcPr>
            <w:tcW w:w="5620" w:type="dxa"/>
            <w:vAlign w:val="bottom"/>
          </w:tcPr>
          <w:p>
            <w:pPr>
              <w:spacing w:after="0"/>
              <w:rPr>
                <w:sz w:val="20"/>
                <w:szCs w:val="20"/>
                <w:color w:val="auto"/>
              </w:rPr>
            </w:pPr>
            <w:r>
              <w:rPr>
                <w:rFonts w:ascii="Arial" w:cs="Arial" w:eastAsia="Arial" w:hAnsi="Arial"/>
                <w:sz w:val="16"/>
                <w:szCs w:val="16"/>
                <w:color w:val="auto"/>
              </w:rPr>
              <w:t>Current period change excluding amounts reclassified</w:t>
            </w:r>
          </w:p>
        </w:tc>
        <w:tc>
          <w:tcPr>
            <w:tcW w:w="1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5620" w:type="dxa"/>
            <w:vAlign w:val="bottom"/>
          </w:tcPr>
          <w:p>
            <w:pPr>
              <w:ind w:left="240"/>
              <w:spacing w:after="0"/>
              <w:rPr>
                <w:sz w:val="20"/>
                <w:szCs w:val="20"/>
                <w:color w:val="auto"/>
              </w:rPr>
            </w:pPr>
            <w:r>
              <w:rPr>
                <w:rFonts w:ascii="Arial" w:cs="Arial" w:eastAsia="Arial" w:hAnsi="Arial"/>
                <w:sz w:val="16"/>
                <w:szCs w:val="16"/>
                <w:color w:val="auto"/>
              </w:rPr>
              <w:t>from accumulated other comprehensive income</w:t>
            </w:r>
          </w:p>
        </w:tc>
        <w:tc>
          <w:tcPr>
            <w:tcW w:w="1460" w:type="dxa"/>
            <w:vAlign w:val="bottom"/>
          </w:tcPr>
          <w:p>
            <w:pPr>
              <w:jc w:val="right"/>
              <w:ind w:right="362"/>
              <w:spacing w:after="0"/>
              <w:rPr>
                <w:sz w:val="20"/>
                <w:szCs w:val="20"/>
                <w:color w:val="auto"/>
              </w:rPr>
            </w:pPr>
            <w:r>
              <w:rPr>
                <w:rFonts w:ascii="Arial" w:cs="Arial" w:eastAsia="Arial" w:hAnsi="Arial"/>
                <w:sz w:val="16"/>
                <w:szCs w:val="16"/>
                <w:color w:val="auto"/>
              </w:rPr>
              <w:t>(5,258)</w:t>
            </w:r>
          </w:p>
        </w:tc>
        <w:tc>
          <w:tcPr>
            <w:tcW w:w="1600" w:type="dxa"/>
            <w:vAlign w:val="bottom"/>
          </w:tcPr>
          <w:p>
            <w:pPr>
              <w:jc w:val="right"/>
              <w:ind w:right="343"/>
              <w:spacing w:after="0"/>
              <w:rPr>
                <w:sz w:val="20"/>
                <w:szCs w:val="20"/>
                <w:color w:val="auto"/>
              </w:rPr>
            </w:pPr>
            <w:r>
              <w:rPr>
                <w:rFonts w:ascii="Arial" w:cs="Arial" w:eastAsia="Arial" w:hAnsi="Arial"/>
                <w:sz w:val="16"/>
                <w:szCs w:val="16"/>
                <w:color w:val="auto"/>
              </w:rPr>
              <w:t>(4,132)</w:t>
            </w:r>
          </w:p>
        </w:tc>
        <w:tc>
          <w:tcPr>
            <w:tcW w:w="1660" w:type="dxa"/>
            <w:vAlign w:val="bottom"/>
          </w:tcPr>
          <w:p>
            <w:pPr>
              <w:jc w:val="right"/>
              <w:ind w:right="522"/>
              <w:spacing w:after="0"/>
              <w:rPr>
                <w:sz w:val="20"/>
                <w:szCs w:val="20"/>
                <w:color w:val="auto"/>
              </w:rPr>
            </w:pPr>
            <w:r>
              <w:rPr>
                <w:rFonts w:ascii="Arial" w:cs="Arial" w:eastAsia="Arial" w:hAnsi="Arial"/>
                <w:sz w:val="16"/>
                <w:szCs w:val="16"/>
                <w:color w:val="auto"/>
              </w:rPr>
              <w:t>(63)</w:t>
            </w: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96"/>
        </w:trPr>
        <w:tc>
          <w:tcPr>
            <w:tcW w:w="562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1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8"/>
        </w:trPr>
        <w:tc>
          <w:tcPr>
            <w:tcW w:w="5620" w:type="dxa"/>
            <w:vAlign w:val="bottom"/>
          </w:tcPr>
          <w:p>
            <w:pPr>
              <w:ind w:left="240"/>
              <w:spacing w:after="0"/>
              <w:rPr>
                <w:sz w:val="20"/>
                <w:szCs w:val="20"/>
                <w:color w:val="auto"/>
              </w:rPr>
            </w:pPr>
            <w:r>
              <w:rPr>
                <w:rFonts w:ascii="Arial" w:cs="Arial" w:eastAsia="Arial" w:hAnsi="Arial"/>
                <w:sz w:val="16"/>
                <w:szCs w:val="16"/>
                <w:color w:val="auto"/>
              </w:rPr>
              <w:t>comprehensive income</w:t>
            </w:r>
          </w:p>
        </w:tc>
        <w:tc>
          <w:tcPr>
            <w:tcW w:w="146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152</w:t>
            </w:r>
          </w:p>
        </w:tc>
        <w:tc>
          <w:tcPr>
            <w:tcW w:w="1600" w:type="dxa"/>
            <w:vAlign w:val="bottom"/>
            <w:tcBorders>
              <w:bottom w:val="single" w:sz="8" w:color="auto"/>
            </w:tcBorders>
          </w:tcPr>
          <w:p>
            <w:pPr>
              <w:jc w:val="right"/>
              <w:ind w:right="403"/>
              <w:spacing w:after="0"/>
              <w:rPr>
                <w:sz w:val="20"/>
                <w:szCs w:val="20"/>
                <w:color w:val="auto"/>
              </w:rPr>
            </w:pPr>
            <w:r>
              <w:rPr>
                <w:rFonts w:ascii="Arial" w:cs="Arial" w:eastAsia="Arial" w:hAnsi="Arial"/>
                <w:sz w:val="16"/>
                <w:szCs w:val="16"/>
                <w:color w:val="auto"/>
              </w:rPr>
              <w:t>1,066</w:t>
            </w:r>
          </w:p>
        </w:tc>
        <w:tc>
          <w:tcPr>
            <w:tcW w:w="166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color w:val="auto"/>
              </w:rPr>
              <w:t>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Total change in accumulated other comprehensive income</w:t>
            </w:r>
          </w:p>
        </w:tc>
        <w:tc>
          <w:tcPr>
            <w:tcW w:w="14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(5,106)</w:t>
            </w:r>
          </w:p>
        </w:tc>
        <w:tc>
          <w:tcPr>
            <w:tcW w:w="1600" w:type="dxa"/>
            <w:vAlign w:val="bottom"/>
            <w:tcBorders>
              <w:bottom w:val="single" w:sz="8" w:color="auto"/>
            </w:tcBorders>
          </w:tcPr>
          <w:p>
            <w:pPr>
              <w:jc w:val="right"/>
              <w:ind w:right="343"/>
              <w:spacing w:after="0"/>
              <w:rPr>
                <w:sz w:val="20"/>
                <w:szCs w:val="20"/>
                <w:color w:val="auto"/>
              </w:rPr>
            </w:pPr>
            <w:r>
              <w:rPr>
                <w:rFonts w:ascii="Arial" w:cs="Arial" w:eastAsia="Arial" w:hAnsi="Arial"/>
                <w:sz w:val="16"/>
                <w:szCs w:val="16"/>
                <w:color w:val="auto"/>
              </w:rPr>
              <w:t>(3,066)</w:t>
            </w:r>
          </w:p>
        </w:tc>
        <w:tc>
          <w:tcPr>
            <w:tcW w:w="166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color w:val="auto"/>
              </w:rPr>
              <w:t>(60)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188"/>
        </w:trPr>
        <w:tc>
          <w:tcPr>
            <w:tcW w:w="5620" w:type="dxa"/>
            <w:vAlign w:val="bottom"/>
          </w:tcPr>
          <w:p>
            <w:pPr>
              <w:spacing w:after="0"/>
              <w:rPr>
                <w:sz w:val="20"/>
                <w:szCs w:val="20"/>
                <w:color w:val="auto"/>
              </w:rPr>
            </w:pPr>
            <w:r>
              <w:rPr>
                <w:rFonts w:ascii="Arial" w:cs="Arial" w:eastAsia="Arial" w:hAnsi="Arial"/>
                <w:sz w:val="16"/>
                <w:szCs w:val="16"/>
                <w:color w:val="auto"/>
              </w:rPr>
              <w:t>Balance as of December 31, 2014</w:t>
            </w:r>
          </w:p>
        </w:tc>
        <w:tc>
          <w:tcPr>
            <w:tcW w:w="14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(5,952)</w:t>
            </w:r>
          </w:p>
        </w:tc>
        <w:tc>
          <w:tcPr>
            <w:tcW w:w="1600" w:type="dxa"/>
            <w:vAlign w:val="bottom"/>
            <w:tcBorders>
              <w:bottom w:val="single" w:sz="8" w:color="auto"/>
            </w:tcBorders>
          </w:tcPr>
          <w:p>
            <w:pPr>
              <w:jc w:val="right"/>
              <w:ind w:right="343"/>
              <w:spacing w:after="0"/>
              <w:rPr>
                <w:sz w:val="20"/>
                <w:szCs w:val="20"/>
                <w:color w:val="auto"/>
              </w:rPr>
            </w:pPr>
            <w:r>
              <w:rPr>
                <w:rFonts w:ascii="Arial" w:cs="Arial" w:eastAsia="Arial" w:hAnsi="Arial"/>
                <w:sz w:val="16"/>
                <w:szCs w:val="16"/>
                <w:color w:val="auto"/>
              </w:rPr>
              <w:t>(12,945)</w:t>
            </w:r>
          </w:p>
        </w:tc>
        <w:tc>
          <w:tcPr>
            <w:tcW w:w="166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color w:val="auto"/>
              </w:rPr>
              <w:t>(60)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368"/>
        </w:trPr>
        <w:tc>
          <w:tcPr>
            <w:tcW w:w="5620" w:type="dxa"/>
            <w:vAlign w:val="bottom"/>
          </w:tcPr>
          <w:p>
            <w:pPr>
              <w:spacing w:after="0"/>
              <w:rPr>
                <w:sz w:val="20"/>
                <w:szCs w:val="20"/>
                <w:color w:val="auto"/>
              </w:rPr>
            </w:pPr>
            <w:r>
              <w:rPr>
                <w:rFonts w:ascii="Arial" w:cs="Arial" w:eastAsia="Arial" w:hAnsi="Arial"/>
                <w:sz w:val="16"/>
                <w:szCs w:val="16"/>
                <w:b w:val="1"/>
                <w:bCs w:val="1"/>
                <w:color w:val="auto"/>
              </w:rPr>
              <w:t>Amounts Reclassified Out of Accumulated Other</w:t>
            </w:r>
          </w:p>
        </w:tc>
        <w:tc>
          <w:tcPr>
            <w:tcW w:w="1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2"/>
        </w:trPr>
        <w:tc>
          <w:tcPr>
            <w:tcW w:w="5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Comprehensive Income - Before-tax Income/(Expense)</w:t>
            </w:r>
          </w:p>
        </w:tc>
        <w:tc>
          <w:tcPr>
            <w:tcW w:w="14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503"/>
              <w:spacing w:after="0"/>
              <w:rPr>
                <w:sz w:val="20"/>
                <w:szCs w:val="20"/>
                <w:color w:val="auto"/>
              </w:rPr>
            </w:pPr>
            <w:r>
              <w:rPr>
                <w:rFonts w:ascii="Arial" w:cs="Arial" w:eastAsia="Arial" w:hAnsi="Arial"/>
                <w:sz w:val="13"/>
                <w:szCs w:val="13"/>
                <w:b w:val="1"/>
                <w:bCs w:val="1"/>
                <w:color w:val="auto"/>
              </w:rPr>
              <w:t>2014</w:t>
            </w:r>
          </w:p>
        </w:tc>
        <w:tc>
          <w:tcPr>
            <w:tcW w:w="1660" w:type="dxa"/>
            <w:vAlign w:val="bottom"/>
            <w:tcBorders>
              <w:bottom w:val="single" w:sz="8" w:color="auto"/>
            </w:tcBorders>
          </w:tcPr>
          <w:p>
            <w:pPr>
              <w:jc w:val="right"/>
              <w:ind w:right="682"/>
              <w:spacing w:after="0"/>
              <w:rPr>
                <w:sz w:val="20"/>
                <w:szCs w:val="20"/>
                <w:color w:val="auto"/>
              </w:rPr>
            </w:pPr>
            <w:r>
              <w:rPr>
                <w:rFonts w:ascii="Arial" w:cs="Arial" w:eastAsia="Arial" w:hAnsi="Arial"/>
                <w:sz w:val="13"/>
                <w:szCs w:val="13"/>
                <w:b w:val="1"/>
                <w:bCs w:val="1"/>
                <w:color w:val="auto"/>
              </w:rPr>
              <w:t>2013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w:t>
            </w:r>
          </w:p>
        </w:tc>
      </w:tr>
      <w:tr>
        <w:trPr>
          <w:trHeight w:val="166"/>
        </w:trPr>
        <w:tc>
          <w:tcPr>
            <w:tcW w:w="5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jc w:val="right"/>
              <w:ind w:right="242"/>
              <w:spacing w:after="0"/>
              <w:rPr>
                <w:sz w:val="20"/>
                <w:szCs w:val="20"/>
                <w:color w:val="auto"/>
              </w:rPr>
            </w:pPr>
            <w:r>
              <w:rPr>
                <w:rFonts w:ascii="Arial" w:cs="Arial" w:eastAsia="Arial" w:hAnsi="Arial"/>
                <w:sz w:val="13"/>
                <w:szCs w:val="13"/>
                <w:i w:val="1"/>
                <w:iCs w:val="1"/>
                <w:color w:val="auto"/>
              </w:rPr>
              <w:t>(millions of dollars)</w:t>
            </w:r>
          </w:p>
        </w:tc>
        <w:tc>
          <w:tcPr>
            <w:tcW w:w="600" w:type="dxa"/>
            <w:vAlign w:val="bottom"/>
          </w:tcPr>
          <w:p>
            <w:pPr>
              <w:spacing w:after="0"/>
              <w:rPr>
                <w:sz w:val="14"/>
                <w:szCs w:val="14"/>
                <w:color w:val="auto"/>
              </w:rPr>
            </w:pPr>
          </w:p>
        </w:tc>
      </w:tr>
      <w:tr>
        <w:trPr>
          <w:trHeight w:val="207"/>
        </w:trPr>
        <w:tc>
          <w:tcPr>
            <w:tcW w:w="5620" w:type="dxa"/>
            <w:vAlign w:val="bottom"/>
          </w:tcPr>
          <w:p>
            <w:pPr>
              <w:spacing w:after="0"/>
              <w:rPr>
                <w:sz w:val="20"/>
                <w:szCs w:val="20"/>
                <w:color w:val="auto"/>
              </w:rPr>
            </w:pPr>
            <w:r>
              <w:rPr>
                <w:rFonts w:ascii="Arial" w:cs="Arial" w:eastAsia="Arial" w:hAnsi="Arial"/>
                <w:sz w:val="16"/>
                <w:szCs w:val="16"/>
                <w:color w:val="auto"/>
              </w:rPr>
              <w:t>Foreign exchange translation gain/(loss) included in net income</w:t>
            </w:r>
          </w:p>
        </w:tc>
        <w:tc>
          <w:tcPr>
            <w:tcW w:w="1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5620" w:type="dxa"/>
            <w:vAlign w:val="bottom"/>
          </w:tcPr>
          <w:p>
            <w:pPr>
              <w:ind w:left="340"/>
              <w:spacing w:after="0"/>
              <w:rPr>
                <w:sz w:val="20"/>
                <w:szCs w:val="20"/>
                <w:color w:val="auto"/>
              </w:rPr>
            </w:pPr>
            <w:r>
              <w:rPr>
                <w:rFonts w:ascii="Arial" w:cs="Arial" w:eastAsia="Arial" w:hAnsi="Arial"/>
                <w:sz w:val="16"/>
                <w:szCs w:val="16"/>
                <w:color w:val="auto"/>
              </w:rPr>
              <w:t>(Statement of Income line: Other income)</w:t>
            </w:r>
          </w:p>
        </w:tc>
        <w:tc>
          <w:tcPr>
            <w:tcW w:w="1460" w:type="dxa"/>
            <w:vAlign w:val="bottom"/>
          </w:tcPr>
          <w:p>
            <w:pPr>
              <w:spacing w:after="0"/>
              <w:rPr>
                <w:sz w:val="17"/>
                <w:szCs w:val="17"/>
                <w:color w:val="auto"/>
              </w:rPr>
            </w:pPr>
          </w:p>
        </w:tc>
        <w:tc>
          <w:tcPr>
            <w:tcW w:w="1600" w:type="dxa"/>
            <w:vAlign w:val="bottom"/>
          </w:tcPr>
          <w:p>
            <w:pPr>
              <w:jc w:val="right"/>
              <w:ind w:right="223"/>
              <w:spacing w:after="0"/>
              <w:rPr>
                <w:sz w:val="20"/>
                <w:szCs w:val="20"/>
                <w:color w:val="auto"/>
              </w:rPr>
            </w:pPr>
            <w:r>
              <w:rPr>
                <w:rFonts w:ascii="Arial" w:cs="Arial" w:eastAsia="Arial" w:hAnsi="Arial"/>
                <w:sz w:val="16"/>
                <w:szCs w:val="16"/>
                <w:color w:val="auto"/>
              </w:rPr>
              <w:t>(152)</w:t>
            </w:r>
          </w:p>
        </w:tc>
        <w:tc>
          <w:tcPr>
            <w:tcW w:w="1660" w:type="dxa"/>
            <w:vAlign w:val="bottom"/>
          </w:tcPr>
          <w:p>
            <w:pPr>
              <w:jc w:val="right"/>
              <w:ind w:right="462"/>
              <w:spacing w:after="0"/>
              <w:rPr>
                <w:sz w:val="20"/>
                <w:szCs w:val="20"/>
                <w:color w:val="auto"/>
              </w:rPr>
            </w:pPr>
            <w:r>
              <w:rPr>
                <w:rFonts w:ascii="Arial" w:cs="Arial" w:eastAsia="Arial" w:hAnsi="Arial"/>
                <w:sz w:val="16"/>
                <w:szCs w:val="16"/>
                <w:color w:val="auto"/>
              </w:rPr>
              <w:t>23</w:t>
            </w:r>
          </w:p>
        </w:tc>
        <w:tc>
          <w:tcPr>
            <w:tcW w:w="600" w:type="dxa"/>
            <w:vAlign w:val="bottom"/>
          </w:tcPr>
          <w:p>
            <w:pPr>
              <w:spacing w:after="0"/>
              <w:rPr>
                <w:sz w:val="17"/>
                <w:szCs w:val="17"/>
                <w:color w:val="auto"/>
              </w:rPr>
            </w:pPr>
          </w:p>
        </w:tc>
      </w:tr>
      <w:tr>
        <w:trPr>
          <w:trHeight w:val="196"/>
        </w:trPr>
        <w:tc>
          <w:tcPr>
            <w:tcW w:w="5620" w:type="dxa"/>
            <w:vAlign w:val="bottom"/>
          </w:tcPr>
          <w:p>
            <w:pPr>
              <w:spacing w:after="0"/>
              <w:rPr>
                <w:sz w:val="20"/>
                <w:szCs w:val="20"/>
                <w:color w:val="auto"/>
              </w:rPr>
            </w:pPr>
            <w:r>
              <w:rPr>
                <w:rFonts w:ascii="Arial" w:cs="Arial" w:eastAsia="Arial" w:hAnsi="Arial"/>
                <w:sz w:val="16"/>
                <w:szCs w:val="16"/>
                <w:color w:val="auto"/>
              </w:rPr>
              <w:t>Amortization and settlement of postretirement benefits reserves</w:t>
            </w:r>
          </w:p>
        </w:tc>
        <w:tc>
          <w:tcPr>
            <w:tcW w:w="1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5620" w:type="dxa"/>
            <w:vAlign w:val="bottom"/>
          </w:tcPr>
          <w:p>
            <w:pPr>
              <w:ind w:left="340"/>
              <w:spacing w:after="0"/>
              <w:rPr>
                <w:sz w:val="20"/>
                <w:szCs w:val="20"/>
                <w:color w:val="auto"/>
              </w:rPr>
            </w:pPr>
            <w:r>
              <w:rPr>
                <w:rFonts w:ascii="Arial" w:cs="Arial" w:eastAsia="Arial" w:hAnsi="Arial"/>
                <w:sz w:val="16"/>
                <w:szCs w:val="16"/>
                <w:color w:val="auto"/>
              </w:rPr>
              <w:t xml:space="preserve">adjustment included in net periodic benefit costs </w:t>
            </w:r>
            <w:r>
              <w:rPr>
                <w:rFonts w:ascii="Arial" w:cs="Arial" w:eastAsia="Arial" w:hAnsi="Arial"/>
                <w:sz w:val="16"/>
                <w:szCs w:val="16"/>
                <w:i w:val="1"/>
                <w:iCs w:val="1"/>
                <w:color w:val="auto"/>
              </w:rPr>
              <w:t>(1)</w:t>
            </w:r>
          </w:p>
        </w:tc>
        <w:tc>
          <w:tcPr>
            <w:tcW w:w="1460" w:type="dxa"/>
            <w:vAlign w:val="bottom"/>
          </w:tcPr>
          <w:p>
            <w:pPr>
              <w:spacing w:after="0"/>
              <w:rPr>
                <w:sz w:val="17"/>
                <w:szCs w:val="17"/>
                <w:color w:val="auto"/>
              </w:rPr>
            </w:pPr>
          </w:p>
        </w:tc>
        <w:tc>
          <w:tcPr>
            <w:tcW w:w="1600" w:type="dxa"/>
            <w:vAlign w:val="bottom"/>
          </w:tcPr>
          <w:p>
            <w:pPr>
              <w:jc w:val="right"/>
              <w:ind w:right="223"/>
              <w:spacing w:after="0"/>
              <w:rPr>
                <w:sz w:val="20"/>
                <w:szCs w:val="20"/>
                <w:color w:val="auto"/>
              </w:rPr>
            </w:pPr>
            <w:r>
              <w:rPr>
                <w:rFonts w:ascii="Arial" w:cs="Arial" w:eastAsia="Arial" w:hAnsi="Arial"/>
                <w:sz w:val="16"/>
                <w:szCs w:val="16"/>
                <w:color w:val="auto"/>
              </w:rPr>
              <w:t>(1,571)</w:t>
            </w:r>
          </w:p>
        </w:tc>
        <w:tc>
          <w:tcPr>
            <w:tcW w:w="1660" w:type="dxa"/>
            <w:vAlign w:val="bottom"/>
          </w:tcPr>
          <w:p>
            <w:pPr>
              <w:jc w:val="right"/>
              <w:ind w:right="402"/>
              <w:spacing w:after="0"/>
              <w:rPr>
                <w:sz w:val="20"/>
                <w:szCs w:val="20"/>
                <w:color w:val="auto"/>
              </w:rPr>
            </w:pPr>
            <w:r>
              <w:rPr>
                <w:rFonts w:ascii="Arial" w:cs="Arial" w:eastAsia="Arial" w:hAnsi="Arial"/>
                <w:sz w:val="16"/>
                <w:szCs w:val="16"/>
                <w:color w:val="auto"/>
              </w:rPr>
              <w:t>(2,616)</w:t>
            </w:r>
          </w:p>
        </w:tc>
        <w:tc>
          <w:tcPr>
            <w:tcW w:w="600" w:type="dxa"/>
            <w:vAlign w:val="bottom"/>
          </w:tcPr>
          <w:p>
            <w:pPr>
              <w:spacing w:after="0"/>
              <w:rPr>
                <w:sz w:val="17"/>
                <w:szCs w:val="17"/>
                <w:color w:val="auto"/>
              </w:rPr>
            </w:pPr>
          </w:p>
        </w:tc>
      </w:tr>
      <w:tr>
        <w:trPr>
          <w:trHeight w:val="196"/>
        </w:trPr>
        <w:tc>
          <w:tcPr>
            <w:tcW w:w="5620" w:type="dxa"/>
            <w:vAlign w:val="bottom"/>
          </w:tcPr>
          <w:p>
            <w:pPr>
              <w:spacing w:after="0"/>
              <w:rPr>
                <w:sz w:val="20"/>
                <w:szCs w:val="20"/>
                <w:color w:val="auto"/>
              </w:rPr>
            </w:pPr>
            <w:r>
              <w:rPr>
                <w:rFonts w:ascii="Arial" w:cs="Arial" w:eastAsia="Arial" w:hAnsi="Arial"/>
                <w:sz w:val="16"/>
                <w:szCs w:val="16"/>
                <w:color w:val="auto"/>
              </w:rPr>
              <w:t>Realized change in fair value of stock investments included in net income</w:t>
            </w:r>
          </w:p>
        </w:tc>
        <w:tc>
          <w:tcPr>
            <w:tcW w:w="1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8"/>
        </w:trPr>
        <w:tc>
          <w:tcPr>
            <w:tcW w:w="5620" w:type="dxa"/>
            <w:vAlign w:val="bottom"/>
          </w:tcPr>
          <w:p>
            <w:pPr>
              <w:ind w:left="340"/>
              <w:spacing w:after="0"/>
              <w:rPr>
                <w:sz w:val="20"/>
                <w:szCs w:val="20"/>
                <w:color w:val="auto"/>
              </w:rPr>
            </w:pPr>
            <w:r>
              <w:rPr>
                <w:rFonts w:ascii="Arial" w:cs="Arial" w:eastAsia="Arial" w:hAnsi="Arial"/>
                <w:sz w:val="16"/>
                <w:szCs w:val="16"/>
                <w:color w:val="auto"/>
              </w:rPr>
              <w:t>(Statement of Income line: Other income)</w:t>
            </w:r>
          </w:p>
        </w:tc>
        <w:tc>
          <w:tcPr>
            <w:tcW w:w="1460" w:type="dxa"/>
            <w:vAlign w:val="bottom"/>
          </w:tcPr>
          <w:p>
            <w:pPr>
              <w:spacing w:after="0"/>
              <w:rPr>
                <w:sz w:val="18"/>
                <w:szCs w:val="18"/>
                <w:color w:val="auto"/>
              </w:rPr>
            </w:pPr>
          </w:p>
        </w:tc>
        <w:tc>
          <w:tcPr>
            <w:tcW w:w="1600" w:type="dxa"/>
            <w:vAlign w:val="bottom"/>
          </w:tcPr>
          <w:p>
            <w:pPr>
              <w:jc w:val="right"/>
              <w:ind w:right="223"/>
              <w:spacing w:after="0"/>
              <w:rPr>
                <w:sz w:val="20"/>
                <w:szCs w:val="20"/>
                <w:color w:val="auto"/>
              </w:rPr>
            </w:pPr>
            <w:r>
              <w:rPr>
                <w:rFonts w:ascii="Arial" w:cs="Arial" w:eastAsia="Arial" w:hAnsi="Arial"/>
                <w:sz w:val="16"/>
                <w:szCs w:val="16"/>
                <w:color w:val="auto"/>
              </w:rPr>
              <w:t>(5)</w:t>
            </w:r>
          </w:p>
        </w:tc>
        <w:tc>
          <w:tcPr>
            <w:tcW w:w="166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r>
    </w:tbl>
    <w:p>
      <w:pPr>
        <w:spacing w:after="0" w:line="200" w:lineRule="exact"/>
        <w:rPr>
          <w:sz w:val="20"/>
          <w:szCs w:val="20"/>
          <w:color w:val="auto"/>
        </w:rPr>
      </w:pPr>
    </w:p>
    <w:p>
      <w:pPr>
        <w:spacing w:after="0" w:line="205" w:lineRule="exact"/>
        <w:rPr>
          <w:sz w:val="20"/>
          <w:szCs w:val="20"/>
          <w:color w:val="auto"/>
        </w:rPr>
      </w:pPr>
    </w:p>
    <w:p>
      <w:pPr>
        <w:ind w:left="960" w:right="280" w:hanging="300"/>
        <w:spacing w:after="0" w:line="286" w:lineRule="auto"/>
        <w:tabs>
          <w:tab w:leader="none" w:pos="979"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These accumulated other comprehensive income components are included in the computation of net periodic pension cost. (See Note 17 – Pension and Other Postretirement Benefits for additional details.)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6"/>
                <w:szCs w:val="16"/>
                <w:b w:val="1"/>
                <w:bCs w:val="1"/>
                <w:color w:val="auto"/>
              </w:rPr>
              <w:t>Income Tax (Expense)/Credit For</w:t>
            </w:r>
          </w:p>
        </w:tc>
        <w:tc>
          <w:tcPr>
            <w:tcW w:w="2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580" w:type="dxa"/>
            <w:vAlign w:val="bottom"/>
          </w:tcPr>
          <w:p>
            <w:pPr>
              <w:spacing w:after="0"/>
              <w:rPr>
                <w:sz w:val="18"/>
                <w:szCs w:val="18"/>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Components of Other Comprehensive Income</w:t>
            </w:r>
          </w:p>
        </w:tc>
        <w:tc>
          <w:tcPr>
            <w:tcW w:w="3500" w:type="dxa"/>
            <w:vAlign w:val="bottom"/>
            <w:tcBorders>
              <w:bottom w:val="single" w:sz="8" w:color="auto"/>
            </w:tcBorders>
            <w:gridSpan w:val="2"/>
          </w:tcPr>
          <w:p>
            <w:pPr>
              <w:jc w:val="right"/>
              <w:ind w:right="498"/>
              <w:spacing w:after="0"/>
              <w:rPr>
                <w:sz w:val="20"/>
                <w:szCs w:val="20"/>
                <w:color w:val="auto"/>
              </w:rPr>
            </w:pPr>
            <w:r>
              <w:rPr>
                <w:rFonts w:ascii="Arial" w:cs="Arial" w:eastAsia="Arial" w:hAnsi="Arial"/>
                <w:sz w:val="13"/>
                <w:szCs w:val="13"/>
                <w:b w:val="1"/>
                <w:bCs w:val="1"/>
                <w:color w:val="auto"/>
              </w:rPr>
              <w:t>2014</w:t>
            </w:r>
          </w:p>
        </w:tc>
        <w:tc>
          <w:tcPr>
            <w:tcW w:w="2160" w:type="dxa"/>
            <w:vAlign w:val="bottom"/>
            <w:tcBorders>
              <w:bottom w:val="single" w:sz="8" w:color="auto"/>
            </w:tcBorders>
          </w:tcPr>
          <w:p>
            <w:pPr>
              <w:jc w:val="right"/>
              <w:ind w:right="1102"/>
              <w:spacing w:after="0"/>
              <w:rPr>
                <w:sz w:val="20"/>
                <w:szCs w:val="20"/>
                <w:color w:val="auto"/>
              </w:rPr>
            </w:pPr>
            <w:r>
              <w:rPr>
                <w:rFonts w:ascii="Arial" w:cs="Arial" w:eastAsia="Arial" w:hAnsi="Arial"/>
                <w:sz w:val="13"/>
                <w:szCs w:val="13"/>
                <w:b w:val="1"/>
                <w:bCs w:val="1"/>
                <w:color w:val="auto"/>
              </w:rPr>
              <w:t>2013</w:t>
            </w:r>
          </w:p>
        </w:tc>
        <w:tc>
          <w:tcPr>
            <w:tcW w:w="60" w:type="dxa"/>
            <w:vAlign w:val="bottom"/>
            <w:tcBorders>
              <w:bottom w:val="single" w:sz="8" w:color="auto"/>
            </w:tcBorders>
          </w:tcPr>
          <w:p>
            <w:pPr>
              <w:spacing w:after="0"/>
              <w:rPr>
                <w:sz w:val="18"/>
                <w:szCs w:val="18"/>
                <w:color w:val="auto"/>
              </w:rPr>
            </w:pPr>
          </w:p>
        </w:tc>
      </w:tr>
      <w:tr>
        <w:trPr>
          <w:trHeight w:val="166"/>
        </w:trPr>
        <w:tc>
          <w:tcPr>
            <w:tcW w:w="58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20" w:type="dxa"/>
            <w:vAlign w:val="bottom"/>
            <w:gridSpan w:val="2"/>
          </w:tcPr>
          <w:p>
            <w:pPr>
              <w:ind w:left="260"/>
              <w:spacing w:after="0"/>
              <w:rPr>
                <w:sz w:val="20"/>
                <w:szCs w:val="20"/>
                <w:color w:val="auto"/>
              </w:rPr>
            </w:pPr>
            <w:r>
              <w:rPr>
                <w:rFonts w:ascii="Arial" w:cs="Arial" w:eastAsia="Arial" w:hAnsi="Arial"/>
                <w:sz w:val="13"/>
                <w:szCs w:val="13"/>
                <w:i w:val="1"/>
                <w:iCs w:val="1"/>
                <w:color w:val="auto"/>
              </w:rPr>
              <w:t>(millions of dollars)</w:t>
            </w:r>
          </w:p>
        </w:tc>
      </w:tr>
      <w:tr>
        <w:trPr>
          <w:trHeight w:val="207"/>
        </w:trPr>
        <w:tc>
          <w:tcPr>
            <w:tcW w:w="58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6"/>
                <w:szCs w:val="16"/>
                <w:color w:val="auto"/>
              </w:rPr>
              <w:t>Foreign exchange translation adjustment</w:t>
            </w:r>
          </w:p>
        </w:tc>
        <w:tc>
          <w:tcPr>
            <w:tcW w:w="3500" w:type="dxa"/>
            <w:vAlign w:val="bottom"/>
            <w:gridSpan w:val="2"/>
          </w:tcPr>
          <w:p>
            <w:pPr>
              <w:jc w:val="right"/>
              <w:ind w:right="218"/>
              <w:spacing w:after="0"/>
              <w:rPr>
                <w:sz w:val="20"/>
                <w:szCs w:val="20"/>
                <w:color w:val="auto"/>
              </w:rPr>
            </w:pPr>
            <w:r>
              <w:rPr>
                <w:rFonts w:ascii="Arial" w:cs="Arial" w:eastAsia="Arial" w:hAnsi="Arial"/>
                <w:sz w:val="16"/>
                <w:szCs w:val="16"/>
                <w:color w:val="auto"/>
              </w:rPr>
              <w:t>292</w:t>
            </w:r>
          </w:p>
        </w:tc>
        <w:tc>
          <w:tcPr>
            <w:tcW w:w="2160" w:type="dxa"/>
            <w:vAlign w:val="bottom"/>
          </w:tcPr>
          <w:p>
            <w:pPr>
              <w:jc w:val="right"/>
              <w:ind w:right="882"/>
              <w:spacing w:after="0"/>
              <w:rPr>
                <w:sz w:val="20"/>
                <w:szCs w:val="20"/>
                <w:color w:val="auto"/>
              </w:rPr>
            </w:pPr>
            <w:r>
              <w:rPr>
                <w:rFonts w:ascii="Arial" w:cs="Arial" w:eastAsia="Arial" w:hAnsi="Arial"/>
                <w:sz w:val="16"/>
                <w:szCs w:val="16"/>
                <w:color w:val="auto"/>
              </w:rPr>
              <w:t>218</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6"/>
                <w:szCs w:val="16"/>
                <w:color w:val="auto"/>
              </w:rPr>
              <w:t>Postretirement benefits reserves adjustment (excluding amortization)</w:t>
            </w:r>
          </w:p>
        </w:tc>
        <w:tc>
          <w:tcPr>
            <w:tcW w:w="3500" w:type="dxa"/>
            <w:vAlign w:val="bottom"/>
            <w:gridSpan w:val="2"/>
          </w:tcPr>
          <w:p>
            <w:pPr>
              <w:jc w:val="right"/>
              <w:ind w:right="218"/>
              <w:spacing w:after="0"/>
              <w:rPr>
                <w:sz w:val="20"/>
                <w:szCs w:val="20"/>
                <w:color w:val="auto"/>
              </w:rPr>
            </w:pPr>
            <w:r>
              <w:rPr>
                <w:rFonts w:ascii="Arial" w:cs="Arial" w:eastAsia="Arial" w:hAnsi="Arial"/>
                <w:sz w:val="16"/>
                <w:szCs w:val="16"/>
                <w:color w:val="auto"/>
              </w:rPr>
              <w:t>2,009</w:t>
            </w:r>
          </w:p>
        </w:tc>
        <w:tc>
          <w:tcPr>
            <w:tcW w:w="2160" w:type="dxa"/>
            <w:vAlign w:val="bottom"/>
          </w:tcPr>
          <w:p>
            <w:pPr>
              <w:jc w:val="right"/>
              <w:ind w:right="842"/>
              <w:spacing w:after="0"/>
              <w:rPr>
                <w:sz w:val="20"/>
                <w:szCs w:val="20"/>
                <w:color w:val="auto"/>
              </w:rPr>
            </w:pPr>
            <w:r>
              <w:rPr>
                <w:rFonts w:ascii="Arial" w:cs="Arial" w:eastAsia="Arial" w:hAnsi="Arial"/>
                <w:sz w:val="16"/>
                <w:szCs w:val="16"/>
                <w:color w:val="auto"/>
              </w:rPr>
              <w:t>(1,540)</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6"/>
                <w:szCs w:val="16"/>
                <w:color w:val="auto"/>
              </w:rPr>
              <w:t>Amortization and settlement of postretirement benefits reserves</w:t>
            </w:r>
          </w:p>
        </w:tc>
        <w:tc>
          <w:tcPr>
            <w:tcW w:w="2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220" w:type="dxa"/>
            <w:vAlign w:val="bottom"/>
          </w:tcPr>
          <w:p>
            <w:pPr>
              <w:ind w:left="340"/>
              <w:spacing w:after="0"/>
              <w:rPr>
                <w:sz w:val="20"/>
                <w:szCs w:val="20"/>
                <w:color w:val="auto"/>
              </w:rPr>
            </w:pPr>
            <w:r>
              <w:rPr>
                <w:rFonts w:ascii="Arial" w:cs="Arial" w:eastAsia="Arial" w:hAnsi="Arial"/>
                <w:sz w:val="16"/>
                <w:szCs w:val="16"/>
                <w:color w:val="auto"/>
              </w:rPr>
              <w:t>adjustment included in net periodic benefit costs</w:t>
            </w:r>
          </w:p>
        </w:tc>
        <w:tc>
          <w:tcPr>
            <w:tcW w:w="3500" w:type="dxa"/>
            <w:vAlign w:val="bottom"/>
            <w:gridSpan w:val="2"/>
          </w:tcPr>
          <w:p>
            <w:pPr>
              <w:jc w:val="right"/>
              <w:ind w:right="158"/>
              <w:spacing w:after="0"/>
              <w:rPr>
                <w:sz w:val="20"/>
                <w:szCs w:val="20"/>
                <w:color w:val="auto"/>
              </w:rPr>
            </w:pPr>
            <w:r>
              <w:rPr>
                <w:rFonts w:ascii="Arial" w:cs="Arial" w:eastAsia="Arial" w:hAnsi="Arial"/>
                <w:sz w:val="16"/>
                <w:szCs w:val="16"/>
                <w:color w:val="auto"/>
              </w:rPr>
              <w:t>(460)</w:t>
            </w:r>
          </w:p>
        </w:tc>
        <w:tc>
          <w:tcPr>
            <w:tcW w:w="2160" w:type="dxa"/>
            <w:vAlign w:val="bottom"/>
          </w:tcPr>
          <w:p>
            <w:pPr>
              <w:jc w:val="right"/>
              <w:ind w:right="842"/>
              <w:spacing w:after="0"/>
              <w:rPr>
                <w:sz w:val="20"/>
                <w:szCs w:val="20"/>
                <w:color w:val="auto"/>
              </w:rPr>
            </w:pPr>
            <w:r>
              <w:rPr>
                <w:rFonts w:ascii="Arial" w:cs="Arial" w:eastAsia="Arial" w:hAnsi="Arial"/>
                <w:sz w:val="16"/>
                <w:szCs w:val="16"/>
                <w:color w:val="auto"/>
              </w:rPr>
              <w:t>(796)</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6"/>
                <w:szCs w:val="16"/>
                <w:color w:val="auto"/>
              </w:rPr>
              <w:t>Unrealized change in fair value of stock investments</w:t>
            </w:r>
          </w:p>
        </w:tc>
        <w:tc>
          <w:tcPr>
            <w:tcW w:w="3500" w:type="dxa"/>
            <w:vAlign w:val="bottom"/>
            <w:gridSpan w:val="2"/>
          </w:tcPr>
          <w:p>
            <w:pPr>
              <w:jc w:val="right"/>
              <w:ind w:right="218"/>
              <w:spacing w:after="0"/>
              <w:rPr>
                <w:sz w:val="20"/>
                <w:szCs w:val="20"/>
                <w:color w:val="auto"/>
              </w:rPr>
            </w:pPr>
            <w:r>
              <w:rPr>
                <w:rFonts w:ascii="Arial" w:cs="Arial" w:eastAsia="Arial" w:hAnsi="Arial"/>
                <w:sz w:val="16"/>
                <w:szCs w:val="16"/>
                <w:color w:val="auto"/>
              </w:rPr>
              <w:t>34</w:t>
            </w:r>
          </w:p>
        </w:tc>
        <w:tc>
          <w:tcPr>
            <w:tcW w:w="2160" w:type="dxa"/>
            <w:vAlign w:val="bottom"/>
          </w:tcPr>
          <w:p>
            <w:pPr>
              <w:jc w:val="right"/>
              <w:ind w:right="96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208"/>
        </w:trPr>
        <w:tc>
          <w:tcPr>
            <w:tcW w:w="5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6"/>
                <w:szCs w:val="16"/>
                <w:color w:val="auto"/>
              </w:rPr>
              <w:t>Realized change in fair value of stock investments included in net income</w:t>
            </w:r>
          </w:p>
        </w:tc>
        <w:tc>
          <w:tcPr>
            <w:tcW w:w="3500" w:type="dxa"/>
            <w:vAlign w:val="bottom"/>
            <w:gridSpan w:val="2"/>
          </w:tcPr>
          <w:p>
            <w:pPr>
              <w:jc w:val="right"/>
              <w:ind w:right="158"/>
              <w:spacing w:after="0"/>
              <w:rPr>
                <w:sz w:val="20"/>
                <w:szCs w:val="20"/>
                <w:color w:val="auto"/>
              </w:rPr>
            </w:pPr>
            <w:r>
              <w:rPr>
                <w:rFonts w:ascii="Arial" w:cs="Arial" w:eastAsia="Arial" w:hAnsi="Arial"/>
                <w:sz w:val="16"/>
                <w:szCs w:val="16"/>
                <w:color w:val="auto"/>
              </w:rPr>
              <w:t>(2)</w:t>
            </w:r>
          </w:p>
        </w:tc>
        <w:tc>
          <w:tcPr>
            <w:tcW w:w="2160" w:type="dxa"/>
            <w:vAlign w:val="bottom"/>
          </w:tcPr>
          <w:p>
            <w:pPr>
              <w:jc w:val="right"/>
              <w:ind w:right="96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189"/>
        </w:trPr>
        <w:tc>
          <w:tcPr>
            <w:tcW w:w="580" w:type="dxa"/>
            <w:vAlign w:val="bottom"/>
          </w:tcPr>
          <w:p>
            <w:pPr>
              <w:spacing w:after="0"/>
              <w:rPr>
                <w:sz w:val="16"/>
                <w:szCs w:val="16"/>
                <w:color w:val="auto"/>
              </w:rPr>
            </w:pPr>
          </w:p>
        </w:tc>
        <w:tc>
          <w:tcPr>
            <w:tcW w:w="5220" w:type="dxa"/>
            <w:vAlign w:val="bottom"/>
          </w:tcPr>
          <w:p>
            <w:pPr>
              <w:spacing w:after="0"/>
              <w:rPr>
                <w:sz w:val="20"/>
                <w:szCs w:val="20"/>
                <w:color w:val="auto"/>
              </w:rPr>
            </w:pPr>
            <w:r>
              <w:rPr>
                <w:rFonts w:ascii="Arial" w:cs="Arial" w:eastAsia="Arial" w:hAnsi="Arial"/>
                <w:sz w:val="16"/>
                <w:szCs w:val="16"/>
                <w:color w:val="auto"/>
              </w:rPr>
              <w:t>Total</w:t>
            </w:r>
          </w:p>
        </w:tc>
        <w:tc>
          <w:tcPr>
            <w:tcW w:w="234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6"/>
                <w:szCs w:val="16"/>
                <w:color w:val="auto"/>
              </w:rPr>
              <w:t>1,873</w:t>
            </w:r>
          </w:p>
        </w:tc>
        <w:tc>
          <w:tcPr>
            <w:tcW w:w="2160" w:type="dxa"/>
            <w:vAlign w:val="bottom"/>
            <w:tcBorders>
              <w:top w:val="single" w:sz="8" w:color="auto"/>
              <w:bottom w:val="single" w:sz="8" w:color="auto"/>
            </w:tcBorders>
          </w:tcPr>
          <w:p>
            <w:pPr>
              <w:jc w:val="right"/>
              <w:ind w:right="842"/>
              <w:spacing w:after="0"/>
              <w:rPr>
                <w:sz w:val="20"/>
                <w:szCs w:val="20"/>
                <w:color w:val="auto"/>
              </w:rPr>
            </w:pPr>
            <w:r>
              <w:rPr>
                <w:rFonts w:ascii="Arial" w:cs="Arial" w:eastAsia="Arial" w:hAnsi="Arial"/>
                <w:sz w:val="16"/>
                <w:szCs w:val="16"/>
                <w:color w:val="auto"/>
              </w:rPr>
              <w:t>(2,118)</w:t>
            </w:r>
          </w:p>
        </w:tc>
        <w:tc>
          <w:tcPr>
            <w:tcW w:w="60" w:type="dxa"/>
            <w:vAlign w:val="bottom"/>
            <w:tcBorders>
              <w:top w:val="single" w:sz="8" w:color="auto"/>
              <w:bottom w:val="single" w:sz="8" w:color="auto"/>
            </w:tcBorders>
          </w:tcPr>
          <w:p>
            <w:pPr>
              <w:spacing w:after="0"/>
              <w:rPr>
                <w:sz w:val="16"/>
                <w:szCs w:val="16"/>
                <w:color w:val="auto"/>
              </w:rPr>
            </w:pPr>
          </w:p>
        </w:tc>
      </w:tr>
      <w:tr>
        <w:trPr>
          <w:trHeight w:val="506"/>
        </w:trPr>
        <w:tc>
          <w:tcPr>
            <w:tcW w:w="5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340" w:type="dxa"/>
            <w:vAlign w:val="bottom"/>
          </w:tcPr>
          <w:p>
            <w:pPr>
              <w:jc w:val="right"/>
              <w:ind w:right="1701"/>
              <w:spacing w:after="0"/>
              <w:rPr>
                <w:sz w:val="20"/>
                <w:szCs w:val="20"/>
                <w:color w:val="auto"/>
              </w:rPr>
            </w:pPr>
            <w:r>
              <w:rPr>
                <w:rFonts w:ascii="Arial" w:cs="Arial" w:eastAsia="Arial" w:hAnsi="Arial"/>
                <w:sz w:val="16"/>
                <w:szCs w:val="16"/>
                <w:color w:val="auto"/>
              </w:rPr>
              <w:t>70</w:t>
            </w:r>
          </w:p>
        </w:tc>
        <w:tc>
          <w:tcPr>
            <w:tcW w:w="1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32"/>
        </w:trPr>
        <w:tc>
          <w:tcPr>
            <w:tcW w:w="58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589" w:right="13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Cash Flow Information</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Consolidated Statement of Cash Flows provides information about changes in cash and cash equivalents. Highly liquid investments with maturities of three mo less when acquired are classified as cash equivalents.</w:t>
      </w:r>
    </w:p>
    <w:p>
      <w:pPr>
        <w:spacing w:after="0" w:line="27" w:lineRule="exact"/>
        <w:rPr>
          <w:sz w:val="20"/>
          <w:szCs w:val="20"/>
          <w:color w:val="auto"/>
        </w:rPr>
      </w:pPr>
    </w:p>
    <w:p>
      <w:pPr>
        <w:jc w:val="both"/>
        <w:ind w:firstLine="200"/>
        <w:spacing w:after="0" w:line="261" w:lineRule="auto"/>
        <w:rPr>
          <w:sz w:val="20"/>
          <w:szCs w:val="20"/>
          <w:color w:val="auto"/>
        </w:rPr>
      </w:pPr>
      <w:r>
        <w:rPr>
          <w:rFonts w:ascii="Arial" w:cs="Arial" w:eastAsia="Arial" w:hAnsi="Arial"/>
          <w:sz w:val="16"/>
          <w:szCs w:val="16"/>
          <w:color w:val="auto"/>
        </w:rPr>
        <w:t>For 2014, the “Net (gain) on asset sales” on the Consolidated Statement of Cash Flows includes before-tax gains from the sale of Hong Kong power operations, ad proceeds related to the 2013 sale of a partial interest in Iraq, the sale of Downstream affiliates in the Caribbean and the sale or exchange of Upstream properties in t Canada, and Malaysia. For 2013, the amount includes before-tax gains from the sale of a partial interest in Iraq, the sale of Downstream affiliates in the Caribbean and of service stations. For 2012, the amount includes before-tax gains related to the Japan restructuring, the sale of an Upstream property in Angola, exchanges of U properties, the sale of U.S. service stations and the sale of Downstream affiliates in Malaysia and Switzerland. These gains are reported in “Other income” Consolidated Statement of Income.</w:t>
      </w:r>
    </w:p>
    <w:p>
      <w:pPr>
        <w:spacing w:after="0" w:line="49" w:lineRule="exact"/>
        <w:rPr>
          <w:sz w:val="20"/>
          <w:szCs w:val="20"/>
          <w:color w:val="auto"/>
        </w:rPr>
      </w:pPr>
    </w:p>
    <w:p>
      <w:pPr>
        <w:jc w:val="both"/>
        <w:ind w:firstLine="200"/>
        <w:spacing w:after="0" w:line="286" w:lineRule="auto"/>
        <w:rPr>
          <w:sz w:val="20"/>
          <w:szCs w:val="20"/>
          <w:color w:val="auto"/>
        </w:rPr>
      </w:pPr>
      <w:r>
        <w:rPr>
          <w:rFonts w:ascii="Arial" w:cs="Arial" w:eastAsia="Arial" w:hAnsi="Arial"/>
          <w:sz w:val="16"/>
          <w:szCs w:val="16"/>
          <w:color w:val="auto"/>
        </w:rPr>
        <w:t>In 2014, ExxonMobil completed asset exchanges, primarily non-cash transactions, of approximately $1.2 billion. This amount is not included in the “Sales of subsi investments, and property, plant and equipment” or the “Additions to property, plant and equipment” lines on the Statement of Cash Flows.</w:t>
      </w:r>
    </w:p>
    <w:p>
      <w:pPr>
        <w:spacing w:after="0" w:line="27" w:lineRule="exact"/>
        <w:rPr>
          <w:sz w:val="20"/>
          <w:szCs w:val="20"/>
          <w:color w:val="auto"/>
        </w:rPr>
      </w:pPr>
    </w:p>
    <w:p>
      <w:pPr>
        <w:jc w:val="both"/>
        <w:ind w:firstLine="200"/>
        <w:spacing w:after="0" w:line="271" w:lineRule="auto"/>
        <w:rPr>
          <w:sz w:val="20"/>
          <w:szCs w:val="20"/>
          <w:color w:val="auto"/>
        </w:rPr>
      </w:pPr>
      <w:r>
        <w:rPr>
          <w:rFonts w:ascii="Arial" w:cs="Arial" w:eastAsia="Arial" w:hAnsi="Arial"/>
          <w:sz w:val="16"/>
          <w:szCs w:val="16"/>
          <w:color w:val="auto"/>
        </w:rPr>
        <w:t>In 2012, the Corporation’s interest in a cost company was redeemed. As part of the redemption, a variable note due in 2035 issued by Mobil Services (Bahamas) L assigned to a consolidated ExxonMobil affiliate. This note is no longer classified as third party long-term debt. This assignment did not result in a “Reduction in lo debt” on the Statement of Cash Flows.</w:t>
      </w:r>
    </w:p>
    <w:p>
      <w:pPr>
        <w:spacing w:after="0" w:line="38" w:lineRule="exact"/>
        <w:rPr>
          <w:sz w:val="20"/>
          <w:szCs w:val="20"/>
          <w:color w:val="auto"/>
        </w:rPr>
      </w:pPr>
    </w:p>
    <w:p>
      <w:pPr>
        <w:jc w:val="both"/>
        <w:ind w:firstLine="200"/>
        <w:spacing w:after="0" w:line="286" w:lineRule="auto"/>
        <w:rPr>
          <w:sz w:val="20"/>
          <w:szCs w:val="20"/>
          <w:color w:val="auto"/>
        </w:rPr>
      </w:pPr>
      <w:r>
        <w:rPr>
          <w:rFonts w:ascii="Arial" w:cs="Arial" w:eastAsia="Arial" w:hAnsi="Arial"/>
          <w:sz w:val="16"/>
          <w:szCs w:val="16"/>
          <w:color w:val="auto"/>
        </w:rPr>
        <w:t>In 2012, ExxonMobil completed asset exchanges, primarily noncash transactions, of approximately $1 billion. This amount is not included in the “Sales of subsi investments, and property, plant and equipment” or the “Additions to property, plant and equipment” lines on the Statement of Cash Flows.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720" w:type="dxa"/>
            <w:vAlign w:val="bottom"/>
          </w:tcPr>
          <w:p>
            <w:pPr>
              <w:spacing w:after="0"/>
              <w:rPr>
                <w:sz w:val="14"/>
                <w:szCs w:val="14"/>
                <w:color w:val="auto"/>
              </w:rPr>
            </w:pPr>
          </w:p>
        </w:tc>
        <w:tc>
          <w:tcPr>
            <w:tcW w:w="2840" w:type="dxa"/>
            <w:vAlign w:val="bottom"/>
          </w:tcPr>
          <w:p>
            <w:pPr>
              <w:jc w:val="right"/>
              <w:ind w:right="504"/>
              <w:spacing w:after="0"/>
              <w:rPr>
                <w:sz w:val="20"/>
                <w:szCs w:val="20"/>
                <w:color w:val="auto"/>
              </w:rPr>
            </w:pPr>
            <w:r>
              <w:rPr>
                <w:rFonts w:ascii="Arial" w:cs="Arial" w:eastAsia="Arial" w:hAnsi="Arial"/>
                <w:sz w:val="13"/>
                <w:szCs w:val="13"/>
                <w:b w:val="1"/>
                <w:bCs w:val="1"/>
                <w:color w:val="auto"/>
              </w:rPr>
              <w:t>2014</w:t>
            </w:r>
          </w:p>
        </w:tc>
        <w:tc>
          <w:tcPr>
            <w:tcW w:w="2240" w:type="dxa"/>
            <w:vAlign w:val="bottom"/>
            <w:gridSpan w:val="2"/>
          </w:tcPr>
          <w:p>
            <w:pPr>
              <w:jc w:val="center"/>
              <w:ind w:right="385"/>
              <w:spacing w:after="0"/>
              <w:rPr>
                <w:sz w:val="20"/>
                <w:szCs w:val="20"/>
                <w:color w:val="auto"/>
              </w:rPr>
            </w:pPr>
            <w:r>
              <w:rPr>
                <w:rFonts w:ascii="Arial" w:cs="Arial" w:eastAsia="Arial" w:hAnsi="Arial"/>
                <w:sz w:val="13"/>
                <w:szCs w:val="13"/>
                <w:b w:val="1"/>
                <w:bCs w:val="1"/>
                <w:color w:val="auto"/>
                <w:w w:val="89"/>
              </w:rPr>
              <w:t>2013</w:t>
            </w:r>
          </w:p>
        </w:tc>
        <w:tc>
          <w:tcPr>
            <w:tcW w:w="140" w:type="dxa"/>
            <w:vAlign w:val="bottom"/>
          </w:tcPr>
          <w:p>
            <w:pPr>
              <w:spacing w:after="0"/>
              <w:rPr>
                <w:sz w:val="14"/>
                <w:szCs w:val="14"/>
                <w:color w:val="auto"/>
              </w:rPr>
            </w:pPr>
          </w:p>
        </w:tc>
      </w:tr>
      <w:tr>
        <w:trPr>
          <w:trHeight w:val="23"/>
        </w:trPr>
        <w:tc>
          <w:tcPr>
            <w:tcW w:w="57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165"/>
        </w:trPr>
        <w:tc>
          <w:tcPr>
            <w:tcW w:w="57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240" w:type="dxa"/>
            <w:vAlign w:val="bottom"/>
            <w:gridSpan w:val="2"/>
          </w:tcPr>
          <w:p>
            <w:pPr>
              <w:jc w:val="center"/>
              <w:ind w:right="405"/>
              <w:spacing w:after="0"/>
              <w:rPr>
                <w:sz w:val="20"/>
                <w:szCs w:val="20"/>
                <w:color w:val="auto"/>
              </w:rPr>
            </w:pPr>
            <w:r>
              <w:rPr>
                <w:rFonts w:ascii="Arial" w:cs="Arial" w:eastAsia="Arial" w:hAnsi="Arial"/>
                <w:sz w:val="13"/>
                <w:szCs w:val="13"/>
                <w:i w:val="1"/>
                <w:iCs w:val="1"/>
                <w:color w:val="auto"/>
                <w:w w:val="95"/>
              </w:rPr>
              <w:t>(millions of dollars)</w:t>
            </w:r>
          </w:p>
        </w:tc>
        <w:tc>
          <w:tcPr>
            <w:tcW w:w="140" w:type="dxa"/>
            <w:vAlign w:val="bottom"/>
          </w:tcPr>
          <w:p>
            <w:pPr>
              <w:spacing w:after="0"/>
              <w:rPr>
                <w:sz w:val="14"/>
                <w:szCs w:val="14"/>
                <w:color w:val="auto"/>
              </w:rPr>
            </w:pPr>
          </w:p>
        </w:tc>
      </w:tr>
      <w:tr>
        <w:trPr>
          <w:trHeight w:val="414"/>
        </w:trPr>
        <w:tc>
          <w:tcPr>
            <w:tcW w:w="5720" w:type="dxa"/>
            <w:vAlign w:val="bottom"/>
          </w:tcPr>
          <w:p>
            <w:pPr>
              <w:spacing w:after="0"/>
              <w:rPr>
                <w:sz w:val="20"/>
                <w:szCs w:val="20"/>
                <w:color w:val="auto"/>
              </w:rPr>
            </w:pPr>
            <w:r>
              <w:rPr>
                <w:rFonts w:ascii="Arial" w:cs="Arial" w:eastAsia="Arial" w:hAnsi="Arial"/>
                <w:sz w:val="16"/>
                <w:szCs w:val="16"/>
                <w:color w:val="auto"/>
              </w:rPr>
              <w:t>Cash payments for interest</w:t>
            </w:r>
          </w:p>
        </w:tc>
        <w:tc>
          <w:tcPr>
            <w:tcW w:w="2840" w:type="dxa"/>
            <w:vAlign w:val="bottom"/>
          </w:tcPr>
          <w:p>
            <w:pPr>
              <w:jc w:val="right"/>
              <w:ind w:right="284"/>
              <w:spacing w:after="0"/>
              <w:rPr>
                <w:sz w:val="20"/>
                <w:szCs w:val="20"/>
                <w:color w:val="auto"/>
              </w:rPr>
            </w:pPr>
            <w:r>
              <w:rPr>
                <w:rFonts w:ascii="Arial" w:cs="Arial" w:eastAsia="Arial" w:hAnsi="Arial"/>
                <w:sz w:val="16"/>
                <w:szCs w:val="16"/>
                <w:color w:val="auto"/>
              </w:rPr>
              <w:t>380</w:t>
            </w:r>
          </w:p>
        </w:tc>
        <w:tc>
          <w:tcPr>
            <w:tcW w:w="2240" w:type="dxa"/>
            <w:vAlign w:val="bottom"/>
            <w:gridSpan w:val="2"/>
          </w:tcPr>
          <w:p>
            <w:pPr>
              <w:jc w:val="right"/>
              <w:ind w:right="925"/>
              <w:spacing w:after="0"/>
              <w:rPr>
                <w:sz w:val="20"/>
                <w:szCs w:val="20"/>
                <w:color w:val="auto"/>
              </w:rPr>
            </w:pPr>
            <w:r>
              <w:rPr>
                <w:rFonts w:ascii="Arial" w:cs="Arial" w:eastAsia="Arial" w:hAnsi="Arial"/>
                <w:sz w:val="16"/>
                <w:szCs w:val="16"/>
                <w:color w:val="auto"/>
              </w:rPr>
              <w:t>426</w:t>
            </w:r>
          </w:p>
        </w:tc>
        <w:tc>
          <w:tcPr>
            <w:tcW w:w="140" w:type="dxa"/>
            <w:vAlign w:val="bottom"/>
          </w:tcPr>
          <w:p>
            <w:pPr>
              <w:spacing w:after="0"/>
              <w:rPr>
                <w:sz w:val="24"/>
                <w:szCs w:val="24"/>
                <w:color w:val="auto"/>
              </w:rPr>
            </w:pPr>
          </w:p>
        </w:tc>
      </w:tr>
      <w:tr>
        <w:trPr>
          <w:trHeight w:val="392"/>
        </w:trPr>
        <w:tc>
          <w:tcPr>
            <w:tcW w:w="5720" w:type="dxa"/>
            <w:vAlign w:val="bottom"/>
          </w:tcPr>
          <w:p>
            <w:pPr>
              <w:spacing w:after="0"/>
              <w:rPr>
                <w:sz w:val="20"/>
                <w:szCs w:val="20"/>
                <w:color w:val="auto"/>
              </w:rPr>
            </w:pPr>
            <w:r>
              <w:rPr>
                <w:rFonts w:ascii="Arial" w:cs="Arial" w:eastAsia="Arial" w:hAnsi="Arial"/>
                <w:sz w:val="16"/>
                <w:szCs w:val="16"/>
                <w:color w:val="auto"/>
              </w:rPr>
              <w:t>Cash payments for income taxes</w:t>
            </w:r>
          </w:p>
        </w:tc>
        <w:tc>
          <w:tcPr>
            <w:tcW w:w="2840" w:type="dxa"/>
            <w:vAlign w:val="bottom"/>
          </w:tcPr>
          <w:p>
            <w:pPr>
              <w:jc w:val="right"/>
              <w:ind w:right="284"/>
              <w:spacing w:after="0"/>
              <w:rPr>
                <w:sz w:val="20"/>
                <w:szCs w:val="20"/>
                <w:color w:val="auto"/>
              </w:rPr>
            </w:pPr>
            <w:r>
              <w:rPr>
                <w:rFonts w:ascii="Arial" w:cs="Arial" w:eastAsia="Arial" w:hAnsi="Arial"/>
                <w:sz w:val="16"/>
                <w:szCs w:val="16"/>
                <w:color w:val="auto"/>
              </w:rPr>
              <w:t>18,085</w:t>
            </w:r>
          </w:p>
        </w:tc>
        <w:tc>
          <w:tcPr>
            <w:tcW w:w="2240" w:type="dxa"/>
            <w:vAlign w:val="bottom"/>
            <w:gridSpan w:val="2"/>
          </w:tcPr>
          <w:p>
            <w:pPr>
              <w:jc w:val="right"/>
              <w:ind w:right="925"/>
              <w:spacing w:after="0"/>
              <w:rPr>
                <w:sz w:val="20"/>
                <w:szCs w:val="20"/>
                <w:color w:val="auto"/>
              </w:rPr>
            </w:pPr>
            <w:r>
              <w:rPr>
                <w:rFonts w:ascii="Arial" w:cs="Arial" w:eastAsia="Arial" w:hAnsi="Arial"/>
                <w:sz w:val="16"/>
                <w:szCs w:val="16"/>
                <w:color w:val="auto"/>
              </w:rPr>
              <w:t>25,066</w:t>
            </w:r>
          </w:p>
        </w:tc>
        <w:tc>
          <w:tcPr>
            <w:tcW w:w="140" w:type="dxa"/>
            <w:vAlign w:val="bottom"/>
          </w:tcPr>
          <w:p>
            <w:pPr>
              <w:spacing w:after="0"/>
              <w:rPr>
                <w:sz w:val="24"/>
                <w:szCs w:val="24"/>
                <w:color w:val="auto"/>
              </w:rPr>
            </w:pPr>
          </w:p>
        </w:tc>
      </w:tr>
      <w:tr>
        <w:trPr>
          <w:trHeight w:val="588"/>
        </w:trPr>
        <w:tc>
          <w:tcPr>
            <w:tcW w:w="5720" w:type="dxa"/>
            <w:vAlign w:val="bottom"/>
          </w:tcPr>
          <w:p>
            <w:pPr>
              <w:spacing w:after="0"/>
              <w:rPr>
                <w:sz w:val="20"/>
                <w:szCs w:val="20"/>
                <w:color w:val="auto"/>
              </w:rPr>
            </w:pPr>
            <w:r>
              <w:rPr>
                <w:rFonts w:ascii="Arial" w:cs="Arial" w:eastAsia="Arial" w:hAnsi="Arial"/>
                <w:sz w:val="16"/>
                <w:szCs w:val="16"/>
                <w:b w:val="1"/>
                <w:bCs w:val="1"/>
                <w:color w:val="auto"/>
              </w:rPr>
              <w:t>6. Additional Working Capital Information</w:t>
            </w:r>
          </w:p>
        </w:tc>
        <w:tc>
          <w:tcPr>
            <w:tcW w:w="2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74"/>
        </w:trPr>
        <w:tc>
          <w:tcPr>
            <w:tcW w:w="57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60" w:type="dxa"/>
            <w:vAlign w:val="bottom"/>
          </w:tcPr>
          <w:p>
            <w:pPr>
              <w:jc w:val="center"/>
              <w:ind w:right="865"/>
              <w:spacing w:after="0"/>
              <w:rPr>
                <w:sz w:val="20"/>
                <w:szCs w:val="20"/>
                <w:color w:val="auto"/>
              </w:rPr>
            </w:pPr>
            <w:r>
              <w:rPr>
                <w:rFonts w:ascii="Arial" w:cs="Arial" w:eastAsia="Arial" w:hAnsi="Arial"/>
                <w:sz w:val="13"/>
                <w:szCs w:val="13"/>
                <w:b w:val="1"/>
                <w:bCs w:val="1"/>
                <w:color w:val="auto"/>
                <w:w w:val="92"/>
              </w:rPr>
              <w:t>Dec. 31</w:t>
            </w:r>
          </w:p>
        </w:tc>
        <w:tc>
          <w:tcPr>
            <w:tcW w:w="140" w:type="dxa"/>
            <w:vAlign w:val="bottom"/>
          </w:tcPr>
          <w:p>
            <w:pPr>
              <w:ind w:left="40"/>
              <w:spacing w:after="0"/>
              <w:rPr>
                <w:sz w:val="20"/>
                <w:szCs w:val="20"/>
                <w:color w:val="auto"/>
              </w:rPr>
            </w:pPr>
            <w:r>
              <w:rPr>
                <w:rFonts w:ascii="Arial" w:cs="Arial" w:eastAsia="Arial" w:hAnsi="Arial"/>
                <w:sz w:val="13"/>
                <w:szCs w:val="13"/>
                <w:b w:val="1"/>
                <w:bCs w:val="1"/>
                <w:color w:val="auto"/>
                <w:w w:val="84"/>
              </w:rPr>
              <w:t>D</w:t>
            </w:r>
          </w:p>
        </w:tc>
      </w:tr>
      <w:tr>
        <w:trPr>
          <w:trHeight w:val="196"/>
        </w:trPr>
        <w:tc>
          <w:tcPr>
            <w:tcW w:w="57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40" w:type="dxa"/>
            <w:vAlign w:val="bottom"/>
            <w:gridSpan w:val="2"/>
          </w:tcPr>
          <w:p>
            <w:pPr>
              <w:jc w:val="center"/>
              <w:ind w:right="385"/>
              <w:spacing w:after="0"/>
              <w:rPr>
                <w:sz w:val="20"/>
                <w:szCs w:val="20"/>
                <w:color w:val="auto"/>
              </w:rPr>
            </w:pPr>
            <w:r>
              <w:rPr>
                <w:rFonts w:ascii="Arial" w:cs="Arial" w:eastAsia="Arial" w:hAnsi="Arial"/>
                <w:sz w:val="13"/>
                <w:szCs w:val="13"/>
                <w:b w:val="1"/>
                <w:bCs w:val="1"/>
                <w:color w:val="auto"/>
                <w:w w:val="89"/>
              </w:rPr>
              <w:t>2014</w:t>
            </w:r>
          </w:p>
        </w:tc>
        <w:tc>
          <w:tcPr>
            <w:tcW w:w="140" w:type="dxa"/>
            <w:vAlign w:val="bottom"/>
          </w:tcPr>
          <w:p>
            <w:pPr>
              <w:spacing w:after="0"/>
              <w:rPr>
                <w:sz w:val="17"/>
                <w:szCs w:val="17"/>
                <w:color w:val="auto"/>
              </w:rPr>
            </w:pPr>
          </w:p>
        </w:tc>
      </w:tr>
      <w:tr>
        <w:trPr>
          <w:trHeight w:val="23"/>
        </w:trPr>
        <w:tc>
          <w:tcPr>
            <w:tcW w:w="57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165"/>
        </w:trPr>
        <w:tc>
          <w:tcPr>
            <w:tcW w:w="57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3"/>
                <w:szCs w:val="13"/>
                <w:i w:val="1"/>
                <w:iCs w:val="1"/>
                <w:color w:val="auto"/>
              </w:rPr>
              <w:t>(millions of dollars)</w:t>
            </w:r>
          </w:p>
        </w:tc>
        <w:tc>
          <w:tcPr>
            <w:tcW w:w="140" w:type="dxa"/>
            <w:vAlign w:val="bottom"/>
          </w:tcPr>
          <w:p>
            <w:pPr>
              <w:spacing w:after="0"/>
              <w:rPr>
                <w:sz w:val="14"/>
                <w:szCs w:val="14"/>
                <w:color w:val="auto"/>
              </w:rPr>
            </w:pPr>
          </w:p>
        </w:tc>
      </w:tr>
      <w:tr>
        <w:trPr>
          <w:trHeight w:val="207"/>
        </w:trPr>
        <w:tc>
          <w:tcPr>
            <w:tcW w:w="5720" w:type="dxa"/>
            <w:vAlign w:val="bottom"/>
          </w:tcPr>
          <w:p>
            <w:pPr>
              <w:spacing w:after="0"/>
              <w:rPr>
                <w:sz w:val="20"/>
                <w:szCs w:val="20"/>
                <w:color w:val="auto"/>
              </w:rPr>
            </w:pPr>
            <w:r>
              <w:rPr>
                <w:rFonts w:ascii="Arial" w:cs="Arial" w:eastAsia="Arial" w:hAnsi="Arial"/>
                <w:sz w:val="16"/>
                <w:szCs w:val="16"/>
                <w:color w:val="auto"/>
              </w:rPr>
              <w:t>Notes and accounts receivable</w:t>
            </w:r>
          </w:p>
        </w:tc>
        <w:tc>
          <w:tcPr>
            <w:tcW w:w="2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5720" w:type="dxa"/>
            <w:vAlign w:val="bottom"/>
          </w:tcPr>
          <w:p>
            <w:pPr>
              <w:ind w:left="240"/>
              <w:spacing w:after="0"/>
              <w:rPr>
                <w:sz w:val="20"/>
                <w:szCs w:val="20"/>
                <w:color w:val="auto"/>
              </w:rPr>
            </w:pPr>
            <w:r>
              <w:rPr>
                <w:rFonts w:ascii="Arial" w:cs="Arial" w:eastAsia="Arial" w:hAnsi="Arial"/>
                <w:sz w:val="16"/>
                <w:szCs w:val="16"/>
                <w:color w:val="auto"/>
              </w:rPr>
              <w:t>Trade, less reserves of $113 million and $112 million</w:t>
            </w:r>
          </w:p>
        </w:tc>
        <w:tc>
          <w:tcPr>
            <w:tcW w:w="2840" w:type="dxa"/>
            <w:vAlign w:val="bottom"/>
          </w:tcPr>
          <w:p>
            <w:pPr>
              <w:spacing w:after="0"/>
              <w:rPr>
                <w:sz w:val="17"/>
                <w:szCs w:val="17"/>
                <w:color w:val="auto"/>
              </w:rPr>
            </w:pPr>
          </w:p>
        </w:tc>
        <w:tc>
          <w:tcPr>
            <w:tcW w:w="2240" w:type="dxa"/>
            <w:vAlign w:val="bottom"/>
            <w:gridSpan w:val="2"/>
          </w:tcPr>
          <w:p>
            <w:pPr>
              <w:jc w:val="right"/>
              <w:ind w:right="925"/>
              <w:spacing w:after="0"/>
              <w:rPr>
                <w:sz w:val="20"/>
                <w:szCs w:val="20"/>
                <w:color w:val="auto"/>
              </w:rPr>
            </w:pPr>
            <w:r>
              <w:rPr>
                <w:rFonts w:ascii="Arial" w:cs="Arial" w:eastAsia="Arial" w:hAnsi="Arial"/>
                <w:sz w:val="16"/>
                <w:szCs w:val="16"/>
                <w:color w:val="auto"/>
              </w:rPr>
              <w:t>18,541</w:t>
            </w:r>
          </w:p>
        </w:tc>
        <w:tc>
          <w:tcPr>
            <w:tcW w:w="140" w:type="dxa"/>
            <w:vAlign w:val="bottom"/>
          </w:tcPr>
          <w:p>
            <w:pPr>
              <w:spacing w:after="0"/>
              <w:rPr>
                <w:sz w:val="17"/>
                <w:szCs w:val="17"/>
                <w:color w:val="auto"/>
              </w:rPr>
            </w:pPr>
          </w:p>
        </w:tc>
      </w:tr>
      <w:tr>
        <w:trPr>
          <w:trHeight w:val="208"/>
        </w:trPr>
        <w:tc>
          <w:tcPr>
            <w:tcW w:w="5720" w:type="dxa"/>
            <w:vAlign w:val="bottom"/>
          </w:tcPr>
          <w:p>
            <w:pPr>
              <w:ind w:left="240"/>
              <w:spacing w:after="0"/>
              <w:rPr>
                <w:sz w:val="20"/>
                <w:szCs w:val="20"/>
                <w:color w:val="auto"/>
              </w:rPr>
            </w:pPr>
            <w:r>
              <w:rPr>
                <w:rFonts w:ascii="Arial" w:cs="Arial" w:eastAsia="Arial" w:hAnsi="Arial"/>
                <w:sz w:val="16"/>
                <w:szCs w:val="16"/>
                <w:color w:val="auto"/>
              </w:rPr>
              <w:t>Other, less reserves of $48 million and $28 million</w:t>
            </w:r>
          </w:p>
        </w:tc>
        <w:tc>
          <w:tcPr>
            <w:tcW w:w="2840" w:type="dxa"/>
            <w:vAlign w:val="bottom"/>
          </w:tcPr>
          <w:p>
            <w:pPr>
              <w:spacing w:after="0"/>
              <w:rPr>
                <w:sz w:val="18"/>
                <w:szCs w:val="18"/>
                <w:color w:val="auto"/>
              </w:rPr>
            </w:pPr>
          </w:p>
        </w:tc>
        <w:tc>
          <w:tcPr>
            <w:tcW w:w="2240" w:type="dxa"/>
            <w:vAlign w:val="bottom"/>
            <w:gridSpan w:val="2"/>
          </w:tcPr>
          <w:p>
            <w:pPr>
              <w:jc w:val="right"/>
              <w:ind w:right="925"/>
              <w:spacing w:after="0"/>
              <w:rPr>
                <w:sz w:val="20"/>
                <w:szCs w:val="20"/>
                <w:color w:val="auto"/>
              </w:rPr>
            </w:pPr>
            <w:r>
              <w:rPr>
                <w:rFonts w:ascii="Arial" w:cs="Arial" w:eastAsia="Arial" w:hAnsi="Arial"/>
                <w:sz w:val="16"/>
                <w:szCs w:val="16"/>
                <w:color w:val="auto"/>
              </w:rPr>
              <w:t>9,468</w:t>
            </w:r>
          </w:p>
        </w:tc>
        <w:tc>
          <w:tcPr>
            <w:tcW w:w="140" w:type="dxa"/>
            <w:vAlign w:val="bottom"/>
          </w:tcPr>
          <w:p>
            <w:pPr>
              <w:spacing w:after="0"/>
              <w:rPr>
                <w:sz w:val="18"/>
                <w:szCs w:val="18"/>
                <w:color w:val="auto"/>
              </w:rPr>
            </w:pPr>
          </w:p>
        </w:tc>
      </w:tr>
      <w:tr>
        <w:trPr>
          <w:trHeight w:val="189"/>
        </w:trPr>
        <w:tc>
          <w:tcPr>
            <w:tcW w:w="5720" w:type="dxa"/>
            <w:vAlign w:val="bottom"/>
          </w:tcPr>
          <w:p>
            <w:pPr>
              <w:ind w:left="480"/>
              <w:spacing w:after="0"/>
              <w:rPr>
                <w:sz w:val="20"/>
                <w:szCs w:val="20"/>
                <w:color w:val="auto"/>
              </w:rPr>
            </w:pPr>
            <w:r>
              <w:rPr>
                <w:rFonts w:ascii="Arial" w:cs="Arial" w:eastAsia="Arial" w:hAnsi="Arial"/>
                <w:sz w:val="16"/>
                <w:szCs w:val="16"/>
                <w:color w:val="auto"/>
              </w:rPr>
              <w:t>Total</w:t>
            </w:r>
          </w:p>
        </w:tc>
        <w:tc>
          <w:tcPr>
            <w:tcW w:w="2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60" w:type="dxa"/>
            <w:vAlign w:val="bottom"/>
            <w:tcBorders>
              <w:top w:val="single" w:sz="8" w:color="auto"/>
              <w:bottom w:val="single" w:sz="8" w:color="auto"/>
            </w:tcBorders>
          </w:tcPr>
          <w:p>
            <w:pPr>
              <w:jc w:val="right"/>
              <w:ind w:right="925"/>
              <w:spacing w:after="0"/>
              <w:rPr>
                <w:sz w:val="20"/>
                <w:szCs w:val="20"/>
                <w:color w:val="auto"/>
              </w:rPr>
            </w:pPr>
            <w:r>
              <w:rPr>
                <w:rFonts w:ascii="Arial" w:cs="Arial" w:eastAsia="Arial" w:hAnsi="Arial"/>
                <w:sz w:val="16"/>
                <w:szCs w:val="16"/>
                <w:color w:val="auto"/>
              </w:rPr>
              <w:t>28,009</w:t>
            </w:r>
          </w:p>
        </w:tc>
        <w:tc>
          <w:tcPr>
            <w:tcW w:w="140" w:type="dxa"/>
            <w:vAlign w:val="bottom"/>
            <w:tcBorders>
              <w:top w:val="single" w:sz="8" w:color="auto"/>
              <w:bottom w:val="single" w:sz="8" w:color="auto"/>
            </w:tcBorders>
          </w:tcPr>
          <w:p>
            <w:pPr>
              <w:spacing w:after="0"/>
              <w:rPr>
                <w:sz w:val="16"/>
                <w:szCs w:val="16"/>
                <w:color w:val="auto"/>
              </w:rPr>
            </w:pPr>
          </w:p>
        </w:tc>
      </w:tr>
      <w:tr>
        <w:trPr>
          <w:trHeight w:val="372"/>
        </w:trPr>
        <w:tc>
          <w:tcPr>
            <w:tcW w:w="5720" w:type="dxa"/>
            <w:vAlign w:val="bottom"/>
          </w:tcPr>
          <w:p>
            <w:pPr>
              <w:spacing w:after="0"/>
              <w:rPr>
                <w:sz w:val="20"/>
                <w:szCs w:val="20"/>
                <w:color w:val="auto"/>
              </w:rPr>
            </w:pPr>
            <w:r>
              <w:rPr>
                <w:rFonts w:ascii="Arial" w:cs="Arial" w:eastAsia="Arial" w:hAnsi="Arial"/>
                <w:sz w:val="16"/>
                <w:szCs w:val="16"/>
                <w:color w:val="auto"/>
              </w:rPr>
              <w:t>Notes and loans payable</w:t>
            </w:r>
          </w:p>
        </w:tc>
        <w:tc>
          <w:tcPr>
            <w:tcW w:w="2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6"/>
        </w:trPr>
        <w:tc>
          <w:tcPr>
            <w:tcW w:w="5720" w:type="dxa"/>
            <w:vAlign w:val="bottom"/>
          </w:tcPr>
          <w:p>
            <w:pPr>
              <w:ind w:left="240"/>
              <w:spacing w:after="0"/>
              <w:rPr>
                <w:sz w:val="20"/>
                <w:szCs w:val="20"/>
                <w:color w:val="auto"/>
              </w:rPr>
            </w:pPr>
            <w:r>
              <w:rPr>
                <w:rFonts w:ascii="Arial" w:cs="Arial" w:eastAsia="Arial" w:hAnsi="Arial"/>
                <w:sz w:val="16"/>
                <w:szCs w:val="16"/>
                <w:color w:val="auto"/>
              </w:rPr>
              <w:t>Bank loans</w:t>
            </w:r>
          </w:p>
        </w:tc>
        <w:tc>
          <w:tcPr>
            <w:tcW w:w="2840" w:type="dxa"/>
            <w:vAlign w:val="bottom"/>
          </w:tcPr>
          <w:p>
            <w:pPr>
              <w:spacing w:after="0"/>
              <w:rPr>
                <w:sz w:val="17"/>
                <w:szCs w:val="17"/>
                <w:color w:val="auto"/>
              </w:rPr>
            </w:pPr>
          </w:p>
        </w:tc>
        <w:tc>
          <w:tcPr>
            <w:tcW w:w="2240" w:type="dxa"/>
            <w:vAlign w:val="bottom"/>
            <w:gridSpan w:val="2"/>
          </w:tcPr>
          <w:p>
            <w:pPr>
              <w:jc w:val="right"/>
              <w:ind w:right="925"/>
              <w:spacing w:after="0"/>
              <w:rPr>
                <w:sz w:val="20"/>
                <w:szCs w:val="20"/>
                <w:color w:val="auto"/>
              </w:rPr>
            </w:pPr>
            <w:r>
              <w:rPr>
                <w:rFonts w:ascii="Arial" w:cs="Arial" w:eastAsia="Arial" w:hAnsi="Arial"/>
                <w:sz w:val="16"/>
                <w:szCs w:val="16"/>
                <w:color w:val="auto"/>
              </w:rPr>
              <w:t>473</w:t>
            </w:r>
          </w:p>
        </w:tc>
        <w:tc>
          <w:tcPr>
            <w:tcW w:w="140" w:type="dxa"/>
            <w:vAlign w:val="bottom"/>
          </w:tcPr>
          <w:p>
            <w:pPr>
              <w:spacing w:after="0"/>
              <w:rPr>
                <w:sz w:val="17"/>
                <w:szCs w:val="17"/>
                <w:color w:val="auto"/>
              </w:rPr>
            </w:pPr>
          </w:p>
        </w:tc>
      </w:tr>
      <w:tr>
        <w:trPr>
          <w:trHeight w:val="196"/>
        </w:trPr>
        <w:tc>
          <w:tcPr>
            <w:tcW w:w="5720" w:type="dxa"/>
            <w:vAlign w:val="bottom"/>
          </w:tcPr>
          <w:p>
            <w:pPr>
              <w:ind w:left="240"/>
              <w:spacing w:after="0"/>
              <w:rPr>
                <w:sz w:val="20"/>
                <w:szCs w:val="20"/>
                <w:color w:val="auto"/>
              </w:rPr>
            </w:pPr>
            <w:r>
              <w:rPr>
                <w:rFonts w:ascii="Arial" w:cs="Arial" w:eastAsia="Arial" w:hAnsi="Arial"/>
                <w:sz w:val="16"/>
                <w:szCs w:val="16"/>
                <w:color w:val="auto"/>
              </w:rPr>
              <w:t>Commercial paper</w:t>
            </w:r>
          </w:p>
        </w:tc>
        <w:tc>
          <w:tcPr>
            <w:tcW w:w="2840" w:type="dxa"/>
            <w:vAlign w:val="bottom"/>
          </w:tcPr>
          <w:p>
            <w:pPr>
              <w:spacing w:after="0"/>
              <w:rPr>
                <w:sz w:val="17"/>
                <w:szCs w:val="17"/>
                <w:color w:val="auto"/>
              </w:rPr>
            </w:pPr>
          </w:p>
        </w:tc>
        <w:tc>
          <w:tcPr>
            <w:tcW w:w="2240" w:type="dxa"/>
            <w:vAlign w:val="bottom"/>
            <w:gridSpan w:val="2"/>
          </w:tcPr>
          <w:p>
            <w:pPr>
              <w:jc w:val="right"/>
              <w:ind w:right="925"/>
              <w:spacing w:after="0"/>
              <w:rPr>
                <w:sz w:val="20"/>
                <w:szCs w:val="20"/>
                <w:color w:val="auto"/>
              </w:rPr>
            </w:pPr>
            <w:r>
              <w:rPr>
                <w:rFonts w:ascii="Arial" w:cs="Arial" w:eastAsia="Arial" w:hAnsi="Arial"/>
                <w:sz w:val="16"/>
                <w:szCs w:val="16"/>
                <w:color w:val="auto"/>
              </w:rPr>
              <w:t>16,225</w:t>
            </w:r>
          </w:p>
        </w:tc>
        <w:tc>
          <w:tcPr>
            <w:tcW w:w="140" w:type="dxa"/>
            <w:vAlign w:val="bottom"/>
          </w:tcPr>
          <w:p>
            <w:pPr>
              <w:spacing w:after="0"/>
              <w:rPr>
                <w:sz w:val="17"/>
                <w:szCs w:val="17"/>
                <w:color w:val="auto"/>
              </w:rPr>
            </w:pPr>
          </w:p>
        </w:tc>
      </w:tr>
      <w:tr>
        <w:trPr>
          <w:trHeight w:val="208"/>
        </w:trPr>
        <w:tc>
          <w:tcPr>
            <w:tcW w:w="5720" w:type="dxa"/>
            <w:vAlign w:val="bottom"/>
          </w:tcPr>
          <w:p>
            <w:pPr>
              <w:ind w:left="240"/>
              <w:spacing w:after="0"/>
              <w:rPr>
                <w:sz w:val="20"/>
                <w:szCs w:val="20"/>
                <w:color w:val="auto"/>
              </w:rPr>
            </w:pPr>
            <w:r>
              <w:rPr>
                <w:rFonts w:ascii="Arial" w:cs="Arial" w:eastAsia="Arial" w:hAnsi="Arial"/>
                <w:sz w:val="16"/>
                <w:szCs w:val="16"/>
                <w:color w:val="auto"/>
              </w:rPr>
              <w:t>Long-term debt due within one year</w:t>
            </w:r>
          </w:p>
        </w:tc>
        <w:tc>
          <w:tcPr>
            <w:tcW w:w="2840" w:type="dxa"/>
            <w:vAlign w:val="bottom"/>
          </w:tcPr>
          <w:p>
            <w:pPr>
              <w:spacing w:after="0"/>
              <w:rPr>
                <w:sz w:val="18"/>
                <w:szCs w:val="18"/>
                <w:color w:val="auto"/>
              </w:rPr>
            </w:pPr>
          </w:p>
        </w:tc>
        <w:tc>
          <w:tcPr>
            <w:tcW w:w="2240" w:type="dxa"/>
            <w:vAlign w:val="bottom"/>
            <w:gridSpan w:val="2"/>
          </w:tcPr>
          <w:p>
            <w:pPr>
              <w:jc w:val="right"/>
              <w:ind w:right="925"/>
              <w:spacing w:after="0"/>
              <w:rPr>
                <w:sz w:val="20"/>
                <w:szCs w:val="20"/>
                <w:color w:val="auto"/>
              </w:rPr>
            </w:pPr>
            <w:r>
              <w:rPr>
                <w:rFonts w:ascii="Arial" w:cs="Arial" w:eastAsia="Arial" w:hAnsi="Arial"/>
                <w:sz w:val="16"/>
                <w:szCs w:val="16"/>
                <w:color w:val="auto"/>
              </w:rPr>
              <w:t>770</w:t>
            </w:r>
          </w:p>
        </w:tc>
        <w:tc>
          <w:tcPr>
            <w:tcW w:w="140" w:type="dxa"/>
            <w:vAlign w:val="bottom"/>
          </w:tcPr>
          <w:p>
            <w:pPr>
              <w:spacing w:after="0"/>
              <w:rPr>
                <w:sz w:val="18"/>
                <w:szCs w:val="18"/>
                <w:color w:val="auto"/>
              </w:rPr>
            </w:pPr>
          </w:p>
        </w:tc>
      </w:tr>
      <w:tr>
        <w:trPr>
          <w:trHeight w:val="189"/>
        </w:trPr>
        <w:tc>
          <w:tcPr>
            <w:tcW w:w="5720" w:type="dxa"/>
            <w:vAlign w:val="bottom"/>
          </w:tcPr>
          <w:p>
            <w:pPr>
              <w:ind w:left="480"/>
              <w:spacing w:after="0"/>
              <w:rPr>
                <w:sz w:val="20"/>
                <w:szCs w:val="20"/>
                <w:color w:val="auto"/>
              </w:rPr>
            </w:pPr>
            <w:r>
              <w:rPr>
                <w:rFonts w:ascii="Arial" w:cs="Arial" w:eastAsia="Arial" w:hAnsi="Arial"/>
                <w:sz w:val="16"/>
                <w:szCs w:val="16"/>
                <w:color w:val="auto"/>
              </w:rPr>
              <w:t>Total</w:t>
            </w:r>
          </w:p>
        </w:tc>
        <w:tc>
          <w:tcPr>
            <w:tcW w:w="2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60" w:type="dxa"/>
            <w:vAlign w:val="bottom"/>
            <w:tcBorders>
              <w:top w:val="single" w:sz="8" w:color="auto"/>
              <w:bottom w:val="single" w:sz="8" w:color="auto"/>
            </w:tcBorders>
          </w:tcPr>
          <w:p>
            <w:pPr>
              <w:jc w:val="right"/>
              <w:ind w:right="925"/>
              <w:spacing w:after="0"/>
              <w:rPr>
                <w:sz w:val="20"/>
                <w:szCs w:val="20"/>
                <w:color w:val="auto"/>
              </w:rPr>
            </w:pPr>
            <w:r>
              <w:rPr>
                <w:rFonts w:ascii="Arial" w:cs="Arial" w:eastAsia="Arial" w:hAnsi="Arial"/>
                <w:sz w:val="16"/>
                <w:szCs w:val="16"/>
                <w:color w:val="auto"/>
              </w:rPr>
              <w:t>17,468</w:t>
            </w:r>
          </w:p>
        </w:tc>
        <w:tc>
          <w:tcPr>
            <w:tcW w:w="140" w:type="dxa"/>
            <w:vAlign w:val="bottom"/>
            <w:tcBorders>
              <w:top w:val="single" w:sz="8" w:color="auto"/>
              <w:bottom w:val="single" w:sz="8" w:color="auto"/>
            </w:tcBorders>
          </w:tcPr>
          <w:p>
            <w:pPr>
              <w:spacing w:after="0"/>
              <w:rPr>
                <w:sz w:val="16"/>
                <w:szCs w:val="16"/>
                <w:color w:val="auto"/>
              </w:rPr>
            </w:pPr>
          </w:p>
        </w:tc>
      </w:tr>
      <w:tr>
        <w:trPr>
          <w:trHeight w:val="372"/>
        </w:trPr>
        <w:tc>
          <w:tcPr>
            <w:tcW w:w="5720" w:type="dxa"/>
            <w:vAlign w:val="bottom"/>
          </w:tcPr>
          <w:p>
            <w:pPr>
              <w:spacing w:after="0"/>
              <w:rPr>
                <w:sz w:val="20"/>
                <w:szCs w:val="20"/>
                <w:color w:val="auto"/>
              </w:rPr>
            </w:pPr>
            <w:r>
              <w:rPr>
                <w:rFonts w:ascii="Arial" w:cs="Arial" w:eastAsia="Arial" w:hAnsi="Arial"/>
                <w:sz w:val="16"/>
                <w:szCs w:val="16"/>
                <w:color w:val="auto"/>
              </w:rPr>
              <w:t>Accounts payable and accrued liabilities</w:t>
            </w:r>
          </w:p>
        </w:tc>
        <w:tc>
          <w:tcPr>
            <w:tcW w:w="2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6"/>
        </w:trPr>
        <w:tc>
          <w:tcPr>
            <w:tcW w:w="5720" w:type="dxa"/>
            <w:vAlign w:val="bottom"/>
          </w:tcPr>
          <w:p>
            <w:pPr>
              <w:ind w:left="240"/>
              <w:spacing w:after="0"/>
              <w:rPr>
                <w:sz w:val="20"/>
                <w:szCs w:val="20"/>
                <w:color w:val="auto"/>
              </w:rPr>
            </w:pPr>
            <w:r>
              <w:rPr>
                <w:rFonts w:ascii="Arial" w:cs="Arial" w:eastAsia="Arial" w:hAnsi="Arial"/>
                <w:sz w:val="16"/>
                <w:szCs w:val="16"/>
                <w:color w:val="auto"/>
              </w:rPr>
              <w:t>Trade payables</w:t>
            </w:r>
          </w:p>
        </w:tc>
        <w:tc>
          <w:tcPr>
            <w:tcW w:w="2840" w:type="dxa"/>
            <w:vAlign w:val="bottom"/>
          </w:tcPr>
          <w:p>
            <w:pPr>
              <w:spacing w:after="0"/>
              <w:rPr>
                <w:sz w:val="17"/>
                <w:szCs w:val="17"/>
                <w:color w:val="auto"/>
              </w:rPr>
            </w:pPr>
          </w:p>
        </w:tc>
        <w:tc>
          <w:tcPr>
            <w:tcW w:w="2240" w:type="dxa"/>
            <w:vAlign w:val="bottom"/>
            <w:gridSpan w:val="2"/>
          </w:tcPr>
          <w:p>
            <w:pPr>
              <w:jc w:val="right"/>
              <w:ind w:right="925"/>
              <w:spacing w:after="0"/>
              <w:rPr>
                <w:sz w:val="20"/>
                <w:szCs w:val="20"/>
                <w:color w:val="auto"/>
              </w:rPr>
            </w:pPr>
            <w:r>
              <w:rPr>
                <w:rFonts w:ascii="Arial" w:cs="Arial" w:eastAsia="Arial" w:hAnsi="Arial"/>
                <w:sz w:val="16"/>
                <w:szCs w:val="16"/>
                <w:color w:val="auto"/>
              </w:rPr>
              <w:t>25,286</w:t>
            </w:r>
          </w:p>
        </w:tc>
        <w:tc>
          <w:tcPr>
            <w:tcW w:w="140" w:type="dxa"/>
            <w:vAlign w:val="bottom"/>
          </w:tcPr>
          <w:p>
            <w:pPr>
              <w:spacing w:after="0"/>
              <w:rPr>
                <w:sz w:val="17"/>
                <w:szCs w:val="17"/>
                <w:color w:val="auto"/>
              </w:rPr>
            </w:pPr>
          </w:p>
        </w:tc>
      </w:tr>
      <w:tr>
        <w:trPr>
          <w:trHeight w:val="196"/>
        </w:trPr>
        <w:tc>
          <w:tcPr>
            <w:tcW w:w="5720" w:type="dxa"/>
            <w:vAlign w:val="bottom"/>
          </w:tcPr>
          <w:p>
            <w:pPr>
              <w:ind w:left="240"/>
              <w:spacing w:after="0"/>
              <w:rPr>
                <w:sz w:val="20"/>
                <w:szCs w:val="20"/>
                <w:color w:val="auto"/>
              </w:rPr>
            </w:pPr>
            <w:r>
              <w:rPr>
                <w:rFonts w:ascii="Arial" w:cs="Arial" w:eastAsia="Arial" w:hAnsi="Arial"/>
                <w:sz w:val="16"/>
                <w:szCs w:val="16"/>
                <w:color w:val="auto"/>
              </w:rPr>
              <w:t>Payables to equity companies</w:t>
            </w:r>
          </w:p>
        </w:tc>
        <w:tc>
          <w:tcPr>
            <w:tcW w:w="2840" w:type="dxa"/>
            <w:vAlign w:val="bottom"/>
          </w:tcPr>
          <w:p>
            <w:pPr>
              <w:spacing w:after="0"/>
              <w:rPr>
                <w:sz w:val="17"/>
                <w:szCs w:val="17"/>
                <w:color w:val="auto"/>
              </w:rPr>
            </w:pPr>
          </w:p>
        </w:tc>
        <w:tc>
          <w:tcPr>
            <w:tcW w:w="2240" w:type="dxa"/>
            <w:vAlign w:val="bottom"/>
            <w:gridSpan w:val="2"/>
          </w:tcPr>
          <w:p>
            <w:pPr>
              <w:jc w:val="right"/>
              <w:ind w:right="925"/>
              <w:spacing w:after="0"/>
              <w:rPr>
                <w:sz w:val="20"/>
                <w:szCs w:val="20"/>
                <w:color w:val="auto"/>
              </w:rPr>
            </w:pPr>
            <w:r>
              <w:rPr>
                <w:rFonts w:ascii="Arial" w:cs="Arial" w:eastAsia="Arial" w:hAnsi="Arial"/>
                <w:sz w:val="16"/>
                <w:szCs w:val="16"/>
                <w:color w:val="auto"/>
              </w:rPr>
              <w:t>6,589</w:t>
            </w:r>
          </w:p>
        </w:tc>
        <w:tc>
          <w:tcPr>
            <w:tcW w:w="140" w:type="dxa"/>
            <w:vAlign w:val="bottom"/>
          </w:tcPr>
          <w:p>
            <w:pPr>
              <w:spacing w:after="0"/>
              <w:rPr>
                <w:sz w:val="17"/>
                <w:szCs w:val="17"/>
                <w:color w:val="auto"/>
              </w:rPr>
            </w:pPr>
          </w:p>
        </w:tc>
      </w:tr>
      <w:tr>
        <w:trPr>
          <w:trHeight w:val="196"/>
        </w:trPr>
        <w:tc>
          <w:tcPr>
            <w:tcW w:w="5720" w:type="dxa"/>
            <w:vAlign w:val="bottom"/>
          </w:tcPr>
          <w:p>
            <w:pPr>
              <w:ind w:left="240"/>
              <w:spacing w:after="0"/>
              <w:rPr>
                <w:sz w:val="20"/>
                <w:szCs w:val="20"/>
                <w:color w:val="auto"/>
              </w:rPr>
            </w:pPr>
            <w:r>
              <w:rPr>
                <w:rFonts w:ascii="Arial" w:cs="Arial" w:eastAsia="Arial" w:hAnsi="Arial"/>
                <w:sz w:val="16"/>
                <w:szCs w:val="16"/>
                <w:color w:val="auto"/>
              </w:rPr>
              <w:t>Accrued taxes other than income taxes</w:t>
            </w:r>
          </w:p>
        </w:tc>
        <w:tc>
          <w:tcPr>
            <w:tcW w:w="2840" w:type="dxa"/>
            <w:vAlign w:val="bottom"/>
          </w:tcPr>
          <w:p>
            <w:pPr>
              <w:spacing w:after="0"/>
              <w:rPr>
                <w:sz w:val="17"/>
                <w:szCs w:val="17"/>
                <w:color w:val="auto"/>
              </w:rPr>
            </w:pPr>
          </w:p>
        </w:tc>
        <w:tc>
          <w:tcPr>
            <w:tcW w:w="2240" w:type="dxa"/>
            <w:vAlign w:val="bottom"/>
            <w:gridSpan w:val="2"/>
          </w:tcPr>
          <w:p>
            <w:pPr>
              <w:jc w:val="right"/>
              <w:ind w:right="925"/>
              <w:spacing w:after="0"/>
              <w:rPr>
                <w:sz w:val="20"/>
                <w:szCs w:val="20"/>
                <w:color w:val="auto"/>
              </w:rPr>
            </w:pPr>
            <w:r>
              <w:rPr>
                <w:rFonts w:ascii="Arial" w:cs="Arial" w:eastAsia="Arial" w:hAnsi="Arial"/>
                <w:sz w:val="16"/>
                <w:szCs w:val="16"/>
                <w:color w:val="auto"/>
              </w:rPr>
              <w:t>3,290</w:t>
            </w:r>
          </w:p>
        </w:tc>
        <w:tc>
          <w:tcPr>
            <w:tcW w:w="140" w:type="dxa"/>
            <w:vAlign w:val="bottom"/>
          </w:tcPr>
          <w:p>
            <w:pPr>
              <w:spacing w:after="0"/>
              <w:rPr>
                <w:sz w:val="17"/>
                <w:szCs w:val="17"/>
                <w:color w:val="auto"/>
              </w:rPr>
            </w:pPr>
          </w:p>
        </w:tc>
      </w:tr>
      <w:tr>
        <w:trPr>
          <w:trHeight w:val="208"/>
        </w:trPr>
        <w:tc>
          <w:tcPr>
            <w:tcW w:w="5720" w:type="dxa"/>
            <w:vAlign w:val="bottom"/>
          </w:tcPr>
          <w:p>
            <w:pPr>
              <w:ind w:left="240"/>
              <w:spacing w:after="0"/>
              <w:rPr>
                <w:sz w:val="20"/>
                <w:szCs w:val="20"/>
                <w:color w:val="auto"/>
              </w:rPr>
            </w:pPr>
            <w:r>
              <w:rPr>
                <w:rFonts w:ascii="Arial" w:cs="Arial" w:eastAsia="Arial" w:hAnsi="Arial"/>
                <w:sz w:val="16"/>
                <w:szCs w:val="16"/>
                <w:color w:val="auto"/>
              </w:rPr>
              <w:t>Other</w:t>
            </w:r>
          </w:p>
        </w:tc>
        <w:tc>
          <w:tcPr>
            <w:tcW w:w="2840" w:type="dxa"/>
            <w:vAlign w:val="bottom"/>
          </w:tcPr>
          <w:p>
            <w:pPr>
              <w:spacing w:after="0"/>
              <w:rPr>
                <w:sz w:val="18"/>
                <w:szCs w:val="18"/>
                <w:color w:val="auto"/>
              </w:rPr>
            </w:pPr>
          </w:p>
        </w:tc>
        <w:tc>
          <w:tcPr>
            <w:tcW w:w="2240" w:type="dxa"/>
            <w:vAlign w:val="bottom"/>
            <w:gridSpan w:val="2"/>
          </w:tcPr>
          <w:p>
            <w:pPr>
              <w:jc w:val="right"/>
              <w:ind w:right="925"/>
              <w:spacing w:after="0"/>
              <w:rPr>
                <w:sz w:val="20"/>
                <w:szCs w:val="20"/>
                <w:color w:val="auto"/>
              </w:rPr>
            </w:pPr>
            <w:r>
              <w:rPr>
                <w:rFonts w:ascii="Arial" w:cs="Arial" w:eastAsia="Arial" w:hAnsi="Arial"/>
                <w:sz w:val="16"/>
                <w:szCs w:val="16"/>
                <w:color w:val="auto"/>
              </w:rPr>
              <w:t>7,062</w:t>
            </w:r>
          </w:p>
        </w:tc>
        <w:tc>
          <w:tcPr>
            <w:tcW w:w="140" w:type="dxa"/>
            <w:vAlign w:val="bottom"/>
          </w:tcPr>
          <w:p>
            <w:pPr>
              <w:spacing w:after="0"/>
              <w:rPr>
                <w:sz w:val="18"/>
                <w:szCs w:val="18"/>
                <w:color w:val="auto"/>
              </w:rPr>
            </w:pPr>
          </w:p>
        </w:tc>
      </w:tr>
      <w:tr>
        <w:trPr>
          <w:trHeight w:val="189"/>
        </w:trPr>
        <w:tc>
          <w:tcPr>
            <w:tcW w:w="5720" w:type="dxa"/>
            <w:vAlign w:val="bottom"/>
          </w:tcPr>
          <w:p>
            <w:pPr>
              <w:ind w:left="480"/>
              <w:spacing w:after="0"/>
              <w:rPr>
                <w:sz w:val="20"/>
                <w:szCs w:val="20"/>
                <w:color w:val="auto"/>
              </w:rPr>
            </w:pPr>
            <w:r>
              <w:rPr>
                <w:rFonts w:ascii="Arial" w:cs="Arial" w:eastAsia="Arial" w:hAnsi="Arial"/>
                <w:sz w:val="16"/>
                <w:szCs w:val="16"/>
                <w:color w:val="auto"/>
              </w:rPr>
              <w:t>Total</w:t>
            </w:r>
          </w:p>
        </w:tc>
        <w:tc>
          <w:tcPr>
            <w:tcW w:w="2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60" w:type="dxa"/>
            <w:vAlign w:val="bottom"/>
            <w:tcBorders>
              <w:top w:val="single" w:sz="8" w:color="auto"/>
              <w:bottom w:val="single" w:sz="8" w:color="auto"/>
            </w:tcBorders>
          </w:tcPr>
          <w:p>
            <w:pPr>
              <w:jc w:val="right"/>
              <w:ind w:right="925"/>
              <w:spacing w:after="0"/>
              <w:rPr>
                <w:sz w:val="20"/>
                <w:szCs w:val="20"/>
                <w:color w:val="auto"/>
              </w:rPr>
            </w:pPr>
            <w:r>
              <w:rPr>
                <w:rFonts w:ascii="Arial" w:cs="Arial" w:eastAsia="Arial" w:hAnsi="Arial"/>
                <w:sz w:val="16"/>
                <w:szCs w:val="16"/>
                <w:color w:val="auto"/>
              </w:rPr>
              <w:t>42,227</w:t>
            </w:r>
          </w:p>
        </w:tc>
        <w:tc>
          <w:tcPr>
            <w:tcW w:w="140" w:type="dxa"/>
            <w:vAlign w:val="bottom"/>
            <w:tcBorders>
              <w:top w:val="single" w:sz="8" w:color="auto"/>
              <w:bottom w:val="single" w:sz="8" w:color="auto"/>
            </w:tcBorders>
          </w:tcPr>
          <w:p>
            <w:pPr>
              <w:spacing w:after="0"/>
              <w:rPr>
                <w:sz w:val="16"/>
                <w:szCs w:val="16"/>
                <w:color w:val="auto"/>
              </w:rPr>
            </w:pPr>
          </w:p>
        </w:tc>
      </w:tr>
    </w:tbl>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Corporation has short-term committed lines of credit of $6.3 billion which were unused as of December 31, 2014. These lines are available for general co purposes.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weighted-average interest rate on short-term borrowings outstanding was 0.3 percent and 0.4 percent at December 31, 2014, and 2013, respectively.</w:t>
      </w:r>
    </w:p>
    <w:p>
      <w:pPr>
        <w:spacing w:after="0" w:line="12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73" w:name="page74"/>
    <w:bookmarkEnd w:id="73"/>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7. Equity Company Information</w:t>
      </w:r>
    </w:p>
    <w:p>
      <w:pPr>
        <w:spacing w:after="0" w:line="90" w:lineRule="exact"/>
        <w:rPr>
          <w:sz w:val="20"/>
          <w:szCs w:val="20"/>
          <w:color w:val="auto"/>
        </w:rPr>
      </w:pPr>
    </w:p>
    <w:p>
      <w:pPr>
        <w:jc w:val="both"/>
        <w:ind w:left="580"/>
        <w:spacing w:after="0" w:line="263" w:lineRule="auto"/>
        <w:rPr>
          <w:sz w:val="20"/>
          <w:szCs w:val="20"/>
          <w:color w:val="auto"/>
        </w:rPr>
      </w:pPr>
      <w:r>
        <w:rPr>
          <w:rFonts w:ascii="Arial" w:cs="Arial" w:eastAsia="Arial" w:hAnsi="Arial"/>
          <w:sz w:val="16"/>
          <w:szCs w:val="16"/>
          <w:color w:val="auto"/>
        </w:rPr>
        <w:t>The summarized financial information below includes amounts related to certain less-than-majority-owned companies and majority-owned subsidiaries where m shareholders possess the right to participate in significant management decisions (see Note 1). These companies are primarily engaged in oil and gas explorat production, natural gas marketing, and refining operations in North America; natural gas exploration, production and distribution, and downstream operations in Euro exploration, production, liquefied natural gas (LNG) operations, refining operations, petrochemical manufacturing, and fuel sales in Asia. Also included are several r petrochemical manufacturing, and marketing ventures.</w:t>
      </w:r>
    </w:p>
    <w:p>
      <w:pPr>
        <w:spacing w:after="0" w:line="46" w:lineRule="exact"/>
        <w:rPr>
          <w:sz w:val="20"/>
          <w:szCs w:val="20"/>
          <w:color w:val="auto"/>
        </w:rPr>
      </w:pPr>
    </w:p>
    <w:p>
      <w:pPr>
        <w:jc w:val="both"/>
        <w:ind w:left="580" w:firstLine="200"/>
        <w:spacing w:after="0" w:line="297" w:lineRule="auto"/>
        <w:rPr>
          <w:sz w:val="20"/>
          <w:szCs w:val="20"/>
          <w:color w:val="auto"/>
        </w:rPr>
      </w:pPr>
      <w:r>
        <w:rPr>
          <w:rFonts w:ascii="Arial" w:cs="Arial" w:eastAsia="Arial" w:hAnsi="Arial"/>
          <w:sz w:val="15"/>
          <w:szCs w:val="15"/>
          <w:color w:val="auto"/>
        </w:rPr>
        <w:t>The Corporation’s ownership in these ventures is in the form of shares in corporate joint ventures as well as interests in partnerships. Differences between the co carrying value of an equity investment and its underlying equity in the net assets of the affiliate are assigned to the extent practicable to specific assets and liabilities b the company’s analysis of the factors giving rise to the difference. The amortization of this difference, as appropriate, is included in “income from equity affiliates.”</w:t>
      </w:r>
    </w:p>
    <w:p>
      <w:pPr>
        <w:spacing w:after="0" w:line="21" w:lineRule="exact"/>
        <w:rPr>
          <w:sz w:val="20"/>
          <w:szCs w:val="20"/>
          <w:color w:val="auto"/>
        </w:rPr>
      </w:pPr>
    </w:p>
    <w:p>
      <w:pPr>
        <w:jc w:val="both"/>
        <w:ind w:left="580" w:firstLine="200"/>
        <w:spacing w:after="0" w:line="286" w:lineRule="auto"/>
        <w:rPr>
          <w:sz w:val="20"/>
          <w:szCs w:val="20"/>
          <w:color w:val="auto"/>
        </w:rPr>
      </w:pPr>
      <w:r>
        <w:rPr>
          <w:rFonts w:ascii="Arial" w:cs="Arial" w:eastAsia="Arial" w:hAnsi="Arial"/>
          <w:sz w:val="16"/>
          <w:szCs w:val="16"/>
          <w:color w:val="auto"/>
        </w:rPr>
        <w:t>The share of total equity company revenues from sales to ExxonMobil consolidated companies was 14 percent, 13 percent and 16 percent in the years 2014, 20 2012, respectively.</w:t>
      </w:r>
    </w:p>
    <w:p>
      <w:pPr>
        <w:spacing w:after="0" w:line="27" w:lineRule="exact"/>
        <w:rPr>
          <w:sz w:val="20"/>
          <w:szCs w:val="20"/>
          <w:color w:val="auto"/>
        </w:rPr>
      </w:pPr>
    </w:p>
    <w:p>
      <w:pPr>
        <w:jc w:val="both"/>
        <w:ind w:left="580" w:firstLine="200"/>
        <w:spacing w:after="0" w:line="261" w:lineRule="auto"/>
        <w:rPr>
          <w:sz w:val="20"/>
          <w:szCs w:val="20"/>
          <w:color w:val="auto"/>
        </w:rPr>
      </w:pPr>
      <w:r>
        <w:rPr>
          <w:rFonts w:ascii="Arial" w:cs="Arial" w:eastAsia="Arial" w:hAnsi="Arial"/>
          <w:sz w:val="16"/>
          <w:szCs w:val="16"/>
          <w:color w:val="auto"/>
        </w:rPr>
        <w:t>In 2013 and 2014, the Corporation and Rosneft established various entities to conduct exploration and research activities. Periods of disproportionate funding will r the Corporation recognizing, during the early phases of the projects, an investment that is larger than its equity share in these entities. These joint ventures are con Variable Interest Entities. However, since the Corporation is not the primary beneficiary of these entities, the joint ventures are reported as equity companies. In 20 European Union and United States imposed sanctions relating to the Russian energy sector. In compliance with the sanctions and all general and specific licenses, pro activities involving offshore Russia in the Black Sea, Arctic regions, and onshore western Siberia have been wound down. The Corporation's maximum exposure to lo these joint ventures as of December 31, 2014, is $1.0 billion.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 w:type="dxa"/>
            <w:vAlign w:val="bottom"/>
          </w:tcPr>
          <w:p>
            <w:pPr>
              <w:spacing w:after="0"/>
              <w:rPr>
                <w:sz w:val="16"/>
                <w:szCs w:val="16"/>
                <w:color w:val="auto"/>
              </w:rPr>
            </w:pPr>
          </w:p>
        </w:tc>
        <w:tc>
          <w:tcPr>
            <w:tcW w:w="3220" w:type="dxa"/>
            <w:vAlign w:val="bottom"/>
            <w:vMerge w:val="restart"/>
          </w:tcPr>
          <w:p>
            <w:pPr>
              <w:spacing w:after="0"/>
              <w:rPr>
                <w:sz w:val="20"/>
                <w:szCs w:val="20"/>
                <w:color w:val="auto"/>
              </w:rPr>
            </w:pPr>
            <w:r>
              <w:rPr>
                <w:rFonts w:ascii="Arial" w:cs="Arial" w:eastAsia="Arial" w:hAnsi="Arial"/>
                <w:sz w:val="16"/>
                <w:szCs w:val="16"/>
                <w:b w:val="1"/>
                <w:bCs w:val="1"/>
                <w:color w:val="auto"/>
              </w:rPr>
              <w:t>Equity Company</w:t>
            </w:r>
          </w:p>
        </w:tc>
        <w:tc>
          <w:tcPr>
            <w:tcW w:w="158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b w:val="1"/>
                <w:bCs w:val="1"/>
                <w:color w:val="auto"/>
              </w:rPr>
              <w:t>2014</w:t>
            </w:r>
          </w:p>
        </w:tc>
        <w:tc>
          <w:tcPr>
            <w:tcW w:w="1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342"/>
              <w:spacing w:after="0"/>
              <w:rPr>
                <w:sz w:val="20"/>
                <w:szCs w:val="20"/>
                <w:color w:val="auto"/>
              </w:rPr>
            </w:pPr>
            <w:r>
              <w:rPr>
                <w:rFonts w:ascii="Arial" w:cs="Arial" w:eastAsia="Arial" w:hAnsi="Arial"/>
                <w:sz w:val="13"/>
                <w:szCs w:val="13"/>
                <w:b w:val="1"/>
                <w:bCs w:val="1"/>
                <w:color w:val="auto"/>
                <w:w w:val="96"/>
              </w:rPr>
              <w:t>2013</w:t>
            </w:r>
          </w:p>
        </w:tc>
        <w:tc>
          <w:tcPr>
            <w:tcW w:w="1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95"/>
              <w:spacing w:after="0"/>
              <w:rPr>
                <w:sz w:val="20"/>
                <w:szCs w:val="20"/>
                <w:color w:val="auto"/>
              </w:rPr>
            </w:pPr>
            <w:r>
              <w:rPr>
                <w:rFonts w:ascii="Arial" w:cs="Arial" w:eastAsia="Arial" w:hAnsi="Arial"/>
                <w:sz w:val="13"/>
                <w:szCs w:val="13"/>
                <w:b w:val="1"/>
                <w:bCs w:val="1"/>
                <w:color w:val="auto"/>
                <w:w w:val="82"/>
              </w:rPr>
              <w:t>2012</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322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1400" w:type="dxa"/>
            <w:vAlign w:val="bottom"/>
          </w:tcPr>
          <w:p>
            <w:pPr>
              <w:jc w:val="right"/>
              <w:ind w:right="481"/>
              <w:spacing w:after="0"/>
              <w:rPr>
                <w:sz w:val="20"/>
                <w:szCs w:val="20"/>
                <w:color w:val="auto"/>
              </w:rPr>
            </w:pPr>
            <w:r>
              <w:rPr>
                <w:rFonts w:ascii="Arial" w:cs="Arial" w:eastAsia="Arial" w:hAnsi="Arial"/>
                <w:sz w:val="13"/>
                <w:szCs w:val="13"/>
                <w:b w:val="1"/>
                <w:bCs w:val="1"/>
                <w:color w:val="auto"/>
              </w:rPr>
              <w:t>ExxonMobil</w:t>
            </w:r>
          </w:p>
        </w:tc>
        <w:tc>
          <w:tcPr>
            <w:tcW w:w="1040" w:type="dxa"/>
            <w:vAlign w:val="bottom"/>
          </w:tcPr>
          <w:p>
            <w:pPr>
              <w:spacing w:after="0"/>
              <w:rPr>
                <w:sz w:val="13"/>
                <w:szCs w:val="13"/>
                <w:color w:val="auto"/>
              </w:rPr>
            </w:pPr>
          </w:p>
        </w:tc>
        <w:tc>
          <w:tcPr>
            <w:tcW w:w="1720" w:type="dxa"/>
            <w:vAlign w:val="bottom"/>
          </w:tcPr>
          <w:p>
            <w:pPr>
              <w:jc w:val="right"/>
              <w:ind w:right="442"/>
              <w:spacing w:after="0"/>
              <w:rPr>
                <w:sz w:val="20"/>
                <w:szCs w:val="20"/>
                <w:color w:val="auto"/>
              </w:rPr>
            </w:pPr>
            <w:r>
              <w:rPr>
                <w:rFonts w:ascii="Arial" w:cs="Arial" w:eastAsia="Arial" w:hAnsi="Arial"/>
                <w:sz w:val="13"/>
                <w:szCs w:val="13"/>
                <w:b w:val="1"/>
                <w:bCs w:val="1"/>
                <w:color w:val="auto"/>
              </w:rPr>
              <w:t>ExxonMobil</w:t>
            </w:r>
          </w:p>
        </w:tc>
        <w:tc>
          <w:tcPr>
            <w:tcW w:w="1100" w:type="dxa"/>
            <w:vAlign w:val="bottom"/>
          </w:tcPr>
          <w:p>
            <w:pPr>
              <w:spacing w:after="0"/>
              <w:rPr>
                <w:sz w:val="13"/>
                <w:szCs w:val="13"/>
                <w:color w:val="auto"/>
              </w:rPr>
            </w:pPr>
          </w:p>
        </w:tc>
        <w:tc>
          <w:tcPr>
            <w:tcW w:w="880" w:type="dxa"/>
            <w:vAlign w:val="bottom"/>
            <w:gridSpan w:val="2"/>
          </w:tcPr>
          <w:p>
            <w:pPr>
              <w:ind w:left="460"/>
              <w:spacing w:after="0"/>
              <w:rPr>
                <w:sz w:val="20"/>
                <w:szCs w:val="20"/>
                <w:color w:val="auto"/>
              </w:rPr>
            </w:pPr>
            <w:r>
              <w:rPr>
                <w:rFonts w:ascii="Arial" w:cs="Arial" w:eastAsia="Arial" w:hAnsi="Arial"/>
                <w:sz w:val="13"/>
                <w:szCs w:val="13"/>
                <w:b w:val="1"/>
                <w:bCs w:val="1"/>
                <w:color w:val="auto"/>
                <w:w w:val="80"/>
              </w:rPr>
              <w:t>ExxonM</w:t>
            </w: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Financial Summary</w:t>
            </w:r>
          </w:p>
        </w:tc>
        <w:tc>
          <w:tcPr>
            <w:tcW w:w="1580" w:type="dxa"/>
            <w:vAlign w:val="bottom"/>
            <w:tcBorders>
              <w:bottom w:val="single" w:sz="8" w:color="auto"/>
            </w:tcBorders>
          </w:tcPr>
          <w:p>
            <w:pPr>
              <w:jc w:val="right"/>
              <w:ind w:right="781"/>
              <w:spacing w:after="0"/>
              <w:rPr>
                <w:sz w:val="20"/>
                <w:szCs w:val="20"/>
                <w:color w:val="auto"/>
              </w:rPr>
            </w:pPr>
            <w:r>
              <w:rPr>
                <w:rFonts w:ascii="Arial" w:cs="Arial" w:eastAsia="Arial" w:hAnsi="Arial"/>
                <w:sz w:val="13"/>
                <w:szCs w:val="13"/>
                <w:b w:val="1"/>
                <w:bCs w:val="1"/>
                <w:color w:val="auto"/>
              </w:rPr>
              <w:t>Total</w:t>
            </w:r>
          </w:p>
        </w:tc>
        <w:tc>
          <w:tcPr>
            <w:tcW w:w="1400" w:type="dxa"/>
            <w:vAlign w:val="bottom"/>
            <w:tcBorders>
              <w:bottom w:val="single" w:sz="8" w:color="auto"/>
            </w:tcBorders>
          </w:tcPr>
          <w:p>
            <w:pPr>
              <w:jc w:val="right"/>
              <w:ind w:right="681"/>
              <w:spacing w:after="0"/>
              <w:rPr>
                <w:sz w:val="20"/>
                <w:szCs w:val="20"/>
                <w:color w:val="auto"/>
              </w:rPr>
            </w:pPr>
            <w:r>
              <w:rPr>
                <w:rFonts w:ascii="Arial" w:cs="Arial" w:eastAsia="Arial" w:hAnsi="Arial"/>
                <w:sz w:val="13"/>
                <w:szCs w:val="13"/>
                <w:b w:val="1"/>
                <w:bCs w:val="1"/>
                <w:color w:val="auto"/>
              </w:rPr>
              <w:t>Share</w:t>
            </w:r>
          </w:p>
        </w:tc>
        <w:tc>
          <w:tcPr>
            <w:tcW w:w="104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Total</w:t>
            </w:r>
          </w:p>
        </w:tc>
        <w:tc>
          <w:tcPr>
            <w:tcW w:w="1720" w:type="dxa"/>
            <w:vAlign w:val="bottom"/>
            <w:tcBorders>
              <w:bottom w:val="single" w:sz="8" w:color="auto"/>
            </w:tcBorders>
          </w:tcPr>
          <w:p>
            <w:pPr>
              <w:jc w:val="right"/>
              <w:ind w:right="622"/>
              <w:spacing w:after="0"/>
              <w:rPr>
                <w:sz w:val="20"/>
                <w:szCs w:val="20"/>
                <w:color w:val="auto"/>
              </w:rPr>
            </w:pPr>
            <w:r>
              <w:rPr>
                <w:rFonts w:ascii="Arial" w:cs="Arial" w:eastAsia="Arial" w:hAnsi="Arial"/>
                <w:sz w:val="13"/>
                <w:szCs w:val="13"/>
                <w:b w:val="1"/>
                <w:bCs w:val="1"/>
                <w:color w:val="auto"/>
              </w:rPr>
              <w:t>Share</w:t>
            </w:r>
          </w:p>
        </w:tc>
        <w:tc>
          <w:tcPr>
            <w:tcW w:w="110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880" w:type="dxa"/>
            <w:vAlign w:val="bottom"/>
            <w:tcBorders>
              <w:bottom w:val="single" w:sz="8" w:color="auto"/>
            </w:tcBorders>
            <w:gridSpan w:val="2"/>
          </w:tcPr>
          <w:p>
            <w:pPr>
              <w:ind w:left="700"/>
              <w:spacing w:after="0"/>
              <w:rPr>
                <w:sz w:val="20"/>
                <w:szCs w:val="20"/>
                <w:color w:val="auto"/>
              </w:rPr>
            </w:pPr>
            <w:r>
              <w:rPr>
                <w:rFonts w:ascii="Arial" w:cs="Arial" w:eastAsia="Arial" w:hAnsi="Arial"/>
                <w:sz w:val="13"/>
                <w:szCs w:val="13"/>
                <w:b w:val="1"/>
                <w:bCs w:val="1"/>
                <w:color w:val="auto"/>
                <w:w w:val="96"/>
              </w:rPr>
              <w:t>Sh</w:t>
            </w: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760" w:type="dxa"/>
            <w:vAlign w:val="bottom"/>
            <w:gridSpan w:val="2"/>
          </w:tcPr>
          <w:p>
            <w:pPr>
              <w:jc w:val="right"/>
              <w:ind w:right="1042"/>
              <w:spacing w:after="0"/>
              <w:rPr>
                <w:sz w:val="20"/>
                <w:szCs w:val="20"/>
                <w:color w:val="auto"/>
              </w:rPr>
            </w:pPr>
            <w:r>
              <w:rPr>
                <w:rFonts w:ascii="Arial" w:cs="Arial" w:eastAsia="Arial" w:hAnsi="Arial"/>
                <w:sz w:val="13"/>
                <w:szCs w:val="13"/>
                <w:i w:val="1"/>
                <w:iCs w:val="1"/>
                <w:color w:val="auto"/>
              </w:rPr>
              <w:t>(millions of dollars)</w:t>
            </w: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Total revenues</w:t>
            </w:r>
          </w:p>
        </w:tc>
        <w:tc>
          <w:tcPr>
            <w:tcW w:w="15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183,708</w:t>
            </w:r>
          </w:p>
        </w:tc>
        <w:tc>
          <w:tcPr>
            <w:tcW w:w="14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55,855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236,161</w:t>
            </w:r>
          </w:p>
        </w:tc>
        <w:tc>
          <w:tcPr>
            <w:tcW w:w="17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68,084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224,953</w:t>
            </w: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580" w:type="dxa"/>
            <w:vAlign w:val="bottom"/>
          </w:tcPr>
          <w:p>
            <w:pPr>
              <w:spacing w:after="0"/>
              <w:rPr>
                <w:sz w:val="15"/>
                <w:szCs w:val="15"/>
                <w:color w:val="auto"/>
              </w:rPr>
            </w:pPr>
          </w:p>
        </w:tc>
        <w:tc>
          <w:tcPr>
            <w:tcW w:w="3220" w:type="dxa"/>
            <w:vAlign w:val="bottom"/>
          </w:tcPr>
          <w:p>
            <w:pPr>
              <w:spacing w:after="0" w:line="177" w:lineRule="exact"/>
              <w:rPr>
                <w:sz w:val="20"/>
                <w:szCs w:val="20"/>
                <w:color w:val="auto"/>
              </w:rPr>
            </w:pPr>
            <w:r>
              <w:rPr>
                <w:rFonts w:ascii="Arial" w:cs="Arial" w:eastAsia="Arial" w:hAnsi="Arial"/>
                <w:sz w:val="16"/>
                <w:szCs w:val="16"/>
                <w:color w:val="auto"/>
              </w:rPr>
              <w:t>Income before income taxes</w:t>
            </w:r>
          </w:p>
        </w:tc>
        <w:tc>
          <w:tcPr>
            <w:tcW w:w="1580" w:type="dxa"/>
            <w:vAlign w:val="bottom"/>
          </w:tcPr>
          <w:p>
            <w:pPr>
              <w:jc w:val="right"/>
              <w:ind w:right="401"/>
              <w:spacing w:after="0" w:line="177" w:lineRule="exact"/>
              <w:rPr>
                <w:sz w:val="20"/>
                <w:szCs w:val="20"/>
                <w:color w:val="auto"/>
              </w:rPr>
            </w:pPr>
            <w:r>
              <w:rPr>
                <w:rFonts w:ascii="Arial" w:cs="Arial" w:eastAsia="Arial" w:hAnsi="Arial"/>
                <w:sz w:val="16"/>
                <w:szCs w:val="16"/>
                <w:color w:val="auto"/>
              </w:rPr>
              <w:t>65,549</w:t>
            </w:r>
          </w:p>
        </w:tc>
        <w:tc>
          <w:tcPr>
            <w:tcW w:w="1400" w:type="dxa"/>
            <w:vAlign w:val="bottom"/>
          </w:tcPr>
          <w:p>
            <w:pPr>
              <w:jc w:val="right"/>
              <w:ind w:right="301"/>
              <w:spacing w:after="0" w:line="177" w:lineRule="exact"/>
              <w:rPr>
                <w:sz w:val="20"/>
                <w:szCs w:val="20"/>
                <w:color w:val="auto"/>
              </w:rPr>
            </w:pPr>
            <w:r>
              <w:rPr>
                <w:rFonts w:ascii="Arial" w:cs="Arial" w:eastAsia="Arial" w:hAnsi="Arial"/>
                <w:sz w:val="16"/>
                <w:szCs w:val="16"/>
                <w:color w:val="auto"/>
              </w:rPr>
              <w:t>19,014</w:t>
            </w:r>
          </w:p>
        </w:tc>
        <w:tc>
          <w:tcPr>
            <w:tcW w:w="1040" w:type="dxa"/>
            <w:vAlign w:val="bottom"/>
          </w:tcPr>
          <w:p>
            <w:pPr>
              <w:jc w:val="right"/>
              <w:spacing w:after="0" w:line="177" w:lineRule="exact"/>
              <w:rPr>
                <w:sz w:val="20"/>
                <w:szCs w:val="20"/>
                <w:color w:val="auto"/>
              </w:rPr>
            </w:pPr>
            <w:r>
              <w:rPr>
                <w:rFonts w:ascii="Arial" w:cs="Arial" w:eastAsia="Arial" w:hAnsi="Arial"/>
                <w:sz w:val="16"/>
                <w:szCs w:val="16"/>
                <w:color w:val="auto"/>
              </w:rPr>
              <w:t>69,454</w:t>
            </w:r>
          </w:p>
        </w:tc>
        <w:tc>
          <w:tcPr>
            <w:tcW w:w="1720" w:type="dxa"/>
            <w:vAlign w:val="bottom"/>
          </w:tcPr>
          <w:p>
            <w:pPr>
              <w:jc w:val="right"/>
              <w:ind w:right="322"/>
              <w:spacing w:after="0" w:line="177" w:lineRule="exact"/>
              <w:rPr>
                <w:sz w:val="20"/>
                <w:szCs w:val="20"/>
                <w:color w:val="auto"/>
              </w:rPr>
            </w:pPr>
            <w:r>
              <w:rPr>
                <w:rFonts w:ascii="Arial" w:cs="Arial" w:eastAsia="Arial" w:hAnsi="Arial"/>
                <w:sz w:val="16"/>
                <w:szCs w:val="16"/>
                <w:color w:val="auto"/>
              </w:rPr>
              <w:t>19,999</w:t>
            </w:r>
          </w:p>
        </w:tc>
        <w:tc>
          <w:tcPr>
            <w:tcW w:w="1100" w:type="dxa"/>
            <w:vAlign w:val="bottom"/>
          </w:tcPr>
          <w:p>
            <w:pPr>
              <w:jc w:val="right"/>
              <w:spacing w:after="0" w:line="177" w:lineRule="exact"/>
              <w:rPr>
                <w:sz w:val="20"/>
                <w:szCs w:val="20"/>
                <w:color w:val="auto"/>
              </w:rPr>
            </w:pPr>
            <w:r>
              <w:rPr>
                <w:rFonts w:ascii="Arial" w:cs="Arial" w:eastAsia="Arial" w:hAnsi="Arial"/>
                <w:sz w:val="16"/>
                <w:szCs w:val="16"/>
                <w:color w:val="auto"/>
              </w:rPr>
              <w:t>69,411</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Income taxes</w:t>
            </w:r>
          </w:p>
        </w:tc>
        <w:tc>
          <w:tcPr>
            <w:tcW w:w="15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20,520</w:t>
            </w:r>
          </w:p>
        </w:tc>
        <w:tc>
          <w:tcPr>
            <w:tcW w:w="14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5,684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21,618</w:t>
            </w:r>
          </w:p>
        </w:tc>
        <w:tc>
          <w:tcPr>
            <w:tcW w:w="17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6,069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20,703</w:t>
            </w: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3220" w:type="dxa"/>
            <w:vAlign w:val="bottom"/>
          </w:tcPr>
          <w:p>
            <w:pPr>
              <w:ind w:left="240"/>
              <w:spacing w:after="0"/>
              <w:rPr>
                <w:sz w:val="20"/>
                <w:szCs w:val="20"/>
                <w:color w:val="auto"/>
              </w:rPr>
            </w:pPr>
            <w:r>
              <w:rPr>
                <w:rFonts w:ascii="Arial" w:cs="Arial" w:eastAsia="Arial" w:hAnsi="Arial"/>
                <w:sz w:val="16"/>
                <w:szCs w:val="16"/>
                <w:color w:val="auto"/>
              </w:rPr>
              <w:t>Income from equity affiliates</w:t>
            </w:r>
          </w:p>
        </w:tc>
        <w:tc>
          <w:tcPr>
            <w:tcW w:w="15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45,029</w:t>
            </w:r>
          </w:p>
        </w:tc>
        <w:tc>
          <w:tcPr>
            <w:tcW w:w="14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13,330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47,836</w:t>
            </w:r>
          </w:p>
        </w:tc>
        <w:tc>
          <w:tcPr>
            <w:tcW w:w="17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13,930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48,708</w:t>
            </w: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58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Current assets</w:t>
            </w:r>
          </w:p>
        </w:tc>
        <w:tc>
          <w:tcPr>
            <w:tcW w:w="1580" w:type="dxa"/>
            <w:vAlign w:val="bottom"/>
          </w:tcPr>
          <w:p>
            <w:pPr>
              <w:jc w:val="right"/>
              <w:ind w:right="401"/>
              <w:spacing w:after="0"/>
              <w:rPr>
                <w:sz w:val="20"/>
                <w:szCs w:val="20"/>
                <w:color w:val="auto"/>
              </w:rPr>
            </w:pPr>
            <w:r>
              <w:rPr>
                <w:rFonts w:ascii="Arial" w:cs="Arial" w:eastAsia="Arial" w:hAnsi="Arial"/>
                <w:sz w:val="16"/>
                <w:szCs w:val="16"/>
                <w:color w:val="auto"/>
              </w:rPr>
              <w:t>49,905</w:t>
            </w:r>
          </w:p>
        </w:tc>
        <w:tc>
          <w:tcPr>
            <w:tcW w:w="1400" w:type="dxa"/>
            <w:vAlign w:val="bottom"/>
          </w:tcPr>
          <w:p>
            <w:pPr>
              <w:jc w:val="right"/>
              <w:ind w:right="301"/>
              <w:spacing w:after="0"/>
              <w:rPr>
                <w:sz w:val="20"/>
                <w:szCs w:val="20"/>
                <w:color w:val="auto"/>
              </w:rPr>
            </w:pPr>
            <w:r>
              <w:rPr>
                <w:rFonts w:ascii="Arial" w:cs="Arial" w:eastAsia="Arial" w:hAnsi="Arial"/>
                <w:sz w:val="16"/>
                <w:szCs w:val="16"/>
                <w:color w:val="auto"/>
              </w:rPr>
              <w:t>16,802</w:t>
            </w:r>
          </w:p>
        </w:tc>
        <w:tc>
          <w:tcPr>
            <w:tcW w:w="1040" w:type="dxa"/>
            <w:vAlign w:val="bottom"/>
          </w:tcPr>
          <w:p>
            <w:pPr>
              <w:jc w:val="right"/>
              <w:spacing w:after="0"/>
              <w:rPr>
                <w:sz w:val="20"/>
                <w:szCs w:val="20"/>
                <w:color w:val="auto"/>
              </w:rPr>
            </w:pPr>
            <w:r>
              <w:rPr>
                <w:rFonts w:ascii="Arial" w:cs="Arial" w:eastAsia="Arial" w:hAnsi="Arial"/>
                <w:sz w:val="16"/>
                <w:szCs w:val="16"/>
                <w:color w:val="auto"/>
              </w:rPr>
              <w:t>62,398</w:t>
            </w:r>
          </w:p>
        </w:tc>
        <w:tc>
          <w:tcPr>
            <w:tcW w:w="1720" w:type="dxa"/>
            <w:vAlign w:val="bottom"/>
          </w:tcPr>
          <w:p>
            <w:pPr>
              <w:jc w:val="right"/>
              <w:ind w:right="322"/>
              <w:spacing w:after="0"/>
              <w:rPr>
                <w:sz w:val="20"/>
                <w:szCs w:val="20"/>
                <w:color w:val="auto"/>
              </w:rPr>
            </w:pPr>
            <w:r>
              <w:rPr>
                <w:rFonts w:ascii="Arial" w:cs="Arial" w:eastAsia="Arial" w:hAnsi="Arial"/>
                <w:sz w:val="16"/>
                <w:szCs w:val="16"/>
                <w:color w:val="auto"/>
              </w:rPr>
              <w:t>19,545</w:t>
            </w:r>
          </w:p>
        </w:tc>
        <w:tc>
          <w:tcPr>
            <w:tcW w:w="1100" w:type="dxa"/>
            <w:vAlign w:val="bottom"/>
          </w:tcPr>
          <w:p>
            <w:pPr>
              <w:jc w:val="right"/>
              <w:spacing w:after="0"/>
              <w:rPr>
                <w:sz w:val="20"/>
                <w:szCs w:val="20"/>
                <w:color w:val="auto"/>
              </w:rPr>
            </w:pPr>
            <w:r>
              <w:rPr>
                <w:rFonts w:ascii="Arial" w:cs="Arial" w:eastAsia="Arial" w:hAnsi="Arial"/>
                <w:sz w:val="16"/>
                <w:szCs w:val="16"/>
                <w:color w:val="auto"/>
              </w:rPr>
              <w:t>59,612</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Long-term assets</w:t>
            </w:r>
          </w:p>
        </w:tc>
        <w:tc>
          <w:tcPr>
            <w:tcW w:w="15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110,754</w:t>
            </w:r>
          </w:p>
        </w:tc>
        <w:tc>
          <w:tcPr>
            <w:tcW w:w="14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33,619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116,450</w:t>
            </w:r>
          </w:p>
        </w:tc>
        <w:tc>
          <w:tcPr>
            <w:tcW w:w="17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35,695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111,131</w:t>
            </w: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3220" w:type="dxa"/>
            <w:vAlign w:val="bottom"/>
          </w:tcPr>
          <w:p>
            <w:pPr>
              <w:ind w:left="240"/>
              <w:spacing w:after="0"/>
              <w:rPr>
                <w:sz w:val="20"/>
                <w:szCs w:val="20"/>
                <w:color w:val="auto"/>
              </w:rPr>
            </w:pPr>
            <w:r>
              <w:rPr>
                <w:rFonts w:ascii="Arial" w:cs="Arial" w:eastAsia="Arial" w:hAnsi="Arial"/>
                <w:sz w:val="16"/>
                <w:szCs w:val="16"/>
                <w:color w:val="auto"/>
              </w:rPr>
              <w:t>Total assets</w:t>
            </w:r>
          </w:p>
        </w:tc>
        <w:tc>
          <w:tcPr>
            <w:tcW w:w="15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160,659</w:t>
            </w:r>
          </w:p>
        </w:tc>
        <w:tc>
          <w:tcPr>
            <w:tcW w:w="14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50,421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178,848</w:t>
            </w:r>
          </w:p>
        </w:tc>
        <w:tc>
          <w:tcPr>
            <w:tcW w:w="17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55,240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170,743</w:t>
            </w: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3220" w:type="dxa"/>
            <w:vAlign w:val="bottom"/>
          </w:tcPr>
          <w:p>
            <w:pPr>
              <w:spacing w:after="0" w:line="176" w:lineRule="exact"/>
              <w:rPr>
                <w:sz w:val="20"/>
                <w:szCs w:val="20"/>
                <w:color w:val="auto"/>
              </w:rPr>
            </w:pPr>
            <w:r>
              <w:rPr>
                <w:rFonts w:ascii="Arial" w:cs="Arial" w:eastAsia="Arial" w:hAnsi="Arial"/>
                <w:sz w:val="16"/>
                <w:szCs w:val="16"/>
                <w:color w:val="auto"/>
              </w:rPr>
              <w:t>Current liabilities</w:t>
            </w:r>
          </w:p>
        </w:tc>
        <w:tc>
          <w:tcPr>
            <w:tcW w:w="1580" w:type="dxa"/>
            <w:vAlign w:val="bottom"/>
          </w:tcPr>
          <w:p>
            <w:pPr>
              <w:jc w:val="right"/>
              <w:ind w:right="401"/>
              <w:spacing w:after="0" w:line="176" w:lineRule="exact"/>
              <w:rPr>
                <w:sz w:val="20"/>
                <w:szCs w:val="20"/>
                <w:color w:val="auto"/>
              </w:rPr>
            </w:pPr>
            <w:r>
              <w:rPr>
                <w:rFonts w:ascii="Arial" w:cs="Arial" w:eastAsia="Arial" w:hAnsi="Arial"/>
                <w:sz w:val="16"/>
                <w:szCs w:val="16"/>
                <w:color w:val="auto"/>
              </w:rPr>
              <w:t>37,333</w:t>
            </w:r>
          </w:p>
        </w:tc>
        <w:tc>
          <w:tcPr>
            <w:tcW w:w="1400" w:type="dxa"/>
            <w:vAlign w:val="bottom"/>
          </w:tcPr>
          <w:p>
            <w:pPr>
              <w:jc w:val="right"/>
              <w:ind w:right="301"/>
              <w:spacing w:after="0" w:line="176" w:lineRule="exact"/>
              <w:rPr>
                <w:sz w:val="20"/>
                <w:szCs w:val="20"/>
                <w:color w:val="auto"/>
              </w:rPr>
            </w:pPr>
            <w:r>
              <w:rPr>
                <w:rFonts w:ascii="Arial" w:cs="Arial" w:eastAsia="Arial" w:hAnsi="Arial"/>
                <w:sz w:val="16"/>
                <w:szCs w:val="16"/>
                <w:color w:val="auto"/>
              </w:rPr>
              <w:t>11,472</w:t>
            </w: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54,550</w:t>
            </w:r>
          </w:p>
        </w:tc>
        <w:tc>
          <w:tcPr>
            <w:tcW w:w="1720" w:type="dxa"/>
            <w:vAlign w:val="bottom"/>
          </w:tcPr>
          <w:p>
            <w:pPr>
              <w:jc w:val="right"/>
              <w:ind w:right="322"/>
              <w:spacing w:after="0" w:line="176" w:lineRule="exact"/>
              <w:rPr>
                <w:sz w:val="20"/>
                <w:szCs w:val="20"/>
                <w:color w:val="auto"/>
              </w:rPr>
            </w:pPr>
            <w:r>
              <w:rPr>
                <w:rFonts w:ascii="Arial" w:cs="Arial" w:eastAsia="Arial" w:hAnsi="Arial"/>
                <w:sz w:val="16"/>
                <w:szCs w:val="16"/>
                <w:color w:val="auto"/>
              </w:rPr>
              <w:t>15,243</w:t>
            </w:r>
          </w:p>
        </w:tc>
        <w:tc>
          <w:tcPr>
            <w:tcW w:w="1100" w:type="dxa"/>
            <w:vAlign w:val="bottom"/>
          </w:tcPr>
          <w:p>
            <w:pPr>
              <w:jc w:val="right"/>
              <w:spacing w:after="0" w:line="176" w:lineRule="exact"/>
              <w:rPr>
                <w:sz w:val="20"/>
                <w:szCs w:val="20"/>
                <w:color w:val="auto"/>
              </w:rPr>
            </w:pPr>
            <w:r>
              <w:rPr>
                <w:rFonts w:ascii="Arial" w:cs="Arial" w:eastAsia="Arial" w:hAnsi="Arial"/>
                <w:sz w:val="16"/>
                <w:szCs w:val="16"/>
                <w:color w:val="auto"/>
              </w:rPr>
              <w:t>49,698</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Long-term liabilities</w:t>
            </w:r>
          </w:p>
        </w:tc>
        <w:tc>
          <w:tcPr>
            <w:tcW w:w="15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66,231</w:t>
            </w:r>
          </w:p>
        </w:tc>
        <w:tc>
          <w:tcPr>
            <w:tcW w:w="14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19,470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68,857</w:t>
            </w:r>
          </w:p>
        </w:tc>
        <w:tc>
          <w:tcPr>
            <w:tcW w:w="17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20,873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68,855</w:t>
            </w: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3220" w:type="dxa"/>
            <w:vAlign w:val="bottom"/>
          </w:tcPr>
          <w:p>
            <w:pPr>
              <w:ind w:left="240"/>
              <w:spacing w:after="0"/>
              <w:rPr>
                <w:sz w:val="20"/>
                <w:szCs w:val="20"/>
                <w:color w:val="auto"/>
              </w:rPr>
            </w:pPr>
            <w:r>
              <w:rPr>
                <w:rFonts w:ascii="Arial" w:cs="Arial" w:eastAsia="Arial" w:hAnsi="Arial"/>
                <w:sz w:val="16"/>
                <w:szCs w:val="16"/>
                <w:color w:val="auto"/>
              </w:rPr>
              <w:t>Net assets</w:t>
            </w:r>
          </w:p>
        </w:tc>
        <w:tc>
          <w:tcPr>
            <w:tcW w:w="15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57,095</w:t>
            </w:r>
          </w:p>
        </w:tc>
        <w:tc>
          <w:tcPr>
            <w:tcW w:w="14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19,479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55,441</w:t>
            </w:r>
          </w:p>
        </w:tc>
        <w:tc>
          <w:tcPr>
            <w:tcW w:w="17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19,124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52,190</w:t>
            </w: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1"/>
        </w:trPr>
        <w:tc>
          <w:tcPr>
            <w:tcW w:w="5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Pr>
          <w:p>
            <w:pPr>
              <w:jc w:val="right"/>
              <w:ind w:right="341"/>
              <w:spacing w:after="0"/>
              <w:rPr>
                <w:sz w:val="20"/>
                <w:szCs w:val="20"/>
                <w:color w:val="auto"/>
              </w:rPr>
            </w:pPr>
            <w:r>
              <w:rPr>
                <w:rFonts w:ascii="Arial" w:cs="Arial" w:eastAsia="Arial" w:hAnsi="Arial"/>
                <w:sz w:val="16"/>
                <w:szCs w:val="16"/>
                <w:color w:val="auto"/>
              </w:rPr>
              <w:t>72</w:t>
            </w:r>
          </w:p>
        </w:tc>
        <w:tc>
          <w:tcPr>
            <w:tcW w:w="1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580" w:type="dxa"/>
            <w:vAlign w:val="bottom"/>
            <w:tcBorders>
              <w:bottom w:val="single" w:sz="8" w:color="808080"/>
            </w:tcBorders>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589" w:right="139" w:bottom="1440" w:gutter="0" w:footer="0" w:header="0"/>
        </w:sectPr>
      </w:pPr>
    </w:p>
    <w:bookmarkStart w:id="74" w:name="page75"/>
    <w:bookmarkEnd w:id="74"/>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 list of significant equity companies as of December 31, 2014, together with the Corporation’s percentage ownership interest, is detailed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240" w:type="dxa"/>
            <w:vAlign w:val="bottom"/>
            <w:gridSpan w:val="3"/>
          </w:tcPr>
          <w:p>
            <w:pPr>
              <w:jc w:val="center"/>
              <w:ind w:left="1226"/>
              <w:spacing w:after="0"/>
              <w:rPr>
                <w:sz w:val="20"/>
                <w:szCs w:val="20"/>
                <w:color w:val="auto"/>
              </w:rPr>
            </w:pPr>
            <w:r>
              <w:rPr>
                <w:rFonts w:ascii="Arial" w:cs="Arial" w:eastAsia="Arial" w:hAnsi="Arial"/>
                <w:sz w:val="13"/>
                <w:szCs w:val="13"/>
                <w:b w:val="1"/>
                <w:bCs w:val="1"/>
                <w:color w:val="auto"/>
                <w:w w:val="88"/>
              </w:rPr>
              <w:t>Percentage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5240" w:type="dxa"/>
            <w:vAlign w:val="bottom"/>
            <w:gridSpan w:val="3"/>
          </w:tcPr>
          <w:p>
            <w:pPr>
              <w:jc w:val="center"/>
              <w:ind w:left="1226"/>
              <w:spacing w:after="0"/>
              <w:rPr>
                <w:sz w:val="20"/>
                <w:szCs w:val="20"/>
                <w:color w:val="auto"/>
              </w:rPr>
            </w:pPr>
            <w:r>
              <w:rPr>
                <w:rFonts w:ascii="Arial" w:cs="Arial" w:eastAsia="Arial" w:hAnsi="Arial"/>
                <w:sz w:val="13"/>
                <w:szCs w:val="13"/>
                <w:b w:val="1"/>
                <w:bCs w:val="1"/>
                <w:color w:val="auto"/>
                <w:w w:val="92"/>
              </w:rPr>
              <w:t>Ownership</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5240" w:type="dxa"/>
            <w:vAlign w:val="bottom"/>
            <w:gridSpan w:val="3"/>
          </w:tcPr>
          <w:p>
            <w:pPr>
              <w:jc w:val="center"/>
              <w:ind w:left="1226"/>
              <w:spacing w:after="0"/>
              <w:rPr>
                <w:sz w:val="20"/>
                <w:szCs w:val="20"/>
                <w:color w:val="auto"/>
              </w:rPr>
            </w:pPr>
            <w:r>
              <w:rPr>
                <w:rFonts w:ascii="Arial" w:cs="Arial" w:eastAsia="Arial" w:hAnsi="Arial"/>
                <w:sz w:val="13"/>
                <w:szCs w:val="13"/>
                <w:b w:val="1"/>
                <w:bCs w:val="1"/>
                <w:color w:val="auto"/>
                <w:w w:val="89"/>
              </w:rPr>
              <w:t>Interest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6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Upstream</w:t>
            </w:r>
          </w:p>
        </w:tc>
        <w:tc>
          <w:tcPr>
            <w:tcW w:w="34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Aera Energy LLC</w:t>
            </w:r>
          </w:p>
        </w:tc>
        <w:tc>
          <w:tcPr>
            <w:tcW w:w="3480" w:type="dxa"/>
            <w:vAlign w:val="bottom"/>
          </w:tcPr>
          <w:p>
            <w:pPr>
              <w:jc w:val="center"/>
              <w:ind w:left="2986"/>
              <w:spacing w:after="0"/>
              <w:rPr>
                <w:sz w:val="20"/>
                <w:szCs w:val="20"/>
                <w:color w:val="auto"/>
              </w:rPr>
            </w:pPr>
            <w:r>
              <w:rPr>
                <w:rFonts w:ascii="Arial" w:cs="Arial" w:eastAsia="Arial" w:hAnsi="Arial"/>
                <w:sz w:val="15"/>
                <w:szCs w:val="15"/>
                <w:color w:val="auto"/>
                <w:w w:val="83"/>
              </w:rPr>
              <w:t>48</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BEB Erdgas und Erdoel GmbH &amp; Co. KG</w:t>
            </w:r>
          </w:p>
        </w:tc>
        <w:tc>
          <w:tcPr>
            <w:tcW w:w="3480" w:type="dxa"/>
            <w:vAlign w:val="bottom"/>
          </w:tcPr>
          <w:p>
            <w:pPr>
              <w:jc w:val="center"/>
              <w:ind w:left="2986"/>
              <w:spacing w:after="0"/>
              <w:rPr>
                <w:sz w:val="20"/>
                <w:szCs w:val="20"/>
                <w:color w:val="auto"/>
              </w:rPr>
            </w:pPr>
            <w:r>
              <w:rPr>
                <w:rFonts w:ascii="Arial" w:cs="Arial" w:eastAsia="Arial" w:hAnsi="Arial"/>
                <w:sz w:val="15"/>
                <w:szCs w:val="15"/>
                <w:color w:val="auto"/>
                <w:w w:val="83"/>
              </w:rPr>
              <w:t>50</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Cameroon Oil Transportation Company S.A.</w:t>
            </w:r>
          </w:p>
        </w:tc>
        <w:tc>
          <w:tcPr>
            <w:tcW w:w="3480" w:type="dxa"/>
            <w:vAlign w:val="bottom"/>
          </w:tcPr>
          <w:p>
            <w:pPr>
              <w:jc w:val="center"/>
              <w:ind w:left="2986"/>
              <w:spacing w:after="0"/>
              <w:rPr>
                <w:sz w:val="20"/>
                <w:szCs w:val="20"/>
                <w:color w:val="auto"/>
              </w:rPr>
            </w:pPr>
            <w:r>
              <w:rPr>
                <w:rFonts w:ascii="Arial" w:cs="Arial" w:eastAsia="Arial" w:hAnsi="Arial"/>
                <w:sz w:val="15"/>
                <w:szCs w:val="15"/>
                <w:color w:val="auto"/>
                <w:w w:val="83"/>
              </w:rPr>
              <w:t>41</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Cross Timbers Energy, LLC</w:t>
            </w:r>
          </w:p>
        </w:tc>
        <w:tc>
          <w:tcPr>
            <w:tcW w:w="3480" w:type="dxa"/>
            <w:vAlign w:val="bottom"/>
          </w:tcPr>
          <w:p>
            <w:pPr>
              <w:jc w:val="center"/>
              <w:ind w:left="2986"/>
              <w:spacing w:after="0"/>
              <w:rPr>
                <w:sz w:val="20"/>
                <w:szCs w:val="20"/>
                <w:color w:val="auto"/>
              </w:rPr>
            </w:pPr>
            <w:r>
              <w:rPr>
                <w:rFonts w:ascii="Arial" w:cs="Arial" w:eastAsia="Arial" w:hAnsi="Arial"/>
                <w:sz w:val="15"/>
                <w:szCs w:val="15"/>
                <w:color w:val="auto"/>
                <w:w w:val="83"/>
              </w:rPr>
              <w:t>50</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Golden Pass LNG Terminal LLC</w:t>
            </w:r>
          </w:p>
        </w:tc>
        <w:tc>
          <w:tcPr>
            <w:tcW w:w="3480" w:type="dxa"/>
            <w:vAlign w:val="bottom"/>
          </w:tcPr>
          <w:p>
            <w:pPr>
              <w:jc w:val="center"/>
              <w:ind w:left="2986"/>
              <w:spacing w:after="0"/>
              <w:rPr>
                <w:sz w:val="20"/>
                <w:szCs w:val="20"/>
                <w:color w:val="auto"/>
              </w:rPr>
            </w:pPr>
            <w:r>
              <w:rPr>
                <w:rFonts w:ascii="Arial" w:cs="Arial" w:eastAsia="Arial" w:hAnsi="Arial"/>
                <w:sz w:val="15"/>
                <w:szCs w:val="15"/>
                <w:color w:val="auto"/>
                <w:w w:val="83"/>
              </w:rPr>
              <w:t>18</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Karmorneftegaz Holding SARL</w:t>
            </w:r>
          </w:p>
        </w:tc>
        <w:tc>
          <w:tcPr>
            <w:tcW w:w="3480" w:type="dxa"/>
            <w:vAlign w:val="bottom"/>
          </w:tcPr>
          <w:p>
            <w:pPr>
              <w:jc w:val="center"/>
              <w:ind w:left="2986"/>
              <w:spacing w:after="0"/>
              <w:rPr>
                <w:sz w:val="20"/>
                <w:szCs w:val="20"/>
                <w:color w:val="auto"/>
              </w:rPr>
            </w:pPr>
            <w:r>
              <w:rPr>
                <w:rFonts w:ascii="Arial" w:cs="Arial" w:eastAsia="Arial" w:hAnsi="Arial"/>
                <w:sz w:val="15"/>
                <w:szCs w:val="15"/>
                <w:color w:val="auto"/>
                <w:w w:val="83"/>
              </w:rPr>
              <w:t>33</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Marine Well Containment Company LLC</w:t>
            </w:r>
          </w:p>
        </w:tc>
        <w:tc>
          <w:tcPr>
            <w:tcW w:w="3480" w:type="dxa"/>
            <w:vAlign w:val="bottom"/>
          </w:tcPr>
          <w:p>
            <w:pPr>
              <w:jc w:val="center"/>
              <w:ind w:left="2986"/>
              <w:spacing w:after="0"/>
              <w:rPr>
                <w:sz w:val="20"/>
                <w:szCs w:val="20"/>
                <w:color w:val="auto"/>
              </w:rPr>
            </w:pPr>
            <w:r>
              <w:rPr>
                <w:rFonts w:ascii="Arial" w:cs="Arial" w:eastAsia="Arial" w:hAnsi="Arial"/>
                <w:sz w:val="15"/>
                <w:szCs w:val="15"/>
                <w:color w:val="auto"/>
                <w:w w:val="83"/>
              </w:rPr>
              <w:t>10</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Nederlandse Aardolie Maatschappij B.V.</w:t>
            </w:r>
          </w:p>
        </w:tc>
        <w:tc>
          <w:tcPr>
            <w:tcW w:w="3480" w:type="dxa"/>
            <w:vAlign w:val="bottom"/>
          </w:tcPr>
          <w:p>
            <w:pPr>
              <w:jc w:val="center"/>
              <w:ind w:left="2986"/>
              <w:spacing w:after="0"/>
              <w:rPr>
                <w:sz w:val="20"/>
                <w:szCs w:val="20"/>
                <w:color w:val="auto"/>
              </w:rPr>
            </w:pPr>
            <w:r>
              <w:rPr>
                <w:rFonts w:ascii="Arial" w:cs="Arial" w:eastAsia="Arial" w:hAnsi="Arial"/>
                <w:sz w:val="15"/>
                <w:szCs w:val="15"/>
                <w:color w:val="auto"/>
                <w:w w:val="83"/>
              </w:rPr>
              <w:t>50</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Qatar Liquefied Gas Company Limited</w:t>
            </w:r>
          </w:p>
        </w:tc>
        <w:tc>
          <w:tcPr>
            <w:tcW w:w="3480" w:type="dxa"/>
            <w:vAlign w:val="bottom"/>
          </w:tcPr>
          <w:p>
            <w:pPr>
              <w:jc w:val="center"/>
              <w:ind w:left="2986"/>
              <w:spacing w:after="0"/>
              <w:rPr>
                <w:sz w:val="20"/>
                <w:szCs w:val="20"/>
                <w:color w:val="auto"/>
              </w:rPr>
            </w:pPr>
            <w:r>
              <w:rPr>
                <w:rFonts w:ascii="Arial" w:cs="Arial" w:eastAsia="Arial" w:hAnsi="Arial"/>
                <w:sz w:val="15"/>
                <w:szCs w:val="15"/>
                <w:color w:val="auto"/>
                <w:w w:val="83"/>
              </w:rPr>
              <w:t>10</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Qatar Liquefied Gas Company Limited (2)</w:t>
            </w:r>
          </w:p>
        </w:tc>
        <w:tc>
          <w:tcPr>
            <w:tcW w:w="3480" w:type="dxa"/>
            <w:vAlign w:val="bottom"/>
          </w:tcPr>
          <w:p>
            <w:pPr>
              <w:jc w:val="center"/>
              <w:ind w:left="2986"/>
              <w:spacing w:after="0"/>
              <w:rPr>
                <w:sz w:val="20"/>
                <w:szCs w:val="20"/>
                <w:color w:val="auto"/>
              </w:rPr>
            </w:pPr>
            <w:r>
              <w:rPr>
                <w:rFonts w:ascii="Arial" w:cs="Arial" w:eastAsia="Arial" w:hAnsi="Arial"/>
                <w:sz w:val="15"/>
                <w:szCs w:val="15"/>
                <w:color w:val="auto"/>
                <w:w w:val="83"/>
              </w:rPr>
              <w:t>24</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Ras Laffan Liquefied Natural Gas Company Limited</w:t>
            </w:r>
          </w:p>
        </w:tc>
        <w:tc>
          <w:tcPr>
            <w:tcW w:w="3480" w:type="dxa"/>
            <w:vAlign w:val="bottom"/>
          </w:tcPr>
          <w:p>
            <w:pPr>
              <w:jc w:val="center"/>
              <w:ind w:left="2986"/>
              <w:spacing w:after="0"/>
              <w:rPr>
                <w:sz w:val="20"/>
                <w:szCs w:val="20"/>
                <w:color w:val="auto"/>
              </w:rPr>
            </w:pPr>
            <w:r>
              <w:rPr>
                <w:rFonts w:ascii="Arial" w:cs="Arial" w:eastAsia="Arial" w:hAnsi="Arial"/>
                <w:sz w:val="15"/>
                <w:szCs w:val="15"/>
                <w:color w:val="auto"/>
                <w:w w:val="83"/>
              </w:rPr>
              <w:t>25</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5"/>
                <w:szCs w:val="15"/>
                <w:color w:val="auto"/>
                <w:w w:val="98"/>
              </w:rPr>
              <w:t>Ras Laffan Liquefied Natural Gas Company Limited (II)</w:t>
            </w:r>
          </w:p>
        </w:tc>
        <w:tc>
          <w:tcPr>
            <w:tcW w:w="3480" w:type="dxa"/>
            <w:vAlign w:val="bottom"/>
          </w:tcPr>
          <w:p>
            <w:pPr>
              <w:jc w:val="center"/>
              <w:ind w:left="2986"/>
              <w:spacing w:after="0"/>
              <w:rPr>
                <w:sz w:val="20"/>
                <w:szCs w:val="20"/>
                <w:color w:val="auto"/>
              </w:rPr>
            </w:pPr>
            <w:r>
              <w:rPr>
                <w:rFonts w:ascii="Arial" w:cs="Arial" w:eastAsia="Arial" w:hAnsi="Arial"/>
                <w:sz w:val="15"/>
                <w:szCs w:val="15"/>
                <w:color w:val="auto"/>
                <w:w w:val="83"/>
              </w:rPr>
              <w:t>31</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5"/>
                <w:szCs w:val="15"/>
                <w:color w:val="auto"/>
                <w:w w:val="98"/>
              </w:rPr>
              <w:t>Ras Laffan Liquefied Natural Gas Company Limited (3)</w:t>
            </w:r>
          </w:p>
        </w:tc>
        <w:tc>
          <w:tcPr>
            <w:tcW w:w="3480" w:type="dxa"/>
            <w:vAlign w:val="bottom"/>
          </w:tcPr>
          <w:p>
            <w:pPr>
              <w:jc w:val="center"/>
              <w:ind w:left="2986"/>
              <w:spacing w:after="0"/>
              <w:rPr>
                <w:sz w:val="20"/>
                <w:szCs w:val="20"/>
                <w:color w:val="auto"/>
              </w:rPr>
            </w:pPr>
            <w:r>
              <w:rPr>
                <w:rFonts w:ascii="Arial" w:cs="Arial" w:eastAsia="Arial" w:hAnsi="Arial"/>
                <w:sz w:val="15"/>
                <w:szCs w:val="15"/>
                <w:color w:val="auto"/>
                <w:w w:val="83"/>
              </w:rPr>
              <w:t>30</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South Hook LNG Terminal Company Limited</w:t>
            </w:r>
          </w:p>
        </w:tc>
        <w:tc>
          <w:tcPr>
            <w:tcW w:w="3480" w:type="dxa"/>
            <w:vAlign w:val="bottom"/>
          </w:tcPr>
          <w:p>
            <w:pPr>
              <w:jc w:val="center"/>
              <w:ind w:left="2986"/>
              <w:spacing w:after="0"/>
              <w:rPr>
                <w:sz w:val="20"/>
                <w:szCs w:val="20"/>
                <w:color w:val="auto"/>
              </w:rPr>
            </w:pPr>
            <w:r>
              <w:rPr>
                <w:rFonts w:ascii="Arial" w:cs="Arial" w:eastAsia="Arial" w:hAnsi="Arial"/>
                <w:sz w:val="15"/>
                <w:szCs w:val="15"/>
                <w:color w:val="auto"/>
                <w:w w:val="83"/>
              </w:rPr>
              <w:t>24</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Tengizchevroil, LLP</w:t>
            </w:r>
          </w:p>
        </w:tc>
        <w:tc>
          <w:tcPr>
            <w:tcW w:w="3480" w:type="dxa"/>
            <w:vAlign w:val="bottom"/>
          </w:tcPr>
          <w:p>
            <w:pPr>
              <w:jc w:val="center"/>
              <w:ind w:left="2986"/>
              <w:spacing w:after="0"/>
              <w:rPr>
                <w:sz w:val="20"/>
                <w:szCs w:val="20"/>
                <w:color w:val="auto"/>
              </w:rPr>
            </w:pPr>
            <w:r>
              <w:rPr>
                <w:rFonts w:ascii="Arial" w:cs="Arial" w:eastAsia="Arial" w:hAnsi="Arial"/>
                <w:sz w:val="15"/>
                <w:szCs w:val="15"/>
                <w:color w:val="auto"/>
                <w:w w:val="83"/>
              </w:rPr>
              <w:t>25</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Terminale GNL Adriatico S.r.l.</w:t>
            </w:r>
          </w:p>
        </w:tc>
        <w:tc>
          <w:tcPr>
            <w:tcW w:w="3480" w:type="dxa"/>
            <w:vAlign w:val="bottom"/>
          </w:tcPr>
          <w:p>
            <w:pPr>
              <w:jc w:val="center"/>
              <w:ind w:left="2986"/>
              <w:spacing w:after="0"/>
              <w:rPr>
                <w:sz w:val="20"/>
                <w:szCs w:val="20"/>
                <w:color w:val="auto"/>
              </w:rPr>
            </w:pPr>
            <w:r>
              <w:rPr>
                <w:rFonts w:ascii="Arial" w:cs="Arial" w:eastAsia="Arial" w:hAnsi="Arial"/>
                <w:sz w:val="15"/>
                <w:szCs w:val="15"/>
                <w:color w:val="auto"/>
                <w:w w:val="83"/>
              </w:rPr>
              <w:t>71</w:t>
            </w: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Arial" w:cs="Arial" w:eastAsia="Arial" w:hAnsi="Arial"/>
                <w:sz w:val="16"/>
                <w:szCs w:val="16"/>
                <w:b w:val="1"/>
                <w:bCs w:val="1"/>
                <w:color w:val="auto"/>
              </w:rPr>
              <w:t>Downstream</w:t>
            </w:r>
          </w:p>
        </w:tc>
        <w:tc>
          <w:tcPr>
            <w:tcW w:w="3480" w:type="dxa"/>
            <w:vAlign w:val="bottom"/>
            <w:vMerge w:val="restart"/>
          </w:tcPr>
          <w:p>
            <w:pPr>
              <w:jc w:val="center"/>
              <w:ind w:left="2986"/>
              <w:spacing w:after="0"/>
              <w:rPr>
                <w:sz w:val="20"/>
                <w:szCs w:val="20"/>
                <w:color w:val="auto"/>
              </w:rPr>
            </w:pPr>
            <w:r>
              <w:rPr>
                <w:rFonts w:ascii="Arial" w:cs="Arial" w:eastAsia="Arial" w:hAnsi="Arial"/>
                <w:sz w:val="15"/>
                <w:szCs w:val="15"/>
                <w:color w:val="auto"/>
                <w:w w:val="83"/>
              </w:rPr>
              <w:t>50</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Chalmette Refining, LLC</w:t>
            </w:r>
          </w:p>
        </w:tc>
        <w:tc>
          <w:tcPr>
            <w:tcW w:w="34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Fujian Refining &amp; Petrochemical Co. Ltd.</w:t>
            </w:r>
          </w:p>
        </w:tc>
        <w:tc>
          <w:tcPr>
            <w:tcW w:w="3480" w:type="dxa"/>
            <w:vAlign w:val="bottom"/>
          </w:tcPr>
          <w:p>
            <w:pPr>
              <w:jc w:val="center"/>
              <w:ind w:left="2986"/>
              <w:spacing w:after="0"/>
              <w:rPr>
                <w:sz w:val="20"/>
                <w:szCs w:val="20"/>
                <w:color w:val="auto"/>
              </w:rPr>
            </w:pPr>
            <w:r>
              <w:rPr>
                <w:rFonts w:ascii="Arial" w:cs="Arial" w:eastAsia="Arial" w:hAnsi="Arial"/>
                <w:sz w:val="15"/>
                <w:szCs w:val="15"/>
                <w:color w:val="auto"/>
                <w:w w:val="83"/>
              </w:rPr>
              <w:t>25</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Saudi Aramco Mobil Refinery Company Ltd.</w:t>
            </w:r>
          </w:p>
        </w:tc>
        <w:tc>
          <w:tcPr>
            <w:tcW w:w="3480" w:type="dxa"/>
            <w:vAlign w:val="bottom"/>
          </w:tcPr>
          <w:p>
            <w:pPr>
              <w:jc w:val="center"/>
              <w:ind w:left="2986"/>
              <w:spacing w:after="0"/>
              <w:rPr>
                <w:sz w:val="20"/>
                <w:szCs w:val="20"/>
                <w:color w:val="auto"/>
              </w:rPr>
            </w:pPr>
            <w:r>
              <w:rPr>
                <w:rFonts w:ascii="Arial" w:cs="Arial" w:eastAsia="Arial" w:hAnsi="Arial"/>
                <w:sz w:val="15"/>
                <w:szCs w:val="15"/>
                <w:color w:val="auto"/>
                <w:w w:val="83"/>
              </w:rPr>
              <w:t>50</w:t>
            </w: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Arial" w:cs="Arial" w:eastAsia="Arial" w:hAnsi="Arial"/>
                <w:sz w:val="16"/>
                <w:szCs w:val="16"/>
                <w:b w:val="1"/>
                <w:bCs w:val="1"/>
                <w:color w:val="auto"/>
              </w:rPr>
              <w:t>Chemical</w:t>
            </w:r>
          </w:p>
        </w:tc>
        <w:tc>
          <w:tcPr>
            <w:tcW w:w="3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Al-Jubail Petrochemical Company</w:t>
            </w:r>
          </w:p>
        </w:tc>
        <w:tc>
          <w:tcPr>
            <w:tcW w:w="3480" w:type="dxa"/>
            <w:vAlign w:val="bottom"/>
          </w:tcPr>
          <w:p>
            <w:pPr>
              <w:jc w:val="center"/>
              <w:ind w:left="2986"/>
              <w:spacing w:after="0"/>
              <w:rPr>
                <w:sz w:val="20"/>
                <w:szCs w:val="20"/>
                <w:color w:val="auto"/>
              </w:rPr>
            </w:pPr>
            <w:r>
              <w:rPr>
                <w:rFonts w:ascii="Arial" w:cs="Arial" w:eastAsia="Arial" w:hAnsi="Arial"/>
                <w:sz w:val="15"/>
                <w:szCs w:val="15"/>
                <w:color w:val="auto"/>
                <w:w w:val="83"/>
              </w:rPr>
              <w:t>50</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Infineum Holdings B.V.</w:t>
            </w:r>
          </w:p>
        </w:tc>
        <w:tc>
          <w:tcPr>
            <w:tcW w:w="3480" w:type="dxa"/>
            <w:vAlign w:val="bottom"/>
          </w:tcPr>
          <w:p>
            <w:pPr>
              <w:jc w:val="center"/>
              <w:ind w:left="2986"/>
              <w:spacing w:after="0"/>
              <w:rPr>
                <w:sz w:val="20"/>
                <w:szCs w:val="20"/>
                <w:color w:val="auto"/>
              </w:rPr>
            </w:pPr>
            <w:r>
              <w:rPr>
                <w:rFonts w:ascii="Arial" w:cs="Arial" w:eastAsia="Arial" w:hAnsi="Arial"/>
                <w:sz w:val="15"/>
                <w:szCs w:val="15"/>
                <w:color w:val="auto"/>
                <w:w w:val="83"/>
              </w:rPr>
              <w:t>50</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Infineum USA L.P.</w:t>
            </w:r>
          </w:p>
        </w:tc>
        <w:tc>
          <w:tcPr>
            <w:tcW w:w="3480" w:type="dxa"/>
            <w:vAlign w:val="bottom"/>
          </w:tcPr>
          <w:p>
            <w:pPr>
              <w:jc w:val="center"/>
              <w:ind w:left="2986"/>
              <w:spacing w:after="0"/>
              <w:rPr>
                <w:sz w:val="20"/>
                <w:szCs w:val="20"/>
                <w:color w:val="auto"/>
              </w:rPr>
            </w:pPr>
            <w:r>
              <w:rPr>
                <w:rFonts w:ascii="Arial" w:cs="Arial" w:eastAsia="Arial" w:hAnsi="Arial"/>
                <w:sz w:val="15"/>
                <w:szCs w:val="15"/>
                <w:color w:val="auto"/>
                <w:w w:val="83"/>
              </w:rPr>
              <w:t>50</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Saudi Yanbu Petrochemical Co.</w:t>
            </w:r>
          </w:p>
        </w:tc>
        <w:tc>
          <w:tcPr>
            <w:tcW w:w="3480" w:type="dxa"/>
            <w:vAlign w:val="bottom"/>
          </w:tcPr>
          <w:p>
            <w:pPr>
              <w:jc w:val="center"/>
              <w:ind w:left="2986"/>
              <w:spacing w:after="0"/>
              <w:rPr>
                <w:sz w:val="20"/>
                <w:szCs w:val="20"/>
                <w:color w:val="auto"/>
              </w:rPr>
            </w:pPr>
            <w:r>
              <w:rPr>
                <w:rFonts w:ascii="Arial" w:cs="Arial" w:eastAsia="Arial" w:hAnsi="Arial"/>
                <w:sz w:val="15"/>
                <w:szCs w:val="15"/>
                <w:color w:val="auto"/>
                <w:w w:val="83"/>
              </w:rPr>
              <w:t>50</w:t>
            </w: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2"/>
        </w:trPr>
        <w:tc>
          <w:tcPr>
            <w:tcW w:w="58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Arial" w:cs="Arial" w:eastAsia="Arial" w:hAnsi="Arial"/>
                <w:sz w:val="16"/>
                <w:szCs w:val="16"/>
                <w:b w:val="1"/>
                <w:bCs w:val="1"/>
                <w:color w:val="auto"/>
              </w:rPr>
              <w:t>8. Investments, Advances and Long-Term Receivables</w:t>
            </w:r>
          </w:p>
        </w:tc>
        <w:tc>
          <w:tcPr>
            <w:tcW w:w="3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760" w:type="dxa"/>
            <w:vAlign w:val="bottom"/>
            <w:gridSpan w:val="2"/>
          </w:tcPr>
          <w:p>
            <w:pPr>
              <w:jc w:val="right"/>
              <w:ind w:right="1075"/>
              <w:spacing w:after="0"/>
              <w:rPr>
                <w:sz w:val="20"/>
                <w:szCs w:val="20"/>
                <w:color w:val="auto"/>
              </w:rPr>
            </w:pPr>
            <w:r>
              <w:rPr>
                <w:rFonts w:ascii="Arial" w:cs="Arial" w:eastAsia="Arial" w:hAnsi="Arial"/>
                <w:sz w:val="13"/>
                <w:szCs w:val="13"/>
                <w:b w:val="1"/>
                <w:bCs w:val="1"/>
                <w:color w:val="auto"/>
              </w:rPr>
              <w:t>Dec. 31,</w:t>
            </w:r>
          </w:p>
        </w:tc>
        <w:tc>
          <w:tcPr>
            <w:tcW w:w="140" w:type="dxa"/>
            <w:vAlign w:val="bottom"/>
            <w:gridSpan w:val="2"/>
          </w:tcPr>
          <w:p>
            <w:pPr>
              <w:ind w:left="20"/>
              <w:spacing w:after="0"/>
              <w:rPr>
                <w:sz w:val="20"/>
                <w:szCs w:val="20"/>
                <w:color w:val="auto"/>
              </w:rPr>
            </w:pPr>
            <w:r>
              <w:rPr>
                <w:rFonts w:ascii="Arial" w:cs="Arial" w:eastAsia="Arial" w:hAnsi="Arial"/>
                <w:sz w:val="13"/>
                <w:szCs w:val="13"/>
                <w:b w:val="1"/>
                <w:bCs w:val="1"/>
                <w:color w:val="auto"/>
              </w:rPr>
              <w:t>D</w:t>
            </w: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5240" w:type="dxa"/>
            <w:vAlign w:val="bottom"/>
            <w:gridSpan w:val="3"/>
          </w:tcPr>
          <w:p>
            <w:pPr>
              <w:jc w:val="right"/>
              <w:ind w:right="1155"/>
              <w:spacing w:after="0"/>
              <w:rPr>
                <w:sz w:val="20"/>
                <w:szCs w:val="20"/>
                <w:color w:val="auto"/>
              </w:rPr>
            </w:pPr>
            <w:r>
              <w:rPr>
                <w:rFonts w:ascii="Arial" w:cs="Arial" w:eastAsia="Arial" w:hAnsi="Arial"/>
                <w:sz w:val="13"/>
                <w:szCs w:val="13"/>
                <w:b w:val="1"/>
                <w:bCs w:val="1"/>
                <w:color w:val="auto"/>
              </w:rPr>
              <w:t>2014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i w:val="1"/>
                <w:iCs w:val="1"/>
                <w:color w:val="auto"/>
              </w:rPr>
              <w:t>(millions of dollars)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6"/>
                <w:szCs w:val="16"/>
                <w:color w:val="auto"/>
              </w:rPr>
              <w:t>Companies carried at equity in underlying assets</w:t>
            </w:r>
          </w:p>
        </w:tc>
        <w:tc>
          <w:tcPr>
            <w:tcW w:w="3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5560" w:type="dxa"/>
            <w:vAlign w:val="bottom"/>
            <w:gridSpan w:val="2"/>
          </w:tcPr>
          <w:p>
            <w:pPr>
              <w:ind w:left="240"/>
              <w:spacing w:after="0"/>
              <w:rPr>
                <w:sz w:val="20"/>
                <w:szCs w:val="20"/>
                <w:color w:val="auto"/>
              </w:rPr>
            </w:pPr>
            <w:r>
              <w:rPr>
                <w:rFonts w:ascii="Arial" w:cs="Arial" w:eastAsia="Arial" w:hAnsi="Arial"/>
                <w:sz w:val="16"/>
                <w:szCs w:val="16"/>
                <w:color w:val="auto"/>
              </w:rPr>
              <w:t>Investments</w:t>
            </w:r>
          </w:p>
        </w:tc>
        <w:tc>
          <w:tcPr>
            <w:tcW w:w="5240" w:type="dxa"/>
            <w:vAlign w:val="bottom"/>
            <w:gridSpan w:val="3"/>
          </w:tcPr>
          <w:p>
            <w:pPr>
              <w:jc w:val="right"/>
              <w:ind w:right="935"/>
              <w:spacing w:after="0"/>
              <w:rPr>
                <w:sz w:val="20"/>
                <w:szCs w:val="20"/>
                <w:color w:val="auto"/>
              </w:rPr>
            </w:pPr>
            <w:r>
              <w:rPr>
                <w:rFonts w:ascii="Arial" w:cs="Arial" w:eastAsia="Arial" w:hAnsi="Arial"/>
                <w:sz w:val="16"/>
                <w:szCs w:val="16"/>
                <w:color w:val="auto"/>
              </w:rPr>
              <w:t>20,017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5560" w:type="dxa"/>
            <w:vAlign w:val="bottom"/>
            <w:gridSpan w:val="2"/>
          </w:tcPr>
          <w:p>
            <w:pPr>
              <w:ind w:left="240"/>
              <w:spacing w:after="0"/>
              <w:rPr>
                <w:sz w:val="20"/>
                <w:szCs w:val="20"/>
                <w:color w:val="auto"/>
              </w:rPr>
            </w:pPr>
            <w:r>
              <w:rPr>
                <w:rFonts w:ascii="Arial" w:cs="Arial" w:eastAsia="Arial" w:hAnsi="Arial"/>
                <w:sz w:val="16"/>
                <w:szCs w:val="16"/>
                <w:color w:val="auto"/>
              </w:rPr>
              <w:t>Advances</w:t>
            </w:r>
          </w:p>
        </w:tc>
        <w:tc>
          <w:tcPr>
            <w:tcW w:w="5240" w:type="dxa"/>
            <w:vAlign w:val="bottom"/>
            <w:gridSpan w:val="3"/>
          </w:tcPr>
          <w:p>
            <w:pPr>
              <w:jc w:val="right"/>
              <w:ind w:right="935"/>
              <w:spacing w:after="0"/>
              <w:rPr>
                <w:sz w:val="20"/>
                <w:szCs w:val="20"/>
                <w:color w:val="auto"/>
              </w:rPr>
            </w:pPr>
            <w:r>
              <w:rPr>
                <w:rFonts w:ascii="Arial" w:cs="Arial" w:eastAsia="Arial" w:hAnsi="Arial"/>
                <w:sz w:val="16"/>
                <w:szCs w:val="16"/>
                <w:color w:val="auto"/>
              </w:rPr>
              <w:t>9,818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5560" w:type="dxa"/>
            <w:vAlign w:val="bottom"/>
            <w:gridSpan w:val="2"/>
          </w:tcPr>
          <w:p>
            <w:pPr>
              <w:ind w:left="480"/>
              <w:spacing w:after="0" w:line="183" w:lineRule="exact"/>
              <w:rPr>
                <w:sz w:val="20"/>
                <w:szCs w:val="20"/>
                <w:color w:val="auto"/>
              </w:rPr>
            </w:pPr>
            <w:r>
              <w:rPr>
                <w:rFonts w:ascii="Arial" w:cs="Arial" w:eastAsia="Arial" w:hAnsi="Arial"/>
                <w:sz w:val="16"/>
                <w:szCs w:val="16"/>
                <w:color w:val="auto"/>
              </w:rPr>
              <w:t>Total equity company investments and advances</w:t>
            </w:r>
          </w:p>
        </w:tc>
        <w:tc>
          <w:tcPr>
            <w:tcW w:w="3480" w:type="dxa"/>
            <w:vAlign w:val="bottom"/>
          </w:tcPr>
          <w:p>
            <w:pPr>
              <w:spacing w:after="0"/>
              <w:rPr>
                <w:sz w:val="15"/>
                <w:szCs w:val="15"/>
                <w:color w:val="auto"/>
              </w:rPr>
            </w:pPr>
          </w:p>
        </w:tc>
        <w:tc>
          <w:tcPr>
            <w:tcW w:w="1760" w:type="dxa"/>
            <w:vAlign w:val="bottom"/>
            <w:tcBorders>
              <w:top w:val="single" w:sz="8" w:color="auto"/>
            </w:tcBorders>
            <w:gridSpan w:val="2"/>
          </w:tcPr>
          <w:p>
            <w:pPr>
              <w:jc w:val="right"/>
              <w:ind w:right="935"/>
              <w:spacing w:after="0"/>
              <w:rPr>
                <w:sz w:val="20"/>
                <w:szCs w:val="20"/>
                <w:color w:val="auto"/>
              </w:rPr>
            </w:pPr>
            <w:r>
              <w:rPr>
                <w:rFonts w:ascii="Arial" w:cs="Arial" w:eastAsia="Arial" w:hAnsi="Arial"/>
                <w:sz w:val="16"/>
                <w:szCs w:val="16"/>
                <w:color w:val="auto"/>
              </w:rPr>
              <w:t>29,835</w:t>
            </w: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6"/>
                <w:szCs w:val="16"/>
                <w:color w:val="auto"/>
              </w:rPr>
              <w:t>Companies carried at cost or less and stock investments carried at fair value</w:t>
            </w:r>
          </w:p>
        </w:tc>
        <w:tc>
          <w:tcPr>
            <w:tcW w:w="5240" w:type="dxa"/>
            <w:vAlign w:val="bottom"/>
            <w:gridSpan w:val="3"/>
          </w:tcPr>
          <w:p>
            <w:pPr>
              <w:jc w:val="right"/>
              <w:ind w:right="935"/>
              <w:spacing w:after="0"/>
              <w:rPr>
                <w:sz w:val="20"/>
                <w:szCs w:val="20"/>
                <w:color w:val="auto"/>
              </w:rPr>
            </w:pPr>
            <w:r>
              <w:rPr>
                <w:rFonts w:ascii="Arial" w:cs="Arial" w:eastAsia="Arial" w:hAnsi="Arial"/>
                <w:sz w:val="16"/>
                <w:szCs w:val="16"/>
                <w:color w:val="auto"/>
              </w:rPr>
              <w:t>526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6"/>
                <w:szCs w:val="16"/>
                <w:color w:val="auto"/>
                <w:w w:val="91"/>
              </w:rPr>
              <w:t>Long-term receivables and miscellaneous investments at cost or less, net of reserves</w:t>
            </w:r>
          </w:p>
        </w:tc>
        <w:tc>
          <w:tcPr>
            <w:tcW w:w="3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5560" w:type="dxa"/>
            <w:vAlign w:val="bottom"/>
            <w:gridSpan w:val="2"/>
          </w:tcPr>
          <w:p>
            <w:pPr>
              <w:ind w:left="240"/>
              <w:spacing w:after="0"/>
              <w:rPr>
                <w:sz w:val="20"/>
                <w:szCs w:val="20"/>
                <w:color w:val="auto"/>
              </w:rPr>
            </w:pPr>
            <w:r>
              <w:rPr>
                <w:rFonts w:ascii="Arial" w:cs="Arial" w:eastAsia="Arial" w:hAnsi="Arial"/>
                <w:sz w:val="16"/>
                <w:szCs w:val="16"/>
                <w:color w:val="auto"/>
              </w:rPr>
              <w:t>of $2,662 million and $2,938 million</w:t>
            </w:r>
          </w:p>
        </w:tc>
        <w:tc>
          <w:tcPr>
            <w:tcW w:w="5240" w:type="dxa"/>
            <w:vAlign w:val="bottom"/>
            <w:gridSpan w:val="3"/>
          </w:tcPr>
          <w:p>
            <w:pPr>
              <w:jc w:val="right"/>
              <w:ind w:right="935"/>
              <w:spacing w:after="0"/>
              <w:rPr>
                <w:sz w:val="20"/>
                <w:szCs w:val="20"/>
                <w:color w:val="auto"/>
              </w:rPr>
            </w:pPr>
            <w:r>
              <w:rPr>
                <w:rFonts w:ascii="Arial" w:cs="Arial" w:eastAsia="Arial" w:hAnsi="Arial"/>
                <w:sz w:val="16"/>
                <w:szCs w:val="16"/>
                <w:color w:val="auto"/>
              </w:rPr>
              <w:t>4,878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560" w:type="dxa"/>
            <w:vAlign w:val="bottom"/>
            <w:gridSpan w:val="2"/>
          </w:tcPr>
          <w:p>
            <w:pPr>
              <w:ind w:left="480"/>
              <w:spacing w:after="0" w:line="183" w:lineRule="exact"/>
              <w:rPr>
                <w:sz w:val="20"/>
                <w:szCs w:val="20"/>
                <w:color w:val="auto"/>
              </w:rPr>
            </w:pPr>
            <w:r>
              <w:rPr>
                <w:rFonts w:ascii="Arial" w:cs="Arial" w:eastAsia="Arial" w:hAnsi="Arial"/>
                <w:sz w:val="16"/>
                <w:szCs w:val="16"/>
                <w:color w:val="auto"/>
              </w:rPr>
              <w:t>Total</w:t>
            </w:r>
          </w:p>
        </w:tc>
        <w:tc>
          <w:tcPr>
            <w:tcW w:w="3480" w:type="dxa"/>
            <w:vAlign w:val="bottom"/>
          </w:tcPr>
          <w:p>
            <w:pPr>
              <w:spacing w:after="0"/>
              <w:rPr>
                <w:sz w:val="17"/>
                <w:szCs w:val="17"/>
                <w:color w:val="auto"/>
              </w:rPr>
            </w:pPr>
          </w:p>
        </w:tc>
        <w:tc>
          <w:tcPr>
            <w:tcW w:w="1760" w:type="dxa"/>
            <w:vAlign w:val="bottom"/>
            <w:tcBorders>
              <w:top w:val="single" w:sz="8" w:color="auto"/>
              <w:bottom w:val="single" w:sz="8" w:color="auto"/>
            </w:tcBorders>
            <w:gridSpan w:val="2"/>
          </w:tcPr>
          <w:p>
            <w:pPr>
              <w:jc w:val="right"/>
              <w:ind w:right="935"/>
              <w:spacing w:after="0"/>
              <w:rPr>
                <w:sz w:val="20"/>
                <w:szCs w:val="20"/>
                <w:color w:val="auto"/>
              </w:rPr>
            </w:pPr>
            <w:r>
              <w:rPr>
                <w:rFonts w:ascii="Arial" w:cs="Arial" w:eastAsia="Arial" w:hAnsi="Arial"/>
                <w:sz w:val="16"/>
                <w:szCs w:val="16"/>
                <w:color w:val="auto"/>
              </w:rPr>
              <w:t>35,239</w:t>
            </w:r>
          </w:p>
        </w:tc>
        <w:tc>
          <w:tcPr>
            <w:tcW w:w="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80" w:type="dxa"/>
            <w:vAlign w:val="bottom"/>
          </w:tcPr>
          <w:p>
            <w:pPr>
              <w:jc w:val="right"/>
              <w:ind w:right="3186"/>
              <w:spacing w:after="0"/>
              <w:rPr>
                <w:sz w:val="20"/>
                <w:szCs w:val="20"/>
                <w:color w:val="auto"/>
              </w:rPr>
            </w:pPr>
            <w:r>
              <w:rPr>
                <w:rFonts w:ascii="Arial" w:cs="Arial" w:eastAsia="Arial" w:hAnsi="Arial"/>
                <w:sz w:val="16"/>
                <w:szCs w:val="16"/>
                <w:color w:val="auto"/>
              </w:rPr>
              <w:t>73</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2"/>
        </w:trPr>
        <w:tc>
          <w:tcPr>
            <w:tcW w:w="58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c>
          <w:tcPr>
            <w:tcW w:w="34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589" w:right="139" w:bottom="1440" w:gutter="0" w:footer="0" w:header="0"/>
        </w:sectPr>
      </w:pPr>
    </w:p>
    <w:bookmarkStart w:id="75" w:name="page76"/>
    <w:bookmarkEnd w:id="75"/>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9. Property, Plant and Equipment and Asset Retirement Obligations</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68"/>
        </w:trPr>
        <w:tc>
          <w:tcPr>
            <w:tcW w:w="5500" w:type="dxa"/>
            <w:vAlign w:val="bottom"/>
          </w:tcPr>
          <w:p>
            <w:pPr>
              <w:spacing w:after="0"/>
              <w:rPr>
                <w:sz w:val="14"/>
                <w:szCs w:val="14"/>
                <w:color w:val="auto"/>
              </w:rPr>
            </w:pPr>
          </w:p>
        </w:tc>
        <w:tc>
          <w:tcPr>
            <w:tcW w:w="2000" w:type="dxa"/>
            <w:vAlign w:val="bottom"/>
          </w:tcPr>
          <w:p>
            <w:pPr>
              <w:jc w:val="right"/>
              <w:ind w:right="23"/>
              <w:spacing w:after="0"/>
              <w:rPr>
                <w:sz w:val="20"/>
                <w:szCs w:val="20"/>
                <w:color w:val="auto"/>
              </w:rPr>
            </w:pPr>
            <w:r>
              <w:rPr>
                <w:rFonts w:ascii="Arial" w:cs="Arial" w:eastAsia="Arial" w:hAnsi="Arial"/>
                <w:sz w:val="13"/>
                <w:szCs w:val="13"/>
                <w:b w:val="1"/>
                <w:bCs w:val="1"/>
                <w:color w:val="auto"/>
              </w:rPr>
              <w:t>December 31, 2014</w:t>
            </w:r>
          </w:p>
        </w:tc>
        <w:tc>
          <w:tcPr>
            <w:tcW w:w="1580" w:type="dxa"/>
            <w:vAlign w:val="bottom"/>
          </w:tcPr>
          <w:p>
            <w:pPr>
              <w:spacing w:after="0"/>
              <w:rPr>
                <w:sz w:val="14"/>
                <w:szCs w:val="14"/>
                <w:color w:val="auto"/>
              </w:rPr>
            </w:pPr>
          </w:p>
        </w:tc>
        <w:tc>
          <w:tcPr>
            <w:tcW w:w="1600" w:type="dxa"/>
            <w:vAlign w:val="bottom"/>
          </w:tcPr>
          <w:p>
            <w:pPr>
              <w:jc w:val="right"/>
              <w:ind w:right="3"/>
              <w:spacing w:after="0"/>
              <w:rPr>
                <w:sz w:val="20"/>
                <w:szCs w:val="20"/>
                <w:color w:val="auto"/>
              </w:rPr>
            </w:pPr>
            <w:r>
              <w:rPr>
                <w:rFonts w:ascii="Arial" w:cs="Arial" w:eastAsia="Arial" w:hAnsi="Arial"/>
                <w:sz w:val="13"/>
                <w:szCs w:val="13"/>
                <w:b w:val="1"/>
                <w:bCs w:val="1"/>
                <w:color w:val="auto"/>
              </w:rPr>
              <w:t>December 31, 2013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500" w:type="dxa"/>
            <w:vAlign w:val="bottom"/>
            <w:vMerge w:val="restart"/>
          </w:tcPr>
          <w:p>
            <w:pPr>
              <w:spacing w:after="0"/>
              <w:rPr>
                <w:sz w:val="20"/>
                <w:szCs w:val="20"/>
                <w:color w:val="auto"/>
              </w:rPr>
            </w:pPr>
            <w:r>
              <w:rPr>
                <w:rFonts w:ascii="Arial" w:cs="Arial" w:eastAsia="Arial" w:hAnsi="Arial"/>
                <w:sz w:val="16"/>
                <w:szCs w:val="16"/>
                <w:b w:val="1"/>
                <w:bCs w:val="1"/>
                <w:color w:val="auto"/>
              </w:rPr>
              <w:t>Property, Plant and Equipment</w:t>
            </w:r>
          </w:p>
        </w:tc>
        <w:tc>
          <w:tcPr>
            <w:tcW w:w="2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500" w:type="dxa"/>
            <w:vAlign w:val="bottom"/>
            <w:tcBorders>
              <w:bottom w:val="single" w:sz="8" w:color="auto"/>
            </w:tcBorders>
            <w:vMerge w:val="continue"/>
          </w:tcPr>
          <w:p>
            <w:pPr>
              <w:spacing w:after="0"/>
              <w:rPr>
                <w:sz w:val="15"/>
                <w:szCs w:val="15"/>
                <w:color w:val="auto"/>
              </w:rPr>
            </w:pPr>
          </w:p>
        </w:tc>
        <w:tc>
          <w:tcPr>
            <w:tcW w:w="2000" w:type="dxa"/>
            <w:vAlign w:val="bottom"/>
            <w:tcBorders>
              <w:bottom w:val="single" w:sz="8" w:color="auto"/>
            </w:tcBorders>
          </w:tcPr>
          <w:p>
            <w:pPr>
              <w:jc w:val="right"/>
              <w:ind w:right="1203"/>
              <w:spacing w:after="0"/>
              <w:rPr>
                <w:sz w:val="20"/>
                <w:szCs w:val="20"/>
                <w:color w:val="auto"/>
              </w:rPr>
            </w:pPr>
            <w:r>
              <w:rPr>
                <w:rFonts w:ascii="Arial" w:cs="Arial" w:eastAsia="Arial" w:hAnsi="Arial"/>
                <w:sz w:val="13"/>
                <w:szCs w:val="13"/>
                <w:b w:val="1"/>
                <w:bCs w:val="1"/>
                <w:color w:val="auto"/>
              </w:rPr>
              <w:t>Cost</w:t>
            </w:r>
          </w:p>
        </w:tc>
        <w:tc>
          <w:tcPr>
            <w:tcW w:w="1580" w:type="dxa"/>
            <w:vAlign w:val="bottom"/>
            <w:tcBorders>
              <w:bottom w:val="single" w:sz="8" w:color="auto"/>
            </w:tcBorders>
          </w:tcPr>
          <w:p>
            <w:pPr>
              <w:jc w:val="right"/>
              <w:ind w:right="1223"/>
              <w:spacing w:after="0"/>
              <w:rPr>
                <w:sz w:val="20"/>
                <w:szCs w:val="20"/>
                <w:color w:val="auto"/>
              </w:rPr>
            </w:pPr>
            <w:r>
              <w:rPr>
                <w:rFonts w:ascii="Arial" w:cs="Arial" w:eastAsia="Arial" w:hAnsi="Arial"/>
                <w:sz w:val="13"/>
                <w:szCs w:val="13"/>
                <w:b w:val="1"/>
                <w:bCs w:val="1"/>
                <w:color w:val="auto"/>
              </w:rPr>
              <w:t>Net</w:t>
            </w:r>
          </w:p>
        </w:tc>
        <w:tc>
          <w:tcPr>
            <w:tcW w:w="1600" w:type="dxa"/>
            <w:vAlign w:val="bottom"/>
            <w:tcBorders>
              <w:bottom w:val="single" w:sz="8" w:color="auto"/>
            </w:tcBorders>
          </w:tcPr>
          <w:p>
            <w:pPr>
              <w:jc w:val="right"/>
              <w:ind w:right="1203"/>
              <w:spacing w:after="0"/>
              <w:rPr>
                <w:sz w:val="20"/>
                <w:szCs w:val="20"/>
                <w:color w:val="auto"/>
              </w:rPr>
            </w:pPr>
            <w:r>
              <w:rPr>
                <w:rFonts w:ascii="Arial" w:cs="Arial" w:eastAsia="Arial" w:hAnsi="Arial"/>
                <w:sz w:val="13"/>
                <w:szCs w:val="13"/>
                <w:b w:val="1"/>
                <w:bCs w:val="1"/>
                <w:color w:val="auto"/>
              </w:rPr>
              <w:t>Cost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Ne</w:t>
            </w:r>
          </w:p>
        </w:tc>
        <w:tc>
          <w:tcPr>
            <w:tcW w:w="0" w:type="dxa"/>
            <w:vAlign w:val="bottom"/>
          </w:tcPr>
          <w:p>
            <w:pPr>
              <w:spacing w:after="0"/>
              <w:rPr>
                <w:sz w:val="1"/>
                <w:szCs w:val="1"/>
                <w:color w:val="auto"/>
              </w:rPr>
            </w:pPr>
          </w:p>
        </w:tc>
      </w:tr>
      <w:tr>
        <w:trPr>
          <w:trHeight w:val="166"/>
        </w:trPr>
        <w:tc>
          <w:tcPr>
            <w:tcW w:w="55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580" w:type="dxa"/>
            <w:vAlign w:val="bottom"/>
          </w:tcPr>
          <w:p>
            <w:pPr>
              <w:jc w:val="right"/>
              <w:ind w:right="3"/>
              <w:spacing w:after="0"/>
              <w:rPr>
                <w:sz w:val="20"/>
                <w:szCs w:val="20"/>
                <w:color w:val="auto"/>
              </w:rPr>
            </w:pPr>
            <w:r>
              <w:rPr>
                <w:rFonts w:ascii="Arial" w:cs="Arial" w:eastAsia="Arial" w:hAnsi="Arial"/>
                <w:sz w:val="13"/>
                <w:szCs w:val="13"/>
                <w:i w:val="1"/>
                <w:iCs w:val="1"/>
                <w:color w:val="auto"/>
              </w:rPr>
              <w:t>(millions of dollars)</w:t>
            </w: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3"/>
        </w:trPr>
        <w:tc>
          <w:tcPr>
            <w:tcW w:w="5500" w:type="dxa"/>
            <w:vAlign w:val="bottom"/>
          </w:tcPr>
          <w:p>
            <w:pPr>
              <w:spacing w:after="0"/>
              <w:rPr>
                <w:sz w:val="20"/>
                <w:szCs w:val="20"/>
                <w:color w:val="auto"/>
              </w:rPr>
            </w:pPr>
            <w:r>
              <w:rPr>
                <w:rFonts w:ascii="Arial" w:cs="Arial" w:eastAsia="Arial" w:hAnsi="Arial"/>
                <w:sz w:val="16"/>
                <w:szCs w:val="16"/>
                <w:color w:val="auto"/>
              </w:rPr>
              <w:t>Upstream</w:t>
            </w:r>
          </w:p>
        </w:tc>
        <w:tc>
          <w:tcPr>
            <w:tcW w:w="2000" w:type="dxa"/>
            <w:vAlign w:val="bottom"/>
          </w:tcPr>
          <w:p>
            <w:pPr>
              <w:jc w:val="right"/>
              <w:ind w:right="803"/>
              <w:spacing w:after="0"/>
              <w:rPr>
                <w:sz w:val="20"/>
                <w:szCs w:val="20"/>
                <w:color w:val="auto"/>
              </w:rPr>
            </w:pPr>
            <w:r>
              <w:rPr>
                <w:rFonts w:ascii="Arial" w:cs="Arial" w:eastAsia="Arial" w:hAnsi="Arial"/>
                <w:sz w:val="16"/>
                <w:szCs w:val="16"/>
                <w:color w:val="auto"/>
              </w:rPr>
              <w:t>347,170</w:t>
            </w:r>
          </w:p>
        </w:tc>
        <w:tc>
          <w:tcPr>
            <w:tcW w:w="1580" w:type="dxa"/>
            <w:vAlign w:val="bottom"/>
          </w:tcPr>
          <w:p>
            <w:pPr>
              <w:jc w:val="right"/>
              <w:ind w:right="803"/>
              <w:spacing w:after="0"/>
              <w:rPr>
                <w:sz w:val="20"/>
                <w:szCs w:val="20"/>
                <w:color w:val="auto"/>
              </w:rPr>
            </w:pPr>
            <w:r>
              <w:rPr>
                <w:rFonts w:ascii="Arial" w:cs="Arial" w:eastAsia="Arial" w:hAnsi="Arial"/>
                <w:sz w:val="16"/>
                <w:szCs w:val="16"/>
                <w:color w:val="auto"/>
              </w:rPr>
              <w:t>205,308</w:t>
            </w:r>
          </w:p>
        </w:tc>
        <w:tc>
          <w:tcPr>
            <w:tcW w:w="1600" w:type="dxa"/>
            <w:vAlign w:val="bottom"/>
          </w:tcPr>
          <w:p>
            <w:pPr>
              <w:jc w:val="right"/>
              <w:ind w:right="803"/>
              <w:spacing w:after="0"/>
              <w:rPr>
                <w:sz w:val="20"/>
                <w:szCs w:val="20"/>
                <w:color w:val="auto"/>
              </w:rPr>
            </w:pPr>
            <w:r>
              <w:rPr>
                <w:rFonts w:ascii="Arial" w:cs="Arial" w:eastAsia="Arial" w:hAnsi="Arial"/>
                <w:sz w:val="16"/>
                <w:szCs w:val="16"/>
                <w:color w:val="auto"/>
              </w:rPr>
              <w:t>336,359</w:t>
            </w: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5500" w:type="dxa"/>
            <w:vAlign w:val="bottom"/>
          </w:tcPr>
          <w:p>
            <w:pPr>
              <w:spacing w:after="0"/>
              <w:rPr>
                <w:sz w:val="20"/>
                <w:szCs w:val="20"/>
                <w:color w:val="auto"/>
              </w:rPr>
            </w:pPr>
            <w:r>
              <w:rPr>
                <w:rFonts w:ascii="Arial" w:cs="Arial" w:eastAsia="Arial" w:hAnsi="Arial"/>
                <w:sz w:val="16"/>
                <w:szCs w:val="16"/>
                <w:color w:val="auto"/>
              </w:rPr>
              <w:t>Downstream</w:t>
            </w:r>
          </w:p>
        </w:tc>
        <w:tc>
          <w:tcPr>
            <w:tcW w:w="2000" w:type="dxa"/>
            <w:vAlign w:val="bottom"/>
          </w:tcPr>
          <w:p>
            <w:pPr>
              <w:jc w:val="right"/>
              <w:ind w:right="803"/>
              <w:spacing w:after="0"/>
              <w:rPr>
                <w:sz w:val="20"/>
                <w:szCs w:val="20"/>
                <w:color w:val="auto"/>
              </w:rPr>
            </w:pPr>
            <w:r>
              <w:rPr>
                <w:rFonts w:ascii="Arial" w:cs="Arial" w:eastAsia="Arial" w:hAnsi="Arial"/>
                <w:sz w:val="16"/>
                <w:szCs w:val="16"/>
                <w:color w:val="auto"/>
              </w:rPr>
              <w:t>53,327</w:t>
            </w:r>
          </w:p>
        </w:tc>
        <w:tc>
          <w:tcPr>
            <w:tcW w:w="1580" w:type="dxa"/>
            <w:vAlign w:val="bottom"/>
          </w:tcPr>
          <w:p>
            <w:pPr>
              <w:jc w:val="right"/>
              <w:ind w:right="803"/>
              <w:spacing w:after="0"/>
              <w:rPr>
                <w:sz w:val="20"/>
                <w:szCs w:val="20"/>
                <w:color w:val="auto"/>
              </w:rPr>
            </w:pPr>
            <w:r>
              <w:rPr>
                <w:rFonts w:ascii="Arial" w:cs="Arial" w:eastAsia="Arial" w:hAnsi="Arial"/>
                <w:sz w:val="16"/>
                <w:szCs w:val="16"/>
                <w:color w:val="auto"/>
              </w:rPr>
              <w:t>22,639</w:t>
            </w:r>
          </w:p>
        </w:tc>
        <w:tc>
          <w:tcPr>
            <w:tcW w:w="1600" w:type="dxa"/>
            <w:vAlign w:val="bottom"/>
          </w:tcPr>
          <w:p>
            <w:pPr>
              <w:jc w:val="right"/>
              <w:ind w:right="803"/>
              <w:spacing w:after="0"/>
              <w:rPr>
                <w:sz w:val="20"/>
                <w:szCs w:val="20"/>
                <w:color w:val="auto"/>
              </w:rPr>
            </w:pPr>
            <w:r>
              <w:rPr>
                <w:rFonts w:ascii="Arial" w:cs="Arial" w:eastAsia="Arial" w:hAnsi="Arial"/>
                <w:sz w:val="16"/>
                <w:szCs w:val="16"/>
                <w:color w:val="auto"/>
              </w:rPr>
              <w:t>54,456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00" w:type="dxa"/>
            <w:vAlign w:val="bottom"/>
          </w:tcPr>
          <w:p>
            <w:pPr>
              <w:spacing w:after="0"/>
              <w:rPr>
                <w:sz w:val="20"/>
                <w:szCs w:val="20"/>
                <w:color w:val="auto"/>
              </w:rPr>
            </w:pPr>
            <w:r>
              <w:rPr>
                <w:rFonts w:ascii="Arial" w:cs="Arial" w:eastAsia="Arial" w:hAnsi="Arial"/>
                <w:sz w:val="16"/>
                <w:szCs w:val="16"/>
                <w:color w:val="auto"/>
              </w:rPr>
              <w:t>Chemical</w:t>
            </w:r>
          </w:p>
        </w:tc>
        <w:tc>
          <w:tcPr>
            <w:tcW w:w="2000" w:type="dxa"/>
            <w:vAlign w:val="bottom"/>
          </w:tcPr>
          <w:p>
            <w:pPr>
              <w:jc w:val="right"/>
              <w:ind w:right="803"/>
              <w:spacing w:after="0"/>
              <w:rPr>
                <w:sz w:val="20"/>
                <w:szCs w:val="20"/>
                <w:color w:val="auto"/>
              </w:rPr>
            </w:pPr>
            <w:r>
              <w:rPr>
                <w:rFonts w:ascii="Arial" w:cs="Arial" w:eastAsia="Arial" w:hAnsi="Arial"/>
                <w:sz w:val="16"/>
                <w:szCs w:val="16"/>
                <w:color w:val="auto"/>
              </w:rPr>
              <w:t>30,717</w:t>
            </w:r>
          </w:p>
        </w:tc>
        <w:tc>
          <w:tcPr>
            <w:tcW w:w="1580" w:type="dxa"/>
            <w:vAlign w:val="bottom"/>
          </w:tcPr>
          <w:p>
            <w:pPr>
              <w:jc w:val="right"/>
              <w:ind w:right="803"/>
              <w:spacing w:after="0"/>
              <w:rPr>
                <w:sz w:val="20"/>
                <w:szCs w:val="20"/>
                <w:color w:val="auto"/>
              </w:rPr>
            </w:pPr>
            <w:r>
              <w:rPr>
                <w:rFonts w:ascii="Arial" w:cs="Arial" w:eastAsia="Arial" w:hAnsi="Arial"/>
                <w:sz w:val="16"/>
                <w:szCs w:val="16"/>
                <w:color w:val="auto"/>
              </w:rPr>
              <w:t>14,918</w:t>
            </w:r>
          </w:p>
        </w:tc>
        <w:tc>
          <w:tcPr>
            <w:tcW w:w="1600" w:type="dxa"/>
            <w:vAlign w:val="bottom"/>
          </w:tcPr>
          <w:p>
            <w:pPr>
              <w:jc w:val="right"/>
              <w:ind w:right="803"/>
              <w:spacing w:after="0"/>
              <w:rPr>
                <w:sz w:val="20"/>
                <w:szCs w:val="20"/>
                <w:color w:val="auto"/>
              </w:rPr>
            </w:pPr>
            <w:r>
              <w:rPr>
                <w:rFonts w:ascii="Arial" w:cs="Arial" w:eastAsia="Arial" w:hAnsi="Arial"/>
                <w:sz w:val="16"/>
                <w:szCs w:val="16"/>
                <w:color w:val="auto"/>
              </w:rPr>
              <w:t>29,487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500" w:type="dxa"/>
            <w:vAlign w:val="bottom"/>
          </w:tcPr>
          <w:p>
            <w:pPr>
              <w:spacing w:after="0"/>
              <w:rPr>
                <w:sz w:val="20"/>
                <w:szCs w:val="20"/>
                <w:color w:val="auto"/>
              </w:rPr>
            </w:pPr>
            <w:r>
              <w:rPr>
                <w:rFonts w:ascii="Arial" w:cs="Arial" w:eastAsia="Arial" w:hAnsi="Arial"/>
                <w:sz w:val="16"/>
                <w:szCs w:val="16"/>
                <w:color w:val="auto"/>
              </w:rPr>
              <w:t>Other</w:t>
            </w:r>
          </w:p>
        </w:tc>
        <w:tc>
          <w:tcPr>
            <w:tcW w:w="2000" w:type="dxa"/>
            <w:vAlign w:val="bottom"/>
            <w:tcBorders>
              <w:bottom w:val="single" w:sz="8" w:color="auto"/>
            </w:tcBorders>
          </w:tcPr>
          <w:p>
            <w:pPr>
              <w:jc w:val="right"/>
              <w:ind w:right="803"/>
              <w:spacing w:after="0"/>
              <w:rPr>
                <w:sz w:val="20"/>
                <w:szCs w:val="20"/>
                <w:color w:val="auto"/>
              </w:rPr>
            </w:pPr>
            <w:r>
              <w:rPr>
                <w:rFonts w:ascii="Arial" w:cs="Arial" w:eastAsia="Arial" w:hAnsi="Arial"/>
                <w:sz w:val="16"/>
                <w:szCs w:val="16"/>
                <w:color w:val="auto"/>
              </w:rPr>
              <w:t>15,575</w:t>
            </w:r>
          </w:p>
        </w:tc>
        <w:tc>
          <w:tcPr>
            <w:tcW w:w="1580" w:type="dxa"/>
            <w:vAlign w:val="bottom"/>
            <w:tcBorders>
              <w:bottom w:val="single" w:sz="8" w:color="auto"/>
            </w:tcBorders>
          </w:tcPr>
          <w:p>
            <w:pPr>
              <w:jc w:val="right"/>
              <w:ind w:right="803"/>
              <w:spacing w:after="0"/>
              <w:rPr>
                <w:sz w:val="20"/>
                <w:szCs w:val="20"/>
                <w:color w:val="auto"/>
              </w:rPr>
            </w:pPr>
            <w:r>
              <w:rPr>
                <w:rFonts w:ascii="Arial" w:cs="Arial" w:eastAsia="Arial" w:hAnsi="Arial"/>
                <w:sz w:val="16"/>
                <w:szCs w:val="16"/>
                <w:color w:val="auto"/>
              </w:rPr>
              <w:t>9,803</w:t>
            </w:r>
          </w:p>
        </w:tc>
        <w:tc>
          <w:tcPr>
            <w:tcW w:w="1600" w:type="dxa"/>
            <w:vAlign w:val="bottom"/>
            <w:tcBorders>
              <w:bottom w:val="single" w:sz="8" w:color="auto"/>
            </w:tcBorders>
          </w:tcPr>
          <w:p>
            <w:pPr>
              <w:jc w:val="right"/>
              <w:ind w:right="803"/>
              <w:spacing w:after="0"/>
              <w:rPr>
                <w:sz w:val="20"/>
                <w:szCs w:val="20"/>
                <w:color w:val="auto"/>
              </w:rPr>
            </w:pPr>
            <w:r>
              <w:rPr>
                <w:rFonts w:ascii="Arial" w:cs="Arial" w:eastAsia="Arial" w:hAnsi="Arial"/>
                <w:sz w:val="16"/>
                <w:szCs w:val="16"/>
                <w:color w:val="auto"/>
              </w:rPr>
              <w:t>14,215</w:t>
            </w: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240"/>
              <w:spacing w:after="0"/>
              <w:rPr>
                <w:sz w:val="20"/>
                <w:szCs w:val="20"/>
                <w:color w:val="auto"/>
              </w:rPr>
            </w:pPr>
            <w:r>
              <w:rPr>
                <w:rFonts w:ascii="Arial" w:cs="Arial" w:eastAsia="Arial" w:hAnsi="Arial"/>
                <w:sz w:val="16"/>
                <w:szCs w:val="16"/>
                <w:color w:val="auto"/>
              </w:rPr>
              <w:t>Total</w:t>
            </w:r>
          </w:p>
        </w:tc>
        <w:tc>
          <w:tcPr>
            <w:tcW w:w="2000" w:type="dxa"/>
            <w:vAlign w:val="bottom"/>
            <w:tcBorders>
              <w:bottom w:val="single" w:sz="8" w:color="auto"/>
            </w:tcBorders>
          </w:tcPr>
          <w:p>
            <w:pPr>
              <w:jc w:val="right"/>
              <w:ind w:right="803"/>
              <w:spacing w:after="0"/>
              <w:rPr>
                <w:sz w:val="20"/>
                <w:szCs w:val="20"/>
                <w:color w:val="auto"/>
              </w:rPr>
            </w:pPr>
            <w:r>
              <w:rPr>
                <w:rFonts w:ascii="Arial" w:cs="Arial" w:eastAsia="Arial" w:hAnsi="Arial"/>
                <w:sz w:val="16"/>
                <w:szCs w:val="16"/>
                <w:color w:val="auto"/>
              </w:rPr>
              <w:t>446,789</w:t>
            </w:r>
          </w:p>
        </w:tc>
        <w:tc>
          <w:tcPr>
            <w:tcW w:w="1580" w:type="dxa"/>
            <w:vAlign w:val="bottom"/>
            <w:tcBorders>
              <w:bottom w:val="single" w:sz="8" w:color="auto"/>
            </w:tcBorders>
          </w:tcPr>
          <w:p>
            <w:pPr>
              <w:jc w:val="right"/>
              <w:ind w:right="803"/>
              <w:spacing w:after="0"/>
              <w:rPr>
                <w:sz w:val="20"/>
                <w:szCs w:val="20"/>
                <w:color w:val="auto"/>
              </w:rPr>
            </w:pPr>
            <w:r>
              <w:rPr>
                <w:rFonts w:ascii="Arial" w:cs="Arial" w:eastAsia="Arial" w:hAnsi="Arial"/>
                <w:sz w:val="16"/>
                <w:szCs w:val="16"/>
                <w:color w:val="auto"/>
              </w:rPr>
              <w:t>252,668</w:t>
            </w:r>
          </w:p>
        </w:tc>
        <w:tc>
          <w:tcPr>
            <w:tcW w:w="1600" w:type="dxa"/>
            <w:vAlign w:val="bottom"/>
            <w:tcBorders>
              <w:bottom w:val="single" w:sz="8" w:color="auto"/>
            </w:tcBorders>
          </w:tcPr>
          <w:p>
            <w:pPr>
              <w:jc w:val="right"/>
              <w:ind w:right="803"/>
              <w:spacing w:after="0"/>
              <w:rPr>
                <w:sz w:val="20"/>
                <w:szCs w:val="20"/>
                <w:color w:val="auto"/>
              </w:rPr>
            </w:pPr>
            <w:r>
              <w:rPr>
                <w:rFonts w:ascii="Arial" w:cs="Arial" w:eastAsia="Arial" w:hAnsi="Arial"/>
                <w:sz w:val="16"/>
                <w:szCs w:val="16"/>
                <w:color w:val="auto"/>
              </w:rPr>
              <w:t>434,517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580" w:right="20"/>
        <w:spacing w:after="0" w:line="297" w:lineRule="auto"/>
        <w:rPr>
          <w:sz w:val="20"/>
          <w:szCs w:val="20"/>
          <w:color w:val="auto"/>
        </w:rPr>
      </w:pPr>
      <w:r>
        <w:rPr>
          <w:rFonts w:ascii="Arial" w:cs="Arial" w:eastAsia="Arial" w:hAnsi="Arial"/>
          <w:sz w:val="15"/>
          <w:szCs w:val="15"/>
          <w:color w:val="auto"/>
        </w:rPr>
        <w:t>In the Upstream segment, depreciation is generally on a unit-of-production basis, so depreciable life will vary by field. In the Downstream segment, investments in and lubes basestock manufacturing facilities are generally depreciated on a straight-line basis over a 25-year life and service station buildings and fixed improvement 20-year life. In the Chemical segment, investments in process equipment are generally depreciated on a straight-line basis over a 20-year life.</w:t>
      </w:r>
    </w:p>
    <w:p>
      <w:pPr>
        <w:spacing w:after="0" w:line="21" w:lineRule="exact"/>
        <w:rPr>
          <w:sz w:val="20"/>
          <w:szCs w:val="20"/>
          <w:color w:val="auto"/>
        </w:rPr>
      </w:pPr>
    </w:p>
    <w:p>
      <w:pPr>
        <w:jc w:val="both"/>
        <w:ind w:left="580" w:right="40" w:firstLine="200"/>
        <w:spacing w:after="0" w:line="286" w:lineRule="auto"/>
        <w:rPr>
          <w:sz w:val="20"/>
          <w:szCs w:val="20"/>
          <w:color w:val="auto"/>
        </w:rPr>
      </w:pPr>
      <w:r>
        <w:rPr>
          <w:rFonts w:ascii="Arial" w:cs="Arial" w:eastAsia="Arial" w:hAnsi="Arial"/>
          <w:sz w:val="16"/>
          <w:szCs w:val="16"/>
          <w:color w:val="auto"/>
        </w:rPr>
        <w:t>Accumulated depreciation and depletion totaled $194,121 million at the end of 2014 and $190,867 million at the end of 2013. Interest capitalized in 2014, 2013 a was $344 million, $309 million and $506 million, respectively.</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Asset Retirement Obligations</w:t>
      </w:r>
    </w:p>
    <w:p>
      <w:pPr>
        <w:spacing w:after="0" w:line="90" w:lineRule="exact"/>
        <w:rPr>
          <w:sz w:val="20"/>
          <w:szCs w:val="20"/>
          <w:color w:val="auto"/>
        </w:rPr>
      </w:pPr>
    </w:p>
    <w:p>
      <w:pPr>
        <w:jc w:val="both"/>
        <w:ind w:left="580"/>
        <w:spacing w:after="0" w:line="284" w:lineRule="auto"/>
        <w:rPr>
          <w:sz w:val="20"/>
          <w:szCs w:val="20"/>
          <w:color w:val="auto"/>
        </w:rPr>
      </w:pPr>
      <w:r>
        <w:rPr>
          <w:rFonts w:ascii="Arial" w:cs="Arial" w:eastAsia="Arial" w:hAnsi="Arial"/>
          <w:sz w:val="15"/>
          <w:szCs w:val="15"/>
          <w:color w:val="auto"/>
        </w:rPr>
        <w:t>The Corporation incurs retirement obligations for certain assets. The fair values of these obligations are recorded as liabilities on a discounted basis, which is typicall time the assets are installed. In the estimation of fair value, the Corporation uses assumptions and judgments regarding such factors as the existence of a legal obligatio asset retirement obligation; technical assessments of the assets; estimated amounts and timing of settlements; discount rates; and inflation rates. Asset retirement obli incurred in the current period were Level 3 fair value measurements. The costs associated with these liabilities are capitalized as part of the related assets and deprec the reserves are produced. Over time, the liabilities are accreted for the change in their present value.</w:t>
      </w:r>
    </w:p>
    <w:p>
      <w:pPr>
        <w:spacing w:after="0" w:line="33" w:lineRule="exact"/>
        <w:rPr>
          <w:sz w:val="20"/>
          <w:szCs w:val="20"/>
          <w:color w:val="auto"/>
        </w:rPr>
      </w:pPr>
    </w:p>
    <w:p>
      <w:pPr>
        <w:jc w:val="both"/>
        <w:ind w:left="580" w:firstLine="200"/>
        <w:spacing w:after="0" w:line="326" w:lineRule="auto"/>
        <w:rPr>
          <w:sz w:val="20"/>
          <w:szCs w:val="20"/>
          <w:color w:val="auto"/>
        </w:rPr>
      </w:pPr>
      <w:r>
        <w:rPr>
          <w:rFonts w:ascii="Arial" w:cs="Arial" w:eastAsia="Arial" w:hAnsi="Arial"/>
          <w:sz w:val="14"/>
          <w:szCs w:val="14"/>
          <w:color w:val="auto"/>
        </w:rPr>
        <w:t>Asset retirement obligations for downstream and chemical facilities generally become firm at the time the facilities are permanently shut down and dismantled obligations may include the costs of asset disposal and additional soil remediation. However, these sites have indeterminate lives based on plans for continued operati as such, the fair value of the conditional legal obligations cannot be measured, since it is impossible to estimate the future settlement dates of such obligations.</w:t>
      </w:r>
    </w:p>
    <w:p>
      <w:pPr>
        <w:spacing w:after="0" w:line="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table summarizes the activity in the liability for asset retirement obligations: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6660" w:type="dxa"/>
            <w:vAlign w:val="bottom"/>
            <w:gridSpan w:val="2"/>
          </w:tcPr>
          <w:p>
            <w:pPr>
              <w:jc w:val="right"/>
              <w:ind w:right="1007"/>
              <w:spacing w:after="0"/>
              <w:rPr>
                <w:sz w:val="20"/>
                <w:szCs w:val="20"/>
                <w:color w:val="auto"/>
              </w:rPr>
            </w:pPr>
            <w:r>
              <w:rPr>
                <w:rFonts w:ascii="Arial" w:cs="Arial" w:eastAsia="Arial" w:hAnsi="Arial"/>
                <w:sz w:val="13"/>
                <w:szCs w:val="13"/>
                <w:b w:val="1"/>
                <w:bCs w:val="1"/>
                <w:color w:val="auto"/>
              </w:rPr>
              <w:t>2014</w:t>
            </w:r>
          </w:p>
        </w:tc>
        <w:tc>
          <w:tcPr>
            <w:tcW w:w="60" w:type="dxa"/>
            <w:vAlign w:val="bottom"/>
          </w:tcPr>
          <w:p>
            <w:pPr>
              <w:spacing w:after="0"/>
              <w:rPr>
                <w:sz w:val="14"/>
                <w:szCs w:val="14"/>
                <w:color w:val="auto"/>
              </w:rPr>
            </w:pPr>
          </w:p>
        </w:tc>
      </w:tr>
      <w:tr>
        <w:trPr>
          <w:trHeight w:val="23"/>
        </w:trPr>
        <w:tc>
          <w:tcPr>
            <w:tcW w:w="58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02"/>
        </w:trPr>
        <w:tc>
          <w:tcPr>
            <w:tcW w:w="5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900" w:type="dxa"/>
            <w:vAlign w:val="bottom"/>
            <w:gridSpan w:val="2"/>
          </w:tcPr>
          <w:p>
            <w:pPr>
              <w:ind w:left="680"/>
              <w:spacing w:after="0"/>
              <w:rPr>
                <w:sz w:val="20"/>
                <w:szCs w:val="20"/>
                <w:color w:val="auto"/>
              </w:rPr>
            </w:pPr>
            <w:r>
              <w:rPr>
                <w:rFonts w:ascii="Arial" w:cs="Arial" w:eastAsia="Arial" w:hAnsi="Arial"/>
                <w:sz w:val="13"/>
                <w:szCs w:val="13"/>
                <w:i w:val="1"/>
                <w:iCs w:val="1"/>
                <w:color w:val="auto"/>
              </w:rPr>
              <w:t>(millions of dollars)</w:t>
            </w:r>
          </w:p>
        </w:tc>
      </w:tr>
      <w:tr>
        <w:trPr>
          <w:trHeight w:val="366"/>
        </w:trPr>
        <w:tc>
          <w:tcPr>
            <w:tcW w:w="58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Beginning balance</w:t>
            </w:r>
          </w:p>
        </w:tc>
        <w:tc>
          <w:tcPr>
            <w:tcW w:w="6660" w:type="dxa"/>
            <w:vAlign w:val="bottom"/>
            <w:gridSpan w:val="2"/>
          </w:tcPr>
          <w:p>
            <w:pPr>
              <w:jc w:val="right"/>
              <w:ind w:right="1007"/>
              <w:spacing w:after="0"/>
              <w:rPr>
                <w:sz w:val="20"/>
                <w:szCs w:val="20"/>
                <w:color w:val="auto"/>
              </w:rPr>
            </w:pPr>
            <w:r>
              <w:rPr>
                <w:rFonts w:ascii="Arial" w:cs="Arial" w:eastAsia="Arial" w:hAnsi="Arial"/>
                <w:sz w:val="16"/>
                <w:szCs w:val="16"/>
                <w:color w:val="auto"/>
              </w:rPr>
              <w:t>12,988</w:t>
            </w:r>
          </w:p>
        </w:tc>
        <w:tc>
          <w:tcPr>
            <w:tcW w:w="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4220" w:type="dxa"/>
            <w:vAlign w:val="bottom"/>
          </w:tcPr>
          <w:p>
            <w:pPr>
              <w:ind w:left="240"/>
              <w:spacing w:after="0"/>
              <w:rPr>
                <w:sz w:val="20"/>
                <w:szCs w:val="20"/>
                <w:color w:val="auto"/>
              </w:rPr>
            </w:pPr>
            <w:r>
              <w:rPr>
                <w:rFonts w:ascii="Arial" w:cs="Arial" w:eastAsia="Arial" w:hAnsi="Arial"/>
                <w:sz w:val="16"/>
                <w:szCs w:val="16"/>
                <w:color w:val="auto"/>
              </w:rPr>
              <w:t>Accretion expense and other provisions</w:t>
            </w:r>
          </w:p>
        </w:tc>
        <w:tc>
          <w:tcPr>
            <w:tcW w:w="6660" w:type="dxa"/>
            <w:vAlign w:val="bottom"/>
            <w:gridSpan w:val="2"/>
          </w:tcPr>
          <w:p>
            <w:pPr>
              <w:jc w:val="right"/>
              <w:ind w:right="1007"/>
              <w:spacing w:after="0"/>
              <w:rPr>
                <w:sz w:val="20"/>
                <w:szCs w:val="20"/>
                <w:color w:val="auto"/>
              </w:rPr>
            </w:pPr>
            <w:r>
              <w:rPr>
                <w:rFonts w:ascii="Arial" w:cs="Arial" w:eastAsia="Arial" w:hAnsi="Arial"/>
                <w:sz w:val="16"/>
                <w:szCs w:val="16"/>
                <w:color w:val="auto"/>
              </w:rPr>
              <w:t>871</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220" w:type="dxa"/>
            <w:vAlign w:val="bottom"/>
          </w:tcPr>
          <w:p>
            <w:pPr>
              <w:ind w:left="240"/>
              <w:spacing w:after="0"/>
              <w:rPr>
                <w:sz w:val="20"/>
                <w:szCs w:val="20"/>
                <w:color w:val="auto"/>
              </w:rPr>
            </w:pPr>
            <w:r>
              <w:rPr>
                <w:rFonts w:ascii="Arial" w:cs="Arial" w:eastAsia="Arial" w:hAnsi="Arial"/>
                <w:sz w:val="16"/>
                <w:szCs w:val="16"/>
                <w:color w:val="auto"/>
              </w:rPr>
              <w:t>Reduction due to property sales</w:t>
            </w:r>
          </w:p>
        </w:tc>
        <w:tc>
          <w:tcPr>
            <w:tcW w:w="6660" w:type="dxa"/>
            <w:vAlign w:val="bottom"/>
            <w:gridSpan w:val="2"/>
          </w:tcPr>
          <w:p>
            <w:pPr>
              <w:jc w:val="right"/>
              <w:ind w:right="967"/>
              <w:spacing w:after="0"/>
              <w:rPr>
                <w:sz w:val="20"/>
                <w:szCs w:val="20"/>
                <w:color w:val="auto"/>
              </w:rPr>
            </w:pPr>
            <w:r>
              <w:rPr>
                <w:rFonts w:ascii="Arial" w:cs="Arial" w:eastAsia="Arial" w:hAnsi="Arial"/>
                <w:sz w:val="16"/>
                <w:szCs w:val="16"/>
                <w:color w:val="auto"/>
              </w:rPr>
              <w:t>(151)</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220" w:type="dxa"/>
            <w:vAlign w:val="bottom"/>
          </w:tcPr>
          <w:p>
            <w:pPr>
              <w:ind w:left="240"/>
              <w:spacing w:after="0"/>
              <w:rPr>
                <w:sz w:val="20"/>
                <w:szCs w:val="20"/>
                <w:color w:val="auto"/>
              </w:rPr>
            </w:pPr>
            <w:r>
              <w:rPr>
                <w:rFonts w:ascii="Arial" w:cs="Arial" w:eastAsia="Arial" w:hAnsi="Arial"/>
                <w:sz w:val="16"/>
                <w:szCs w:val="16"/>
                <w:color w:val="auto"/>
              </w:rPr>
              <w:t>Payments made</w:t>
            </w:r>
          </w:p>
        </w:tc>
        <w:tc>
          <w:tcPr>
            <w:tcW w:w="6660" w:type="dxa"/>
            <w:vAlign w:val="bottom"/>
            <w:gridSpan w:val="2"/>
          </w:tcPr>
          <w:p>
            <w:pPr>
              <w:jc w:val="right"/>
              <w:ind w:right="967"/>
              <w:spacing w:after="0"/>
              <w:rPr>
                <w:sz w:val="20"/>
                <w:szCs w:val="20"/>
                <w:color w:val="auto"/>
              </w:rPr>
            </w:pPr>
            <w:r>
              <w:rPr>
                <w:rFonts w:ascii="Arial" w:cs="Arial" w:eastAsia="Arial" w:hAnsi="Arial"/>
                <w:sz w:val="16"/>
                <w:szCs w:val="16"/>
                <w:color w:val="auto"/>
              </w:rPr>
              <w:t>(724)</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220" w:type="dxa"/>
            <w:vAlign w:val="bottom"/>
          </w:tcPr>
          <w:p>
            <w:pPr>
              <w:ind w:left="240"/>
              <w:spacing w:after="0"/>
              <w:rPr>
                <w:sz w:val="20"/>
                <w:szCs w:val="20"/>
                <w:color w:val="auto"/>
              </w:rPr>
            </w:pPr>
            <w:r>
              <w:rPr>
                <w:rFonts w:ascii="Arial" w:cs="Arial" w:eastAsia="Arial" w:hAnsi="Arial"/>
                <w:sz w:val="16"/>
                <w:szCs w:val="16"/>
                <w:color w:val="auto"/>
              </w:rPr>
              <w:t>Liabilities incurred</w:t>
            </w:r>
          </w:p>
        </w:tc>
        <w:tc>
          <w:tcPr>
            <w:tcW w:w="6660" w:type="dxa"/>
            <w:vAlign w:val="bottom"/>
            <w:gridSpan w:val="2"/>
          </w:tcPr>
          <w:p>
            <w:pPr>
              <w:jc w:val="right"/>
              <w:ind w:right="1007"/>
              <w:spacing w:after="0"/>
              <w:rPr>
                <w:sz w:val="20"/>
                <w:szCs w:val="20"/>
                <w:color w:val="auto"/>
              </w:rPr>
            </w:pPr>
            <w:r>
              <w:rPr>
                <w:rFonts w:ascii="Arial" w:cs="Arial" w:eastAsia="Arial" w:hAnsi="Arial"/>
                <w:sz w:val="16"/>
                <w:szCs w:val="16"/>
                <w:color w:val="auto"/>
              </w:rPr>
              <w:t>122</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220" w:type="dxa"/>
            <w:vAlign w:val="bottom"/>
          </w:tcPr>
          <w:p>
            <w:pPr>
              <w:ind w:left="240"/>
              <w:spacing w:after="0"/>
              <w:rPr>
                <w:sz w:val="20"/>
                <w:szCs w:val="20"/>
                <w:color w:val="auto"/>
              </w:rPr>
            </w:pPr>
            <w:r>
              <w:rPr>
                <w:rFonts w:ascii="Arial" w:cs="Arial" w:eastAsia="Arial" w:hAnsi="Arial"/>
                <w:sz w:val="16"/>
                <w:szCs w:val="16"/>
                <w:color w:val="auto"/>
              </w:rPr>
              <w:t>Foreign currency translation</w:t>
            </w:r>
          </w:p>
        </w:tc>
        <w:tc>
          <w:tcPr>
            <w:tcW w:w="6660" w:type="dxa"/>
            <w:vAlign w:val="bottom"/>
            <w:gridSpan w:val="2"/>
          </w:tcPr>
          <w:p>
            <w:pPr>
              <w:jc w:val="right"/>
              <w:ind w:right="967"/>
              <w:spacing w:after="0"/>
              <w:rPr>
                <w:sz w:val="20"/>
                <w:szCs w:val="20"/>
                <w:color w:val="auto"/>
              </w:rPr>
            </w:pPr>
            <w:r>
              <w:rPr>
                <w:rFonts w:ascii="Arial" w:cs="Arial" w:eastAsia="Arial" w:hAnsi="Arial"/>
                <w:sz w:val="16"/>
                <w:szCs w:val="16"/>
                <w:color w:val="auto"/>
              </w:rPr>
              <w:t>(908)</w:t>
            </w:r>
          </w:p>
        </w:tc>
        <w:tc>
          <w:tcPr>
            <w:tcW w:w="60" w:type="dxa"/>
            <w:vAlign w:val="bottom"/>
          </w:tcPr>
          <w:p>
            <w:pPr>
              <w:spacing w:after="0"/>
              <w:rPr>
                <w:sz w:val="17"/>
                <w:szCs w:val="17"/>
                <w:color w:val="auto"/>
              </w:rPr>
            </w:pPr>
          </w:p>
        </w:tc>
      </w:tr>
      <w:tr>
        <w:trPr>
          <w:trHeight w:val="208"/>
        </w:trPr>
        <w:tc>
          <w:tcPr>
            <w:tcW w:w="580" w:type="dxa"/>
            <w:vAlign w:val="bottom"/>
          </w:tcPr>
          <w:p>
            <w:pPr>
              <w:spacing w:after="0"/>
              <w:rPr>
                <w:sz w:val="18"/>
                <w:szCs w:val="18"/>
                <w:color w:val="auto"/>
              </w:rPr>
            </w:pPr>
          </w:p>
        </w:tc>
        <w:tc>
          <w:tcPr>
            <w:tcW w:w="4220" w:type="dxa"/>
            <w:vAlign w:val="bottom"/>
          </w:tcPr>
          <w:p>
            <w:pPr>
              <w:ind w:left="240"/>
              <w:spacing w:after="0"/>
              <w:rPr>
                <w:sz w:val="20"/>
                <w:szCs w:val="20"/>
                <w:color w:val="auto"/>
              </w:rPr>
            </w:pPr>
            <w:r>
              <w:rPr>
                <w:rFonts w:ascii="Arial" w:cs="Arial" w:eastAsia="Arial" w:hAnsi="Arial"/>
                <w:sz w:val="16"/>
                <w:szCs w:val="16"/>
                <w:color w:val="auto"/>
              </w:rPr>
              <w:t>Revisions</w:t>
            </w:r>
          </w:p>
        </w:tc>
        <w:tc>
          <w:tcPr>
            <w:tcW w:w="6660" w:type="dxa"/>
            <w:vAlign w:val="bottom"/>
            <w:gridSpan w:val="2"/>
          </w:tcPr>
          <w:p>
            <w:pPr>
              <w:jc w:val="right"/>
              <w:ind w:right="1007"/>
              <w:spacing w:after="0"/>
              <w:rPr>
                <w:sz w:val="20"/>
                <w:szCs w:val="20"/>
                <w:color w:val="auto"/>
              </w:rPr>
            </w:pPr>
            <w:r>
              <w:rPr>
                <w:rFonts w:ascii="Arial" w:cs="Arial" w:eastAsia="Arial" w:hAnsi="Arial"/>
                <w:sz w:val="16"/>
                <w:szCs w:val="16"/>
                <w:color w:val="auto"/>
              </w:rPr>
              <w:t>1,226</w:t>
            </w:r>
          </w:p>
        </w:tc>
        <w:tc>
          <w:tcPr>
            <w:tcW w:w="60" w:type="dxa"/>
            <w:vAlign w:val="bottom"/>
          </w:tcPr>
          <w:p>
            <w:pPr>
              <w:spacing w:after="0"/>
              <w:rPr>
                <w:sz w:val="18"/>
                <w:szCs w:val="18"/>
                <w:color w:val="auto"/>
              </w:rPr>
            </w:pPr>
          </w:p>
        </w:tc>
      </w:tr>
      <w:tr>
        <w:trPr>
          <w:trHeight w:val="189"/>
        </w:trPr>
        <w:tc>
          <w:tcPr>
            <w:tcW w:w="580" w:type="dxa"/>
            <w:vAlign w:val="bottom"/>
          </w:tcPr>
          <w:p>
            <w:pPr>
              <w:spacing w:after="0"/>
              <w:rPr>
                <w:sz w:val="16"/>
                <w:szCs w:val="16"/>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Ending balance</w:t>
            </w:r>
          </w:p>
        </w:tc>
        <w:tc>
          <w:tcPr>
            <w:tcW w:w="4820" w:type="dxa"/>
            <w:vAlign w:val="bottom"/>
          </w:tcPr>
          <w:p>
            <w:pPr>
              <w:spacing w:after="0"/>
              <w:rPr>
                <w:sz w:val="16"/>
                <w:szCs w:val="16"/>
                <w:color w:val="auto"/>
              </w:rPr>
            </w:pPr>
          </w:p>
        </w:tc>
        <w:tc>
          <w:tcPr>
            <w:tcW w:w="1840" w:type="dxa"/>
            <w:vAlign w:val="bottom"/>
            <w:tcBorders>
              <w:top w:val="single" w:sz="8" w:color="auto"/>
              <w:bottom w:val="single" w:sz="8" w:color="auto"/>
            </w:tcBorders>
          </w:tcPr>
          <w:p>
            <w:pPr>
              <w:jc w:val="right"/>
              <w:ind w:right="1007"/>
              <w:spacing w:after="0"/>
              <w:rPr>
                <w:sz w:val="20"/>
                <w:szCs w:val="20"/>
                <w:color w:val="auto"/>
              </w:rPr>
            </w:pPr>
            <w:r>
              <w:rPr>
                <w:rFonts w:ascii="Arial" w:cs="Arial" w:eastAsia="Arial" w:hAnsi="Arial"/>
                <w:sz w:val="16"/>
                <w:szCs w:val="16"/>
                <w:color w:val="auto"/>
              </w:rPr>
              <w:t>13,424</w:t>
            </w:r>
          </w:p>
        </w:tc>
        <w:tc>
          <w:tcPr>
            <w:tcW w:w="60" w:type="dxa"/>
            <w:vAlign w:val="bottom"/>
            <w:tcBorders>
              <w:top w:val="single" w:sz="8" w:color="auto"/>
              <w:bottom w:val="single" w:sz="8" w:color="auto"/>
            </w:tcBorders>
          </w:tcPr>
          <w:p>
            <w:pPr>
              <w:spacing w:after="0"/>
              <w:rPr>
                <w:sz w:val="16"/>
                <w:szCs w:val="16"/>
                <w:color w:val="auto"/>
              </w:rPr>
            </w:pPr>
          </w:p>
        </w:tc>
      </w:tr>
      <w:tr>
        <w:trPr>
          <w:trHeight w:val="285"/>
        </w:trPr>
        <w:tc>
          <w:tcPr>
            <w:tcW w:w="5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820" w:type="dxa"/>
            <w:vAlign w:val="bottom"/>
          </w:tcPr>
          <w:p>
            <w:pPr>
              <w:jc w:val="right"/>
              <w:ind w:right="3180"/>
              <w:spacing w:after="0"/>
              <w:rPr>
                <w:sz w:val="20"/>
                <w:szCs w:val="20"/>
                <w:color w:val="auto"/>
              </w:rPr>
            </w:pPr>
            <w:r>
              <w:rPr>
                <w:rFonts w:ascii="Arial" w:cs="Arial" w:eastAsia="Arial" w:hAnsi="Arial"/>
                <w:sz w:val="16"/>
                <w:szCs w:val="16"/>
                <w:color w:val="auto"/>
              </w:rPr>
              <w:t>74</w:t>
            </w: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45"/>
        </w:trPr>
        <w:tc>
          <w:tcPr>
            <w:tcW w:w="58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482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589" w:right="1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Accounting for Suspended Exploratory Well Costs</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The Corporation continues capitalization of exploratory well costs when the well has found a sufficient quantity of reserves to justify its completion as a producing w the Corporation is making sufficient progress assessing the reserves and the economic and operating viability of the project. The term “project” as used in this report c to a variety of different activities and does not necessarily have the same meaning as in any government payment transparency reports.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two tables provide details of the changes in the balance of suspended exploratory well costs as well as an aging summary of those costs.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Change in capitalized suspended exploratory well costs: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460" w:type="dxa"/>
            <w:vAlign w:val="bottom"/>
          </w:tcPr>
          <w:p>
            <w:pPr>
              <w:spacing w:after="0"/>
              <w:rPr>
                <w:sz w:val="14"/>
                <w:szCs w:val="14"/>
                <w:color w:val="auto"/>
              </w:rPr>
            </w:pPr>
          </w:p>
        </w:tc>
        <w:tc>
          <w:tcPr>
            <w:tcW w:w="1120" w:type="dxa"/>
            <w:vAlign w:val="bottom"/>
          </w:tcPr>
          <w:p>
            <w:pPr>
              <w:jc w:val="right"/>
              <w:ind w:right="301"/>
              <w:spacing w:after="0"/>
              <w:rPr>
                <w:sz w:val="20"/>
                <w:szCs w:val="20"/>
                <w:color w:val="auto"/>
              </w:rPr>
            </w:pPr>
            <w:r>
              <w:rPr>
                <w:rFonts w:ascii="Arial" w:cs="Arial" w:eastAsia="Arial" w:hAnsi="Arial"/>
                <w:sz w:val="13"/>
                <w:szCs w:val="13"/>
                <w:b w:val="1"/>
                <w:bCs w:val="1"/>
                <w:color w:val="auto"/>
              </w:rPr>
              <w:t>2014</w:t>
            </w:r>
          </w:p>
        </w:tc>
        <w:tc>
          <w:tcPr>
            <w:tcW w:w="2360" w:type="dxa"/>
            <w:vAlign w:val="bottom"/>
          </w:tcPr>
          <w:p>
            <w:pPr>
              <w:jc w:val="right"/>
              <w:ind w:right="1062"/>
              <w:spacing w:after="0"/>
              <w:rPr>
                <w:sz w:val="20"/>
                <w:szCs w:val="20"/>
                <w:color w:val="auto"/>
              </w:rPr>
            </w:pPr>
            <w:r>
              <w:rPr>
                <w:rFonts w:ascii="Arial" w:cs="Arial" w:eastAsia="Arial" w:hAnsi="Arial"/>
                <w:sz w:val="13"/>
                <w:szCs w:val="13"/>
                <w:b w:val="1"/>
                <w:bCs w:val="1"/>
                <w:color w:val="auto"/>
              </w:rPr>
              <w:t>2013</w:t>
            </w:r>
          </w:p>
        </w:tc>
        <w:tc>
          <w:tcPr>
            <w:tcW w:w="0" w:type="dxa"/>
            <w:vAlign w:val="bottom"/>
          </w:tcPr>
          <w:p>
            <w:pPr>
              <w:spacing w:after="0"/>
              <w:rPr>
                <w:sz w:val="1"/>
                <w:szCs w:val="1"/>
                <w:color w:val="auto"/>
              </w:rPr>
            </w:pPr>
          </w:p>
        </w:tc>
      </w:tr>
      <w:tr>
        <w:trPr>
          <w:trHeight w:val="23"/>
        </w:trPr>
        <w:tc>
          <w:tcPr>
            <w:tcW w:w="7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7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360" w:type="dxa"/>
            <w:vAlign w:val="bottom"/>
          </w:tcPr>
          <w:p>
            <w:pPr>
              <w:jc w:val="right"/>
              <w:ind w:right="902"/>
              <w:spacing w:after="0"/>
              <w:rPr>
                <w:sz w:val="20"/>
                <w:szCs w:val="20"/>
                <w:color w:val="auto"/>
              </w:rPr>
            </w:pPr>
            <w:r>
              <w:rPr>
                <w:rFonts w:ascii="Arial" w:cs="Arial" w:eastAsia="Arial" w:hAnsi="Arial"/>
                <w:sz w:val="13"/>
                <w:szCs w:val="13"/>
                <w:i w:val="1"/>
                <w:iCs w:val="1"/>
                <w:color w:val="auto"/>
              </w:rPr>
              <w:t>(millions of dollars)</w:t>
            </w:r>
          </w:p>
        </w:tc>
        <w:tc>
          <w:tcPr>
            <w:tcW w:w="0" w:type="dxa"/>
            <w:vAlign w:val="bottom"/>
          </w:tcPr>
          <w:p>
            <w:pPr>
              <w:spacing w:after="0"/>
              <w:rPr>
                <w:sz w:val="1"/>
                <w:szCs w:val="1"/>
                <w:color w:val="auto"/>
              </w:rPr>
            </w:pPr>
          </w:p>
        </w:tc>
      </w:tr>
      <w:tr>
        <w:trPr>
          <w:trHeight w:val="415"/>
        </w:trPr>
        <w:tc>
          <w:tcPr>
            <w:tcW w:w="7460" w:type="dxa"/>
            <w:vAlign w:val="bottom"/>
          </w:tcPr>
          <w:p>
            <w:pPr>
              <w:spacing w:after="0"/>
              <w:rPr>
                <w:sz w:val="20"/>
                <w:szCs w:val="20"/>
                <w:color w:val="auto"/>
              </w:rPr>
            </w:pPr>
            <w:r>
              <w:rPr>
                <w:rFonts w:ascii="Arial" w:cs="Arial" w:eastAsia="Arial" w:hAnsi="Arial"/>
                <w:sz w:val="16"/>
                <w:szCs w:val="16"/>
                <w:color w:val="auto"/>
              </w:rPr>
              <w:t>Balance beginning at January 1</w:t>
            </w:r>
          </w:p>
        </w:tc>
        <w:tc>
          <w:tcPr>
            <w:tcW w:w="1120" w:type="dxa"/>
            <w:vAlign w:val="bottom"/>
          </w:tcPr>
          <w:p>
            <w:pPr>
              <w:jc w:val="right"/>
              <w:ind w:right="301"/>
              <w:spacing w:after="0"/>
              <w:rPr>
                <w:sz w:val="20"/>
                <w:szCs w:val="20"/>
                <w:color w:val="auto"/>
              </w:rPr>
            </w:pPr>
            <w:r>
              <w:rPr>
                <w:rFonts w:ascii="Arial" w:cs="Arial" w:eastAsia="Arial" w:hAnsi="Arial"/>
                <w:sz w:val="16"/>
                <w:szCs w:val="16"/>
                <w:color w:val="auto"/>
              </w:rPr>
              <w:t>2,707</w:t>
            </w:r>
          </w:p>
        </w:tc>
        <w:tc>
          <w:tcPr>
            <w:tcW w:w="2360" w:type="dxa"/>
            <w:vAlign w:val="bottom"/>
          </w:tcPr>
          <w:p>
            <w:pPr>
              <w:jc w:val="right"/>
              <w:ind w:right="1062"/>
              <w:spacing w:after="0"/>
              <w:rPr>
                <w:sz w:val="20"/>
                <w:szCs w:val="20"/>
                <w:color w:val="auto"/>
              </w:rPr>
            </w:pPr>
            <w:r>
              <w:rPr>
                <w:rFonts w:ascii="Arial" w:cs="Arial" w:eastAsia="Arial" w:hAnsi="Arial"/>
                <w:sz w:val="16"/>
                <w:szCs w:val="16"/>
                <w:color w:val="auto"/>
              </w:rPr>
              <w:t>2,679</w:t>
            </w:r>
          </w:p>
        </w:tc>
        <w:tc>
          <w:tcPr>
            <w:tcW w:w="0" w:type="dxa"/>
            <w:vAlign w:val="bottom"/>
          </w:tcPr>
          <w:p>
            <w:pPr>
              <w:spacing w:after="0"/>
              <w:rPr>
                <w:sz w:val="1"/>
                <w:szCs w:val="1"/>
                <w:color w:val="auto"/>
              </w:rPr>
            </w:pPr>
          </w:p>
        </w:tc>
      </w:tr>
      <w:tr>
        <w:trPr>
          <w:trHeight w:val="208"/>
        </w:trPr>
        <w:tc>
          <w:tcPr>
            <w:tcW w:w="7460" w:type="dxa"/>
            <w:vAlign w:val="bottom"/>
          </w:tcPr>
          <w:p>
            <w:pPr>
              <w:ind w:left="340"/>
              <w:spacing w:after="0"/>
              <w:rPr>
                <w:sz w:val="20"/>
                <w:szCs w:val="20"/>
                <w:color w:val="auto"/>
              </w:rPr>
            </w:pPr>
            <w:r>
              <w:rPr>
                <w:rFonts w:ascii="Arial" w:cs="Arial" w:eastAsia="Arial" w:hAnsi="Arial"/>
                <w:sz w:val="16"/>
                <w:szCs w:val="16"/>
                <w:color w:val="auto"/>
              </w:rPr>
              <w:t>Additions pending the determination of proved reserves</w:t>
            </w:r>
          </w:p>
        </w:tc>
        <w:tc>
          <w:tcPr>
            <w:tcW w:w="1120" w:type="dxa"/>
            <w:vAlign w:val="bottom"/>
          </w:tcPr>
          <w:p>
            <w:pPr>
              <w:jc w:val="right"/>
              <w:ind w:right="301"/>
              <w:spacing w:after="0"/>
              <w:rPr>
                <w:sz w:val="20"/>
                <w:szCs w:val="20"/>
                <w:color w:val="auto"/>
              </w:rPr>
            </w:pPr>
            <w:r>
              <w:rPr>
                <w:rFonts w:ascii="Arial" w:cs="Arial" w:eastAsia="Arial" w:hAnsi="Arial"/>
                <w:sz w:val="16"/>
                <w:szCs w:val="16"/>
                <w:color w:val="auto"/>
              </w:rPr>
              <w:t>1,095</w:t>
            </w:r>
          </w:p>
        </w:tc>
        <w:tc>
          <w:tcPr>
            <w:tcW w:w="2360" w:type="dxa"/>
            <w:vAlign w:val="bottom"/>
          </w:tcPr>
          <w:p>
            <w:pPr>
              <w:jc w:val="right"/>
              <w:ind w:right="1062"/>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20"/>
        </w:trPr>
        <w:tc>
          <w:tcPr>
            <w:tcW w:w="7460" w:type="dxa"/>
            <w:vAlign w:val="bottom"/>
          </w:tcPr>
          <w:p>
            <w:pPr>
              <w:ind w:left="340"/>
              <w:spacing w:after="0"/>
              <w:rPr>
                <w:sz w:val="20"/>
                <w:szCs w:val="20"/>
                <w:color w:val="auto"/>
              </w:rPr>
            </w:pPr>
            <w:r>
              <w:rPr>
                <w:rFonts w:ascii="Arial" w:cs="Arial" w:eastAsia="Arial" w:hAnsi="Arial"/>
                <w:sz w:val="16"/>
                <w:szCs w:val="16"/>
                <w:color w:val="auto"/>
              </w:rPr>
              <w:t>Charged to expense</w:t>
            </w:r>
          </w:p>
        </w:tc>
        <w:tc>
          <w:tcPr>
            <w:tcW w:w="1120" w:type="dxa"/>
            <w:vAlign w:val="bottom"/>
          </w:tcPr>
          <w:p>
            <w:pPr>
              <w:jc w:val="right"/>
              <w:ind w:right="241"/>
              <w:spacing w:after="0"/>
              <w:rPr>
                <w:sz w:val="20"/>
                <w:szCs w:val="20"/>
                <w:color w:val="auto"/>
              </w:rPr>
            </w:pPr>
            <w:r>
              <w:rPr>
                <w:rFonts w:ascii="Arial" w:cs="Arial" w:eastAsia="Arial" w:hAnsi="Arial"/>
                <w:sz w:val="16"/>
                <w:szCs w:val="16"/>
                <w:color w:val="auto"/>
              </w:rPr>
              <w:t>(28)</w:t>
            </w:r>
          </w:p>
        </w:tc>
        <w:tc>
          <w:tcPr>
            <w:tcW w:w="2360" w:type="dxa"/>
            <w:vAlign w:val="bottom"/>
          </w:tcPr>
          <w:p>
            <w:pPr>
              <w:jc w:val="right"/>
              <w:ind w:right="1022"/>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8"/>
        </w:trPr>
        <w:tc>
          <w:tcPr>
            <w:tcW w:w="7460" w:type="dxa"/>
            <w:vAlign w:val="bottom"/>
          </w:tcPr>
          <w:p>
            <w:pPr>
              <w:ind w:left="340"/>
              <w:spacing w:after="0"/>
              <w:rPr>
                <w:sz w:val="20"/>
                <w:szCs w:val="20"/>
                <w:color w:val="auto"/>
              </w:rPr>
            </w:pPr>
            <w:r>
              <w:rPr>
                <w:rFonts w:ascii="Arial" w:cs="Arial" w:eastAsia="Arial" w:hAnsi="Arial"/>
                <w:sz w:val="16"/>
                <w:szCs w:val="16"/>
                <w:color w:val="auto"/>
              </w:rPr>
              <w:t>Reclassifications to wells, facilities and equipment based on the</w:t>
            </w:r>
          </w:p>
        </w:tc>
        <w:tc>
          <w:tcPr>
            <w:tcW w:w="1120" w:type="dxa"/>
            <w:vAlign w:val="bottom"/>
            <w:vMerge w:val="restart"/>
          </w:tcPr>
          <w:p>
            <w:pPr>
              <w:jc w:val="right"/>
              <w:ind w:right="241"/>
              <w:spacing w:after="0"/>
              <w:rPr>
                <w:sz w:val="20"/>
                <w:szCs w:val="20"/>
                <w:color w:val="auto"/>
              </w:rPr>
            </w:pPr>
            <w:r>
              <w:rPr>
                <w:rFonts w:ascii="Arial" w:cs="Arial" w:eastAsia="Arial" w:hAnsi="Arial"/>
                <w:sz w:val="16"/>
                <w:szCs w:val="16"/>
                <w:color w:val="auto"/>
              </w:rPr>
              <w:t>(160)</w:t>
            </w:r>
          </w:p>
        </w:tc>
        <w:tc>
          <w:tcPr>
            <w:tcW w:w="2360" w:type="dxa"/>
            <w:vAlign w:val="bottom"/>
            <w:vMerge w:val="restart"/>
          </w:tcPr>
          <w:p>
            <w:pPr>
              <w:jc w:val="right"/>
              <w:ind w:right="1022"/>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197"/>
        </w:trPr>
        <w:tc>
          <w:tcPr>
            <w:tcW w:w="7460" w:type="dxa"/>
            <w:vAlign w:val="bottom"/>
          </w:tcPr>
          <w:p>
            <w:pPr>
              <w:ind w:left="700"/>
              <w:spacing w:after="0"/>
              <w:rPr>
                <w:sz w:val="20"/>
                <w:szCs w:val="20"/>
                <w:color w:val="auto"/>
              </w:rPr>
            </w:pPr>
            <w:r>
              <w:rPr>
                <w:rFonts w:ascii="Arial" w:cs="Arial" w:eastAsia="Arial" w:hAnsi="Arial"/>
                <w:sz w:val="16"/>
                <w:szCs w:val="16"/>
                <w:color w:val="auto"/>
              </w:rPr>
              <w:t>determination of proved reserves</w:t>
            </w:r>
          </w:p>
        </w:tc>
        <w:tc>
          <w:tcPr>
            <w:tcW w:w="1120" w:type="dxa"/>
            <w:vAlign w:val="bottom"/>
            <w:vMerge w:val="continue"/>
          </w:tcPr>
          <w:p>
            <w:pPr>
              <w:spacing w:after="0"/>
              <w:rPr>
                <w:sz w:val="17"/>
                <w:szCs w:val="17"/>
                <w:color w:val="auto"/>
              </w:rPr>
            </w:pPr>
          </w:p>
        </w:tc>
        <w:tc>
          <w:tcPr>
            <w:tcW w:w="2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460" w:type="dxa"/>
            <w:vAlign w:val="bottom"/>
          </w:tcPr>
          <w:p>
            <w:pPr>
              <w:ind w:left="340"/>
              <w:spacing w:after="0"/>
              <w:rPr>
                <w:sz w:val="20"/>
                <w:szCs w:val="20"/>
                <w:color w:val="auto"/>
              </w:rPr>
            </w:pPr>
            <w:r>
              <w:rPr>
                <w:rFonts w:ascii="Arial" w:cs="Arial" w:eastAsia="Arial" w:hAnsi="Arial"/>
                <w:sz w:val="16"/>
                <w:szCs w:val="16"/>
                <w:color w:val="auto"/>
              </w:rPr>
              <w:t>Divestments/Other</w:t>
            </w:r>
          </w:p>
        </w:tc>
        <w:tc>
          <w:tcPr>
            <w:tcW w:w="11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(27)</w:t>
            </w:r>
          </w:p>
        </w:tc>
        <w:tc>
          <w:tcPr>
            <w:tcW w:w="2360" w:type="dxa"/>
            <w:vAlign w:val="bottom"/>
            <w:tcBorders>
              <w:bottom w:val="single" w:sz="8" w:color="auto"/>
            </w:tcBorders>
          </w:tcPr>
          <w:p>
            <w:pPr>
              <w:jc w:val="right"/>
              <w:ind w:right="1022"/>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89"/>
        </w:trPr>
        <w:tc>
          <w:tcPr>
            <w:tcW w:w="7460" w:type="dxa"/>
            <w:vAlign w:val="bottom"/>
          </w:tcPr>
          <w:p>
            <w:pPr>
              <w:spacing w:after="0"/>
              <w:rPr>
                <w:sz w:val="20"/>
                <w:szCs w:val="20"/>
                <w:color w:val="auto"/>
              </w:rPr>
            </w:pPr>
            <w:r>
              <w:rPr>
                <w:rFonts w:ascii="Arial" w:cs="Arial" w:eastAsia="Arial" w:hAnsi="Arial"/>
                <w:sz w:val="16"/>
                <w:szCs w:val="16"/>
                <w:color w:val="auto"/>
              </w:rPr>
              <w:t>Ending balance at December 31</w:t>
            </w:r>
          </w:p>
        </w:tc>
        <w:tc>
          <w:tcPr>
            <w:tcW w:w="112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3,587</w:t>
            </w:r>
          </w:p>
        </w:tc>
        <w:tc>
          <w:tcPr>
            <w:tcW w:w="2360" w:type="dxa"/>
            <w:vAlign w:val="bottom"/>
            <w:tcBorders>
              <w:bottom w:val="single" w:sz="8" w:color="auto"/>
            </w:tcBorders>
          </w:tcPr>
          <w:p>
            <w:pPr>
              <w:jc w:val="right"/>
              <w:ind w:right="1062"/>
              <w:spacing w:after="0"/>
              <w:rPr>
                <w:sz w:val="20"/>
                <w:szCs w:val="20"/>
                <w:color w:val="auto"/>
              </w:rPr>
            </w:pPr>
            <w:r>
              <w:rPr>
                <w:rFonts w:ascii="Arial" w:cs="Arial" w:eastAsia="Arial" w:hAnsi="Arial"/>
                <w:sz w:val="16"/>
                <w:szCs w:val="16"/>
                <w:color w:val="auto"/>
              </w:rPr>
              <w:t>2,707</w:t>
            </w:r>
          </w:p>
        </w:tc>
        <w:tc>
          <w:tcPr>
            <w:tcW w:w="0" w:type="dxa"/>
            <w:vAlign w:val="bottom"/>
          </w:tcPr>
          <w:p>
            <w:pPr>
              <w:spacing w:after="0"/>
              <w:rPr>
                <w:sz w:val="1"/>
                <w:szCs w:val="1"/>
                <w:color w:val="auto"/>
              </w:rPr>
            </w:pPr>
          </w:p>
        </w:tc>
      </w:tr>
      <w:tr>
        <w:trPr>
          <w:trHeight w:val="200"/>
        </w:trPr>
        <w:tc>
          <w:tcPr>
            <w:tcW w:w="7460" w:type="dxa"/>
            <w:vAlign w:val="bottom"/>
          </w:tcPr>
          <w:p>
            <w:pPr>
              <w:spacing w:after="0"/>
              <w:rPr>
                <w:sz w:val="20"/>
                <w:szCs w:val="20"/>
                <w:color w:val="auto"/>
              </w:rPr>
            </w:pPr>
            <w:r>
              <w:rPr>
                <w:rFonts w:ascii="Arial" w:cs="Arial" w:eastAsia="Arial" w:hAnsi="Arial"/>
                <w:sz w:val="16"/>
                <w:szCs w:val="16"/>
                <w:color w:val="auto"/>
              </w:rPr>
              <w:t>Ending balance attributed to equity companies included above</w:t>
            </w:r>
          </w:p>
        </w:tc>
        <w:tc>
          <w:tcPr>
            <w:tcW w:w="1120" w:type="dxa"/>
            <w:vAlign w:val="bottom"/>
          </w:tcPr>
          <w:p>
            <w:pPr>
              <w:jc w:val="right"/>
              <w:ind w:right="301"/>
              <w:spacing w:after="0"/>
              <w:rPr>
                <w:sz w:val="20"/>
                <w:szCs w:val="20"/>
                <w:color w:val="auto"/>
              </w:rPr>
            </w:pPr>
            <w:r>
              <w:rPr>
                <w:rFonts w:ascii="Arial" w:cs="Arial" w:eastAsia="Arial" w:hAnsi="Arial"/>
                <w:sz w:val="16"/>
                <w:szCs w:val="16"/>
                <w:color w:val="auto"/>
              </w:rPr>
              <w:t>645</w:t>
            </w:r>
          </w:p>
        </w:tc>
        <w:tc>
          <w:tcPr>
            <w:tcW w:w="2360" w:type="dxa"/>
            <w:vAlign w:val="bottom"/>
          </w:tcPr>
          <w:p>
            <w:pPr>
              <w:jc w:val="right"/>
              <w:ind w:right="1062"/>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576"/>
        </w:trPr>
        <w:tc>
          <w:tcPr>
            <w:tcW w:w="7460" w:type="dxa"/>
            <w:vAlign w:val="bottom"/>
          </w:tcPr>
          <w:p>
            <w:pPr>
              <w:spacing w:after="0"/>
              <w:rPr>
                <w:sz w:val="20"/>
                <w:szCs w:val="20"/>
                <w:color w:val="auto"/>
              </w:rPr>
            </w:pPr>
            <w:r>
              <w:rPr>
                <w:rFonts w:ascii="Arial" w:cs="Arial" w:eastAsia="Arial" w:hAnsi="Arial"/>
                <w:sz w:val="16"/>
                <w:szCs w:val="16"/>
                <w:color w:val="auto"/>
              </w:rPr>
              <w:t>Period end capitalized suspended exploratory well costs:</w:t>
            </w:r>
          </w:p>
        </w:tc>
        <w:tc>
          <w:tcPr>
            <w:tcW w:w="1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460" w:type="dxa"/>
            <w:vAlign w:val="bottom"/>
          </w:tcPr>
          <w:p>
            <w:pPr>
              <w:spacing w:after="0"/>
              <w:rPr>
                <w:sz w:val="21"/>
                <w:szCs w:val="21"/>
                <w:color w:val="auto"/>
              </w:rPr>
            </w:pPr>
          </w:p>
        </w:tc>
        <w:tc>
          <w:tcPr>
            <w:tcW w:w="1120" w:type="dxa"/>
            <w:vAlign w:val="bottom"/>
          </w:tcPr>
          <w:p>
            <w:pPr>
              <w:jc w:val="right"/>
              <w:ind w:right="301"/>
              <w:spacing w:after="0"/>
              <w:rPr>
                <w:sz w:val="20"/>
                <w:szCs w:val="20"/>
                <w:color w:val="auto"/>
              </w:rPr>
            </w:pPr>
            <w:r>
              <w:rPr>
                <w:rFonts w:ascii="Arial" w:cs="Arial" w:eastAsia="Arial" w:hAnsi="Arial"/>
                <w:sz w:val="13"/>
                <w:szCs w:val="13"/>
                <w:b w:val="1"/>
                <w:bCs w:val="1"/>
                <w:color w:val="auto"/>
              </w:rPr>
              <w:t>2014</w:t>
            </w:r>
          </w:p>
        </w:tc>
        <w:tc>
          <w:tcPr>
            <w:tcW w:w="2360" w:type="dxa"/>
            <w:vAlign w:val="bottom"/>
          </w:tcPr>
          <w:p>
            <w:pPr>
              <w:jc w:val="right"/>
              <w:ind w:right="1062"/>
              <w:spacing w:after="0"/>
              <w:rPr>
                <w:sz w:val="20"/>
                <w:szCs w:val="20"/>
                <w:color w:val="auto"/>
              </w:rPr>
            </w:pPr>
            <w:r>
              <w:rPr>
                <w:rFonts w:ascii="Arial" w:cs="Arial" w:eastAsia="Arial" w:hAnsi="Arial"/>
                <w:sz w:val="13"/>
                <w:szCs w:val="13"/>
                <w:b w:val="1"/>
                <w:bCs w:val="1"/>
                <w:color w:val="auto"/>
              </w:rPr>
              <w:t>2013</w:t>
            </w:r>
          </w:p>
        </w:tc>
        <w:tc>
          <w:tcPr>
            <w:tcW w:w="0" w:type="dxa"/>
            <w:vAlign w:val="bottom"/>
          </w:tcPr>
          <w:p>
            <w:pPr>
              <w:spacing w:after="0"/>
              <w:rPr>
                <w:sz w:val="1"/>
                <w:szCs w:val="1"/>
                <w:color w:val="auto"/>
              </w:rPr>
            </w:pPr>
          </w:p>
        </w:tc>
      </w:tr>
      <w:tr>
        <w:trPr>
          <w:trHeight w:val="23"/>
        </w:trPr>
        <w:tc>
          <w:tcPr>
            <w:tcW w:w="7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7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360" w:type="dxa"/>
            <w:vAlign w:val="bottom"/>
          </w:tcPr>
          <w:p>
            <w:pPr>
              <w:jc w:val="right"/>
              <w:ind w:right="902"/>
              <w:spacing w:after="0"/>
              <w:rPr>
                <w:sz w:val="20"/>
                <w:szCs w:val="20"/>
                <w:color w:val="auto"/>
              </w:rPr>
            </w:pPr>
            <w:r>
              <w:rPr>
                <w:rFonts w:ascii="Arial" w:cs="Arial" w:eastAsia="Arial" w:hAnsi="Arial"/>
                <w:sz w:val="13"/>
                <w:szCs w:val="13"/>
                <w:i w:val="1"/>
                <w:iCs w:val="1"/>
                <w:color w:val="auto"/>
              </w:rPr>
              <w:t>(millions of dollars)</w:t>
            </w:r>
          </w:p>
        </w:tc>
        <w:tc>
          <w:tcPr>
            <w:tcW w:w="0" w:type="dxa"/>
            <w:vAlign w:val="bottom"/>
          </w:tcPr>
          <w:p>
            <w:pPr>
              <w:spacing w:after="0"/>
              <w:rPr>
                <w:sz w:val="1"/>
                <w:szCs w:val="1"/>
                <w:color w:val="auto"/>
              </w:rPr>
            </w:pPr>
          </w:p>
        </w:tc>
      </w:tr>
      <w:tr>
        <w:trPr>
          <w:trHeight w:val="415"/>
        </w:trPr>
        <w:tc>
          <w:tcPr>
            <w:tcW w:w="7460" w:type="dxa"/>
            <w:vAlign w:val="bottom"/>
          </w:tcPr>
          <w:p>
            <w:pPr>
              <w:spacing w:after="0"/>
              <w:rPr>
                <w:sz w:val="20"/>
                <w:szCs w:val="20"/>
                <w:color w:val="auto"/>
              </w:rPr>
            </w:pPr>
            <w:r>
              <w:rPr>
                <w:rFonts w:ascii="Arial" w:cs="Arial" w:eastAsia="Arial" w:hAnsi="Arial"/>
                <w:sz w:val="16"/>
                <w:szCs w:val="16"/>
                <w:color w:val="auto"/>
              </w:rPr>
              <w:t>Capitalized for a period of one year or less</w:t>
            </w:r>
          </w:p>
        </w:tc>
        <w:tc>
          <w:tcPr>
            <w:tcW w:w="1120" w:type="dxa"/>
            <w:vAlign w:val="bottom"/>
          </w:tcPr>
          <w:p>
            <w:pPr>
              <w:jc w:val="right"/>
              <w:ind w:right="301"/>
              <w:spacing w:after="0"/>
              <w:rPr>
                <w:sz w:val="20"/>
                <w:szCs w:val="20"/>
                <w:color w:val="auto"/>
              </w:rPr>
            </w:pPr>
            <w:r>
              <w:rPr>
                <w:rFonts w:ascii="Arial" w:cs="Arial" w:eastAsia="Arial" w:hAnsi="Arial"/>
                <w:sz w:val="16"/>
                <w:szCs w:val="16"/>
                <w:color w:val="auto"/>
              </w:rPr>
              <w:t>1,095</w:t>
            </w:r>
          </w:p>
        </w:tc>
        <w:tc>
          <w:tcPr>
            <w:tcW w:w="2360" w:type="dxa"/>
            <w:vAlign w:val="bottom"/>
          </w:tcPr>
          <w:p>
            <w:pPr>
              <w:jc w:val="right"/>
              <w:ind w:right="1062"/>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08"/>
        </w:trPr>
        <w:tc>
          <w:tcPr>
            <w:tcW w:w="7460" w:type="dxa"/>
            <w:vAlign w:val="bottom"/>
          </w:tcPr>
          <w:p>
            <w:pPr>
              <w:ind w:left="340"/>
              <w:spacing w:after="0"/>
              <w:rPr>
                <w:sz w:val="20"/>
                <w:szCs w:val="20"/>
                <w:color w:val="auto"/>
              </w:rPr>
            </w:pPr>
            <w:r>
              <w:rPr>
                <w:rFonts w:ascii="Arial" w:cs="Arial" w:eastAsia="Arial" w:hAnsi="Arial"/>
                <w:sz w:val="16"/>
                <w:szCs w:val="16"/>
                <w:color w:val="auto"/>
              </w:rPr>
              <w:t>Capitalized for a period of between one and five years</w:t>
            </w:r>
          </w:p>
        </w:tc>
        <w:tc>
          <w:tcPr>
            <w:tcW w:w="1120" w:type="dxa"/>
            <w:vAlign w:val="bottom"/>
          </w:tcPr>
          <w:p>
            <w:pPr>
              <w:jc w:val="right"/>
              <w:ind w:right="301"/>
              <w:spacing w:after="0"/>
              <w:rPr>
                <w:sz w:val="20"/>
                <w:szCs w:val="20"/>
                <w:color w:val="auto"/>
              </w:rPr>
            </w:pPr>
            <w:r>
              <w:rPr>
                <w:rFonts w:ascii="Arial" w:cs="Arial" w:eastAsia="Arial" w:hAnsi="Arial"/>
                <w:sz w:val="16"/>
                <w:szCs w:val="16"/>
                <w:color w:val="auto"/>
              </w:rPr>
              <w:t>1,659</w:t>
            </w:r>
          </w:p>
        </w:tc>
        <w:tc>
          <w:tcPr>
            <w:tcW w:w="2360" w:type="dxa"/>
            <w:vAlign w:val="bottom"/>
          </w:tcPr>
          <w:p>
            <w:pPr>
              <w:jc w:val="right"/>
              <w:ind w:right="1062"/>
              <w:spacing w:after="0"/>
              <w:rPr>
                <w:sz w:val="20"/>
                <w:szCs w:val="20"/>
                <w:color w:val="auto"/>
              </w:rPr>
            </w:pPr>
            <w:r>
              <w:rPr>
                <w:rFonts w:ascii="Arial" w:cs="Arial" w:eastAsia="Arial" w:hAnsi="Arial"/>
                <w:sz w:val="16"/>
                <w:szCs w:val="16"/>
                <w:color w:val="auto"/>
              </w:rPr>
              <w:t>1,705</w:t>
            </w:r>
          </w:p>
        </w:tc>
        <w:tc>
          <w:tcPr>
            <w:tcW w:w="0" w:type="dxa"/>
            <w:vAlign w:val="bottom"/>
          </w:tcPr>
          <w:p>
            <w:pPr>
              <w:spacing w:after="0"/>
              <w:rPr>
                <w:sz w:val="1"/>
                <w:szCs w:val="1"/>
                <w:color w:val="auto"/>
              </w:rPr>
            </w:pPr>
          </w:p>
        </w:tc>
      </w:tr>
      <w:tr>
        <w:trPr>
          <w:trHeight w:val="208"/>
        </w:trPr>
        <w:tc>
          <w:tcPr>
            <w:tcW w:w="7460" w:type="dxa"/>
            <w:vAlign w:val="bottom"/>
          </w:tcPr>
          <w:p>
            <w:pPr>
              <w:ind w:left="340"/>
              <w:spacing w:after="0"/>
              <w:rPr>
                <w:sz w:val="20"/>
                <w:szCs w:val="20"/>
                <w:color w:val="auto"/>
              </w:rPr>
            </w:pPr>
            <w:r>
              <w:rPr>
                <w:rFonts w:ascii="Arial" w:cs="Arial" w:eastAsia="Arial" w:hAnsi="Arial"/>
                <w:sz w:val="16"/>
                <w:szCs w:val="16"/>
                <w:color w:val="auto"/>
              </w:rPr>
              <w:t>Capitalized for a period of between five and ten years</w:t>
            </w:r>
          </w:p>
        </w:tc>
        <w:tc>
          <w:tcPr>
            <w:tcW w:w="1120" w:type="dxa"/>
            <w:vAlign w:val="bottom"/>
          </w:tcPr>
          <w:p>
            <w:pPr>
              <w:jc w:val="right"/>
              <w:ind w:right="301"/>
              <w:spacing w:after="0"/>
              <w:rPr>
                <w:sz w:val="20"/>
                <w:szCs w:val="20"/>
                <w:color w:val="auto"/>
              </w:rPr>
            </w:pPr>
            <w:r>
              <w:rPr>
                <w:rFonts w:ascii="Arial" w:cs="Arial" w:eastAsia="Arial" w:hAnsi="Arial"/>
                <w:sz w:val="16"/>
                <w:szCs w:val="16"/>
                <w:color w:val="auto"/>
              </w:rPr>
              <w:t>544</w:t>
            </w:r>
          </w:p>
        </w:tc>
        <w:tc>
          <w:tcPr>
            <w:tcW w:w="2360" w:type="dxa"/>
            <w:vAlign w:val="bottom"/>
          </w:tcPr>
          <w:p>
            <w:pPr>
              <w:jc w:val="right"/>
              <w:ind w:right="1062"/>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220"/>
        </w:trPr>
        <w:tc>
          <w:tcPr>
            <w:tcW w:w="7460" w:type="dxa"/>
            <w:vAlign w:val="bottom"/>
          </w:tcPr>
          <w:p>
            <w:pPr>
              <w:ind w:left="340"/>
              <w:spacing w:after="0"/>
              <w:rPr>
                <w:sz w:val="20"/>
                <w:szCs w:val="20"/>
                <w:color w:val="auto"/>
              </w:rPr>
            </w:pPr>
            <w:r>
              <w:rPr>
                <w:rFonts w:ascii="Arial" w:cs="Arial" w:eastAsia="Arial" w:hAnsi="Arial"/>
                <w:sz w:val="16"/>
                <w:szCs w:val="16"/>
                <w:color w:val="auto"/>
              </w:rPr>
              <w:t>Capitalized for a period of greater than ten years</w:t>
            </w:r>
          </w:p>
        </w:tc>
        <w:tc>
          <w:tcPr>
            <w:tcW w:w="112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289</w:t>
            </w:r>
          </w:p>
        </w:tc>
        <w:tc>
          <w:tcPr>
            <w:tcW w:w="2360" w:type="dxa"/>
            <w:vAlign w:val="bottom"/>
            <w:tcBorders>
              <w:bottom w:val="single" w:sz="8" w:color="auto"/>
            </w:tcBorders>
          </w:tcPr>
          <w:p>
            <w:pPr>
              <w:jc w:val="right"/>
              <w:ind w:right="1062"/>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189"/>
        </w:trPr>
        <w:tc>
          <w:tcPr>
            <w:tcW w:w="7460" w:type="dxa"/>
            <w:vAlign w:val="bottom"/>
          </w:tcPr>
          <w:p>
            <w:pPr>
              <w:spacing w:after="0"/>
              <w:rPr>
                <w:sz w:val="20"/>
                <w:szCs w:val="20"/>
                <w:color w:val="auto"/>
              </w:rPr>
            </w:pPr>
            <w:r>
              <w:rPr>
                <w:rFonts w:ascii="Arial" w:cs="Arial" w:eastAsia="Arial" w:hAnsi="Arial"/>
                <w:sz w:val="16"/>
                <w:szCs w:val="16"/>
                <w:color w:val="auto"/>
              </w:rPr>
              <w:t>Capitalized for a period greater than one year - subtotal</w:t>
            </w:r>
          </w:p>
        </w:tc>
        <w:tc>
          <w:tcPr>
            <w:tcW w:w="112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2,492</w:t>
            </w:r>
          </w:p>
        </w:tc>
        <w:tc>
          <w:tcPr>
            <w:tcW w:w="2360" w:type="dxa"/>
            <w:vAlign w:val="bottom"/>
            <w:tcBorders>
              <w:bottom w:val="single" w:sz="8" w:color="auto"/>
            </w:tcBorders>
          </w:tcPr>
          <w:p>
            <w:pPr>
              <w:jc w:val="right"/>
              <w:ind w:right="1062"/>
              <w:spacing w:after="0"/>
              <w:rPr>
                <w:sz w:val="20"/>
                <w:szCs w:val="20"/>
                <w:color w:val="auto"/>
              </w:rPr>
            </w:pPr>
            <w:r>
              <w:rPr>
                <w:rFonts w:ascii="Arial" w:cs="Arial" w:eastAsia="Arial" w:hAnsi="Arial"/>
                <w:sz w:val="16"/>
                <w:szCs w:val="16"/>
                <w:color w:val="auto"/>
              </w:rPr>
              <w:t>2,414</w:t>
            </w:r>
          </w:p>
        </w:tc>
        <w:tc>
          <w:tcPr>
            <w:tcW w:w="0" w:type="dxa"/>
            <w:vAlign w:val="bottom"/>
          </w:tcPr>
          <w:p>
            <w:pPr>
              <w:spacing w:after="0"/>
              <w:rPr>
                <w:sz w:val="1"/>
                <w:szCs w:val="1"/>
                <w:color w:val="auto"/>
              </w:rPr>
            </w:pPr>
          </w:p>
        </w:tc>
      </w:tr>
      <w:tr>
        <w:trPr>
          <w:trHeight w:val="188"/>
        </w:trPr>
        <w:tc>
          <w:tcPr>
            <w:tcW w:w="7460" w:type="dxa"/>
            <w:vAlign w:val="bottom"/>
          </w:tcPr>
          <w:p>
            <w:pPr>
              <w:ind w:left="70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3,587</w:t>
            </w:r>
          </w:p>
        </w:tc>
        <w:tc>
          <w:tcPr>
            <w:tcW w:w="2360" w:type="dxa"/>
            <w:vAlign w:val="bottom"/>
            <w:tcBorders>
              <w:bottom w:val="single" w:sz="8" w:color="auto"/>
            </w:tcBorders>
          </w:tcPr>
          <w:p>
            <w:pPr>
              <w:jc w:val="right"/>
              <w:ind w:right="1062"/>
              <w:spacing w:after="0"/>
              <w:rPr>
                <w:sz w:val="20"/>
                <w:szCs w:val="20"/>
                <w:color w:val="auto"/>
              </w:rPr>
            </w:pPr>
            <w:r>
              <w:rPr>
                <w:rFonts w:ascii="Arial" w:cs="Arial" w:eastAsia="Arial" w:hAnsi="Arial"/>
                <w:sz w:val="16"/>
                <w:szCs w:val="16"/>
                <w:color w:val="auto"/>
              </w:rPr>
              <w:t>2,707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Exploration activity often involves drilling multiple wells, over a number of years, to fully evaluate a project. The table below provides a numerical breakdown of the of projects with suspended exploratory well costs which had their first capitalized well drilled in the preceding 12 months and those that have had exploratory we capitalized for a period greater than 12 months.</w:t>
      </w:r>
    </w:p>
    <w:p>
      <w:pPr>
        <w:spacing w:after="0" w:line="92" w:lineRule="exact"/>
        <w:rPr>
          <w:sz w:val="20"/>
          <w:szCs w:val="20"/>
          <w:color w:val="auto"/>
        </w:rPr>
      </w:pPr>
    </w:p>
    <w:p>
      <w:pPr>
        <w:ind w:left="7940"/>
        <w:spacing w:after="0"/>
        <w:tabs>
          <w:tab w:leader="none" w:pos="9520" w:val="left"/>
        </w:tabs>
        <w:rPr>
          <w:sz w:val="20"/>
          <w:szCs w:val="20"/>
          <w:color w:val="auto"/>
        </w:rPr>
      </w:pPr>
      <w:r>
        <w:rPr>
          <w:rFonts w:ascii="Arial" w:cs="Arial" w:eastAsia="Arial" w:hAnsi="Arial"/>
          <w:sz w:val="13"/>
          <w:szCs w:val="13"/>
          <w:b w:val="1"/>
          <w:bCs w:val="1"/>
          <w:color w:val="auto"/>
        </w:rPr>
        <w:t>2014</w:t>
      </w:r>
      <w:r>
        <w:rPr>
          <w:sz w:val="20"/>
          <w:szCs w:val="20"/>
          <w:color w:val="auto"/>
        </w:rPr>
        <w:tab/>
      </w:r>
      <w:r>
        <w:rPr>
          <w:rFonts w:ascii="Arial" w:cs="Arial" w:eastAsia="Arial" w:hAnsi="Arial"/>
          <w:sz w:val="13"/>
          <w:szCs w:val="13"/>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694309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43090" cy="7620"/>
                    </a:xfrm>
                    <a:prstGeom prst="rect">
                      <a:avLst/>
                    </a:prstGeom>
                    <a:noFill/>
                  </pic:spPr>
                </pic:pic>
              </a:graphicData>
            </a:graphic>
          </wp:anchor>
        </w:drawing>
      </w:r>
    </w:p>
    <w:p>
      <w:pPr>
        <w:sectPr>
          <w:pgSz w:w="11900" w:h="16838" w:orient="portrait"/>
          <w:cols w:equalWidth="0" w:num="1">
            <w:col w:w="10940"/>
          </w:cols>
          <w:pgMar w:left="820" w:top="588" w:right="139" w:bottom="1440" w:gutter="0" w:footer="0" w:header="0"/>
        </w:sectPr>
      </w:pPr>
    </w:p>
    <w:p>
      <w:pPr>
        <w:spacing w:after="0" w:line="19"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Number of projects with first capitalized well drilled in the preceding 12 months Number of projects that have exploratory well costs capitalized for a period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of greater than 12 months</w:t>
      </w:r>
    </w:p>
    <w:p>
      <w:pPr>
        <w:spacing w:after="0" w:line="2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681990</wp:posOffset>
            </wp:positionV>
            <wp:extent cx="7279640" cy="20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840" w:type="dxa"/>
        <w:tblCellMar>
          <w:top w:w="0" w:type="dxa"/>
          <w:left w:w="0" w:type="dxa"/>
          <w:bottom w:w="0" w:type="dxa"/>
          <w:right w:w="0" w:type="dxa"/>
        </w:tblCellMar>
      </w:tblPr>
      <w:tr>
        <w:trPr>
          <w:trHeight w:val="208"/>
        </w:trPr>
        <w:tc>
          <w:tcPr>
            <w:tcW w:w="1460" w:type="dxa"/>
            <w:vAlign w:val="bottom"/>
          </w:tcPr>
          <w:p>
            <w:pPr>
              <w:jc w:val="right"/>
              <w:ind w:right="638"/>
              <w:spacing w:after="0"/>
              <w:rPr>
                <w:sz w:val="20"/>
                <w:szCs w:val="20"/>
                <w:color w:val="auto"/>
              </w:rPr>
            </w:pPr>
            <w:r>
              <w:rPr>
                <w:rFonts w:ascii="Arial" w:cs="Arial" w:eastAsia="Arial" w:hAnsi="Arial"/>
                <w:sz w:val="16"/>
                <w:szCs w:val="16"/>
                <w:color w:val="auto"/>
              </w:rPr>
              <w:t>8</w:t>
            </w:r>
          </w:p>
        </w:tc>
        <w:tc>
          <w:tcPr>
            <w:tcW w:w="2020" w:type="dxa"/>
            <w:vAlign w:val="bottom"/>
          </w:tcPr>
          <w:p>
            <w:pPr>
              <w:jc w:val="right"/>
              <w:ind w:right="1058"/>
              <w:spacing w:after="0"/>
              <w:rPr>
                <w:sz w:val="20"/>
                <w:szCs w:val="20"/>
                <w:color w:val="auto"/>
              </w:rPr>
            </w:pPr>
            <w:r>
              <w:rPr>
                <w:rFonts w:ascii="Arial" w:cs="Arial" w:eastAsia="Arial" w:hAnsi="Arial"/>
                <w:sz w:val="16"/>
                <w:szCs w:val="16"/>
                <w:color w:val="auto"/>
              </w:rPr>
              <w:t>8</w:t>
            </w:r>
          </w:p>
        </w:tc>
      </w:tr>
      <w:tr>
        <w:trPr>
          <w:trHeight w:val="403"/>
        </w:trPr>
        <w:tc>
          <w:tcPr>
            <w:tcW w:w="1460" w:type="dxa"/>
            <w:vAlign w:val="bottom"/>
            <w:tcBorders>
              <w:bottom w:val="single" w:sz="8" w:color="auto"/>
            </w:tcBorders>
          </w:tcPr>
          <w:p>
            <w:pPr>
              <w:jc w:val="right"/>
              <w:ind w:right="638"/>
              <w:spacing w:after="0"/>
              <w:rPr>
                <w:sz w:val="20"/>
                <w:szCs w:val="20"/>
                <w:color w:val="auto"/>
              </w:rPr>
            </w:pPr>
            <w:r>
              <w:rPr>
                <w:rFonts w:ascii="Arial" w:cs="Arial" w:eastAsia="Arial" w:hAnsi="Arial"/>
                <w:sz w:val="16"/>
                <w:szCs w:val="16"/>
                <w:color w:val="auto"/>
              </w:rPr>
              <w:t>53</w:t>
            </w:r>
          </w:p>
        </w:tc>
        <w:tc>
          <w:tcPr>
            <w:tcW w:w="2020" w:type="dxa"/>
            <w:vAlign w:val="bottom"/>
            <w:tcBorders>
              <w:bottom w:val="single" w:sz="8" w:color="auto"/>
            </w:tcBorders>
          </w:tcPr>
          <w:p>
            <w:pPr>
              <w:jc w:val="right"/>
              <w:ind w:right="1058"/>
              <w:spacing w:after="0"/>
              <w:rPr>
                <w:sz w:val="20"/>
                <w:szCs w:val="20"/>
                <w:color w:val="auto"/>
              </w:rPr>
            </w:pPr>
            <w:r>
              <w:rPr>
                <w:rFonts w:ascii="Arial" w:cs="Arial" w:eastAsia="Arial" w:hAnsi="Arial"/>
                <w:sz w:val="16"/>
                <w:szCs w:val="16"/>
                <w:color w:val="auto"/>
              </w:rPr>
              <w:t>50</w:t>
            </w:r>
          </w:p>
        </w:tc>
      </w:tr>
      <w:tr>
        <w:trPr>
          <w:trHeight w:val="189"/>
        </w:trPr>
        <w:tc>
          <w:tcPr>
            <w:tcW w:w="1460" w:type="dxa"/>
            <w:vAlign w:val="bottom"/>
            <w:tcBorders>
              <w:bottom w:val="single" w:sz="8" w:color="auto"/>
            </w:tcBorders>
          </w:tcPr>
          <w:p>
            <w:pPr>
              <w:jc w:val="right"/>
              <w:ind w:right="638"/>
              <w:spacing w:after="0"/>
              <w:rPr>
                <w:sz w:val="20"/>
                <w:szCs w:val="20"/>
                <w:color w:val="auto"/>
              </w:rPr>
            </w:pPr>
            <w:r>
              <w:rPr>
                <w:rFonts w:ascii="Arial" w:cs="Arial" w:eastAsia="Arial" w:hAnsi="Arial"/>
                <w:sz w:val="16"/>
                <w:szCs w:val="16"/>
                <w:color w:val="auto"/>
              </w:rPr>
              <w:t>61</w:t>
            </w:r>
          </w:p>
        </w:tc>
        <w:tc>
          <w:tcPr>
            <w:tcW w:w="2020" w:type="dxa"/>
            <w:vAlign w:val="bottom"/>
            <w:tcBorders>
              <w:bottom w:val="single" w:sz="8" w:color="auto"/>
            </w:tcBorders>
          </w:tcPr>
          <w:p>
            <w:pPr>
              <w:jc w:val="right"/>
              <w:ind w:right="1058"/>
              <w:spacing w:after="0"/>
              <w:rPr>
                <w:sz w:val="20"/>
                <w:szCs w:val="20"/>
                <w:color w:val="auto"/>
              </w:rPr>
            </w:pPr>
            <w:r>
              <w:rPr>
                <w:rFonts w:ascii="Arial" w:cs="Arial" w:eastAsia="Arial" w:hAnsi="Arial"/>
                <w:sz w:val="16"/>
                <w:szCs w:val="16"/>
                <w:color w:val="auto"/>
              </w:rPr>
              <w:t>58</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75</w:t>
      </w:r>
    </w:p>
    <w:p>
      <w:pPr>
        <w:sectPr>
          <w:pgSz w:w="11900" w:h="16838" w:orient="portrait"/>
          <w:cols w:equalWidth="0" w:num="2">
            <w:col w:w="5260" w:space="360"/>
            <w:col w:w="5320"/>
          </w:cols>
          <w:pgMar w:left="820" w:top="588" w:right="139" w:bottom="1440" w:gutter="0" w:footer="0" w:header="0"/>
          <w:type w:val="continuous"/>
        </w:sectPr>
      </w:pPr>
    </w:p>
    <w:bookmarkStart w:id="77" w:name="page78"/>
    <w:bookmarkEnd w:id="77"/>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2" w:lineRule="exact"/>
        <w:rPr>
          <w:sz w:val="20"/>
          <w:szCs w:val="20"/>
          <w:color w:val="auto"/>
        </w:rPr>
      </w:pPr>
    </w:p>
    <w:p>
      <w:pPr>
        <w:jc w:val="both"/>
        <w:ind w:left="580" w:right="20"/>
        <w:spacing w:after="0" w:line="271" w:lineRule="auto"/>
        <w:rPr>
          <w:sz w:val="20"/>
          <w:szCs w:val="20"/>
          <w:color w:val="auto"/>
        </w:rPr>
      </w:pPr>
      <w:r>
        <w:rPr>
          <w:rFonts w:ascii="Arial" w:cs="Arial" w:eastAsia="Arial" w:hAnsi="Arial"/>
          <w:sz w:val="16"/>
          <w:szCs w:val="16"/>
          <w:color w:val="auto"/>
        </w:rPr>
        <w:t>Of the 53 projects that have exploratory well costs capitalized for a period greater than 12 months as of December 31, 2014, 15 projects have drilling in the prece months or exploratory activity planned in the next two years, while the remaining 38 projects are those with completed exploratory activity progressing toward devel The table below provides additional detail for those 38 projects, which total $1,035 million.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0" w:type="dxa"/>
            <w:vAlign w:val="bottom"/>
            <w:tcBorders>
              <w:right w:val="single" w:sz="8" w:color="auto"/>
            </w:tcBorders>
          </w:tcPr>
          <w:p>
            <w:pPr>
              <w:spacing w:after="0"/>
              <w:rPr>
                <w:sz w:val="16"/>
                <w:szCs w:val="16"/>
                <w:color w:val="auto"/>
              </w:rPr>
            </w:pPr>
          </w:p>
        </w:tc>
        <w:tc>
          <w:tcPr>
            <w:tcW w:w="2100" w:type="dxa"/>
            <w:vAlign w:val="bottom"/>
            <w:tcBorders>
              <w:top w:val="single" w:sz="8" w:color="auto"/>
            </w:tcBorders>
          </w:tcPr>
          <w:p>
            <w:pPr>
              <w:spacing w:after="0"/>
              <w:rPr>
                <w:sz w:val="16"/>
                <w:szCs w:val="16"/>
                <w:color w:val="auto"/>
              </w:rPr>
            </w:pPr>
          </w:p>
        </w:tc>
        <w:tc>
          <w:tcPr>
            <w:tcW w:w="440" w:type="dxa"/>
            <w:vAlign w:val="bottom"/>
            <w:tcBorders>
              <w:top w:val="single" w:sz="8" w:color="auto"/>
              <w:right w:val="single" w:sz="8" w:color="auto"/>
            </w:tcBorders>
          </w:tcPr>
          <w:p>
            <w:pPr>
              <w:spacing w:after="0"/>
              <w:rPr>
                <w:sz w:val="16"/>
                <w:szCs w:val="16"/>
                <w:color w:val="auto"/>
              </w:rPr>
            </w:pPr>
          </w:p>
        </w:tc>
        <w:tc>
          <w:tcPr>
            <w:tcW w:w="900" w:type="dxa"/>
            <w:vAlign w:val="bottom"/>
            <w:tcBorders>
              <w:top w:val="single" w:sz="8" w:color="auto"/>
              <w:right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right w:val="single" w:sz="8" w:color="auto"/>
            </w:tcBorders>
          </w:tcPr>
          <w:p>
            <w:pPr>
              <w:jc w:val="center"/>
              <w:ind w:right="126"/>
              <w:spacing w:after="0"/>
              <w:rPr>
                <w:sz w:val="20"/>
                <w:szCs w:val="20"/>
                <w:color w:val="auto"/>
              </w:rPr>
            </w:pPr>
            <w:r>
              <w:rPr>
                <w:rFonts w:ascii="Arial" w:cs="Arial" w:eastAsia="Arial" w:hAnsi="Arial"/>
                <w:sz w:val="15"/>
                <w:szCs w:val="15"/>
                <w:color w:val="auto"/>
                <w:w w:val="86"/>
              </w:rPr>
              <w:t>Years</w:t>
            </w:r>
          </w:p>
        </w:tc>
        <w:tc>
          <w:tcPr>
            <w:tcW w:w="62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r>
      <w:tr>
        <w:trPr>
          <w:trHeight w:val="184"/>
        </w:trPr>
        <w:tc>
          <w:tcPr>
            <w:tcW w:w="600" w:type="dxa"/>
            <w:vAlign w:val="bottom"/>
            <w:tcBorders>
              <w:right w:val="single" w:sz="8" w:color="auto"/>
            </w:tcBorders>
          </w:tcPr>
          <w:p>
            <w:pPr>
              <w:spacing w:after="0"/>
              <w:rPr>
                <w:sz w:val="15"/>
                <w:szCs w:val="15"/>
                <w:color w:val="auto"/>
              </w:rPr>
            </w:pPr>
          </w:p>
        </w:tc>
        <w:tc>
          <w:tcPr>
            <w:tcW w:w="210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Dec. 31,</w:t>
            </w:r>
          </w:p>
        </w:tc>
        <w:tc>
          <w:tcPr>
            <w:tcW w:w="160" w:type="dxa"/>
            <w:vAlign w:val="bottom"/>
          </w:tcPr>
          <w:p>
            <w:pPr>
              <w:spacing w:after="0"/>
              <w:rPr>
                <w:sz w:val="15"/>
                <w:szCs w:val="15"/>
                <w:color w:val="auto"/>
              </w:rPr>
            </w:pPr>
          </w:p>
        </w:tc>
        <w:tc>
          <w:tcPr>
            <w:tcW w:w="980" w:type="dxa"/>
            <w:vAlign w:val="bottom"/>
            <w:tcBorders>
              <w:right w:val="single" w:sz="8" w:color="auto"/>
            </w:tcBorders>
          </w:tcPr>
          <w:p>
            <w:pPr>
              <w:jc w:val="center"/>
              <w:ind w:right="126"/>
              <w:spacing w:after="0"/>
              <w:rPr>
                <w:sz w:val="20"/>
                <w:szCs w:val="20"/>
                <w:color w:val="auto"/>
              </w:rPr>
            </w:pPr>
            <w:r>
              <w:rPr>
                <w:rFonts w:ascii="Arial" w:cs="Arial" w:eastAsia="Arial" w:hAnsi="Arial"/>
                <w:sz w:val="15"/>
                <w:szCs w:val="15"/>
                <w:color w:val="auto"/>
                <w:w w:val="92"/>
              </w:rPr>
              <w:t>Wells</w:t>
            </w:r>
          </w:p>
        </w:tc>
        <w:tc>
          <w:tcPr>
            <w:tcW w:w="62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0"/>
        </w:trPr>
        <w:tc>
          <w:tcPr>
            <w:tcW w:w="600" w:type="dxa"/>
            <w:vAlign w:val="bottom"/>
            <w:tcBorders>
              <w:right w:val="single" w:sz="8" w:color="auto"/>
            </w:tcBorders>
          </w:tcPr>
          <w:p>
            <w:pPr>
              <w:spacing w:after="0"/>
              <w:rPr>
                <w:sz w:val="16"/>
                <w:szCs w:val="16"/>
                <w:color w:val="auto"/>
              </w:rPr>
            </w:pPr>
          </w:p>
        </w:tc>
        <w:tc>
          <w:tcPr>
            <w:tcW w:w="2100" w:type="dxa"/>
            <w:vAlign w:val="bottom"/>
            <w:tcBorders>
              <w:bottom w:val="single" w:sz="8" w:color="auto"/>
            </w:tcBorders>
          </w:tcPr>
          <w:p>
            <w:pPr>
              <w:ind w:left="780"/>
              <w:spacing w:after="0"/>
              <w:rPr>
                <w:sz w:val="20"/>
                <w:szCs w:val="20"/>
                <w:color w:val="auto"/>
              </w:rPr>
            </w:pPr>
            <w:r>
              <w:rPr>
                <w:rFonts w:ascii="Arial" w:cs="Arial" w:eastAsia="Arial" w:hAnsi="Arial"/>
                <w:sz w:val="15"/>
                <w:szCs w:val="15"/>
                <w:color w:val="auto"/>
              </w:rPr>
              <w:t>Country/Project</w:t>
            </w:r>
          </w:p>
        </w:tc>
        <w:tc>
          <w:tcPr>
            <w:tcW w:w="44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2014</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5"/>
                <w:szCs w:val="15"/>
                <w:color w:val="auto"/>
                <w:w w:val="98"/>
              </w:rPr>
              <w:t>Drilled</w:t>
            </w:r>
          </w:p>
        </w:tc>
        <w:tc>
          <w:tcPr>
            <w:tcW w:w="6340" w:type="dxa"/>
            <w:vAlign w:val="bottom"/>
            <w:tcBorders>
              <w:bottom w:val="single" w:sz="8" w:color="auto"/>
            </w:tcBorders>
            <w:gridSpan w:val="2"/>
          </w:tcPr>
          <w:p>
            <w:pPr>
              <w:ind w:left="3120"/>
              <w:spacing w:after="0"/>
              <w:rPr>
                <w:sz w:val="20"/>
                <w:szCs w:val="20"/>
                <w:color w:val="auto"/>
              </w:rPr>
            </w:pPr>
            <w:r>
              <w:rPr>
                <w:rFonts w:ascii="Arial" w:cs="Arial" w:eastAsia="Arial" w:hAnsi="Arial"/>
                <w:sz w:val="15"/>
                <w:szCs w:val="15"/>
                <w:color w:val="auto"/>
              </w:rPr>
              <w:t>Comment</w:t>
            </w:r>
          </w:p>
        </w:tc>
      </w:tr>
      <w:tr>
        <w:trPr>
          <w:trHeight w:val="179"/>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166"/>
              <w:spacing w:after="0"/>
              <w:rPr>
                <w:sz w:val="20"/>
                <w:szCs w:val="20"/>
                <w:color w:val="auto"/>
              </w:rPr>
            </w:pPr>
            <w:r>
              <w:rPr>
                <w:rFonts w:ascii="Arial" w:cs="Arial" w:eastAsia="Arial" w:hAnsi="Arial"/>
                <w:sz w:val="15"/>
                <w:szCs w:val="15"/>
                <w:i w:val="1"/>
                <w:iCs w:val="1"/>
                <w:color w:val="auto"/>
                <w:w w:val="94"/>
              </w:rPr>
              <w:t>(millions of dollars)</w:t>
            </w:r>
          </w:p>
        </w:tc>
        <w:tc>
          <w:tcPr>
            <w:tcW w:w="980" w:type="dxa"/>
            <w:vAlign w:val="bottom"/>
            <w:tcBorders>
              <w:bottom w:val="single" w:sz="8" w:color="auto"/>
            </w:tcBorders>
          </w:tcPr>
          <w:p>
            <w:pPr>
              <w:spacing w:after="0"/>
              <w:rPr>
                <w:sz w:val="15"/>
                <w:szCs w:val="15"/>
                <w:color w:val="auto"/>
              </w:rPr>
            </w:pPr>
          </w:p>
        </w:tc>
        <w:tc>
          <w:tcPr>
            <w:tcW w:w="6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r>
      <w:tr>
        <w:trPr>
          <w:trHeight w:val="176"/>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Angola</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r>
      <w:tr>
        <w:trPr>
          <w:trHeight w:val="176"/>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 Kaombo Split Hub Phase 2</w:t>
            </w:r>
          </w:p>
        </w:tc>
        <w:tc>
          <w:tcPr>
            <w:tcW w:w="44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286"/>
              <w:spacing w:after="0"/>
              <w:rPr>
                <w:sz w:val="20"/>
                <w:szCs w:val="20"/>
                <w:color w:val="auto"/>
              </w:rPr>
            </w:pPr>
            <w:r>
              <w:rPr>
                <w:rFonts w:ascii="Arial" w:cs="Arial" w:eastAsia="Arial" w:hAnsi="Arial"/>
                <w:sz w:val="15"/>
                <w:szCs w:val="15"/>
                <w:color w:val="auto"/>
              </w:rPr>
              <w:t>20</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5"/>
                <w:szCs w:val="15"/>
                <w:color w:val="auto"/>
                <w:w w:val="87"/>
              </w:rPr>
              <w:t>2005 - 2006</w:t>
            </w:r>
          </w:p>
        </w:tc>
        <w:tc>
          <w:tcPr>
            <w:tcW w:w="63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Evaluating development plan to tie into planned production facilities.</w:t>
            </w:r>
          </w:p>
        </w:tc>
      </w:tr>
      <w:tr>
        <w:trPr>
          <w:trHeight w:val="176"/>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 Perpetua-Zinia-Acacia</w:t>
            </w:r>
          </w:p>
        </w:tc>
        <w:tc>
          <w:tcPr>
            <w:tcW w:w="44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286"/>
              <w:spacing w:after="0"/>
              <w:rPr>
                <w:sz w:val="20"/>
                <w:szCs w:val="20"/>
                <w:color w:val="auto"/>
              </w:rPr>
            </w:pPr>
            <w:r>
              <w:rPr>
                <w:rFonts w:ascii="Arial" w:cs="Arial" w:eastAsia="Arial" w:hAnsi="Arial"/>
                <w:sz w:val="15"/>
                <w:szCs w:val="15"/>
                <w:color w:val="auto"/>
              </w:rPr>
              <w:t>15</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5"/>
                <w:szCs w:val="15"/>
                <w:color w:val="auto"/>
                <w:w w:val="87"/>
              </w:rPr>
              <w:t>2008 - 2009</w:t>
            </w:r>
          </w:p>
        </w:tc>
        <w:tc>
          <w:tcPr>
            <w:tcW w:w="63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Oil field near Pazflor development, awaiting capacity in existing/planned infrastructure.</w:t>
            </w:r>
          </w:p>
        </w:tc>
      </w:tr>
      <w:tr>
        <w:trPr>
          <w:trHeight w:val="176"/>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Australia</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r>
      <w:tr>
        <w:trPr>
          <w:trHeight w:val="168"/>
        </w:trPr>
        <w:tc>
          <w:tcPr>
            <w:tcW w:w="600" w:type="dxa"/>
            <w:vAlign w:val="bottom"/>
            <w:tcBorders>
              <w:right w:val="single" w:sz="8" w:color="auto"/>
            </w:tcBorders>
          </w:tcPr>
          <w:p>
            <w:pPr>
              <w:spacing w:after="0"/>
              <w:rPr>
                <w:sz w:val="14"/>
                <w:szCs w:val="14"/>
                <w:color w:val="auto"/>
              </w:rPr>
            </w:pPr>
          </w:p>
        </w:tc>
        <w:tc>
          <w:tcPr>
            <w:tcW w:w="2100" w:type="dxa"/>
            <w:vAlign w:val="bottom"/>
          </w:tcPr>
          <w:p>
            <w:pPr>
              <w:ind w:left="100"/>
              <w:spacing w:after="0" w:line="168" w:lineRule="exact"/>
              <w:rPr>
                <w:sz w:val="20"/>
                <w:szCs w:val="20"/>
                <w:color w:val="auto"/>
              </w:rPr>
            </w:pPr>
            <w:r>
              <w:rPr>
                <w:rFonts w:ascii="Arial" w:cs="Arial" w:eastAsia="Arial" w:hAnsi="Arial"/>
                <w:sz w:val="15"/>
                <w:szCs w:val="15"/>
                <w:color w:val="auto"/>
              </w:rPr>
              <w:t>- East Pilchard</w:t>
            </w:r>
          </w:p>
        </w:tc>
        <w:tc>
          <w:tcPr>
            <w:tcW w:w="4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right"/>
              <w:ind w:right="286"/>
              <w:spacing w:after="0" w:line="168" w:lineRule="exact"/>
              <w:rPr>
                <w:sz w:val="20"/>
                <w:szCs w:val="20"/>
                <w:color w:val="auto"/>
              </w:rPr>
            </w:pPr>
            <w:r>
              <w:rPr>
                <w:rFonts w:ascii="Arial" w:cs="Arial" w:eastAsia="Arial" w:hAnsi="Arial"/>
                <w:sz w:val="15"/>
                <w:szCs w:val="15"/>
                <w:color w:val="auto"/>
              </w:rPr>
              <w:t>8</w:t>
            </w:r>
          </w:p>
        </w:tc>
        <w:tc>
          <w:tcPr>
            <w:tcW w:w="160" w:type="dxa"/>
            <w:vAlign w:val="bottom"/>
          </w:tcPr>
          <w:p>
            <w:pPr>
              <w:spacing w:after="0"/>
              <w:rPr>
                <w:sz w:val="14"/>
                <w:szCs w:val="14"/>
                <w:color w:val="auto"/>
              </w:rPr>
            </w:pPr>
          </w:p>
        </w:tc>
        <w:tc>
          <w:tcPr>
            <w:tcW w:w="980" w:type="dxa"/>
            <w:vAlign w:val="bottom"/>
            <w:tcBorders>
              <w:right w:val="single" w:sz="8" w:color="auto"/>
            </w:tcBorders>
          </w:tcPr>
          <w:p>
            <w:pPr>
              <w:jc w:val="center"/>
              <w:ind w:right="126"/>
              <w:spacing w:after="0" w:line="168" w:lineRule="exact"/>
              <w:rPr>
                <w:sz w:val="20"/>
                <w:szCs w:val="20"/>
                <w:color w:val="auto"/>
              </w:rPr>
            </w:pPr>
            <w:r>
              <w:rPr>
                <w:rFonts w:ascii="Arial" w:cs="Arial" w:eastAsia="Arial" w:hAnsi="Arial"/>
                <w:sz w:val="15"/>
                <w:szCs w:val="15"/>
                <w:color w:val="auto"/>
                <w:w w:val="89"/>
              </w:rPr>
              <w:t>2001</w:t>
            </w:r>
          </w:p>
        </w:tc>
        <w:tc>
          <w:tcPr>
            <w:tcW w:w="6340" w:type="dxa"/>
            <w:vAlign w:val="bottom"/>
            <w:gridSpan w:val="2"/>
          </w:tcPr>
          <w:p>
            <w:pPr>
              <w:ind w:left="60"/>
              <w:spacing w:after="0" w:line="168" w:lineRule="exact"/>
              <w:rPr>
                <w:sz w:val="20"/>
                <w:szCs w:val="20"/>
                <w:color w:val="auto"/>
              </w:rPr>
            </w:pPr>
            <w:r>
              <w:rPr>
                <w:rFonts w:ascii="Arial" w:cs="Arial" w:eastAsia="Arial" w:hAnsi="Arial"/>
                <w:sz w:val="15"/>
                <w:szCs w:val="15"/>
                <w:color w:val="auto"/>
              </w:rPr>
              <w:t>Gas field near Kipper/Tuna development, awaiting capacity in existing/planned</w:t>
            </w:r>
          </w:p>
        </w:tc>
      </w:tr>
      <w:tr>
        <w:trPr>
          <w:trHeight w:val="190"/>
        </w:trPr>
        <w:tc>
          <w:tcPr>
            <w:tcW w:w="600" w:type="dxa"/>
            <w:vAlign w:val="bottom"/>
            <w:tcBorders>
              <w:right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63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infrastructure.</w:t>
            </w:r>
          </w:p>
        </w:tc>
      </w:tr>
      <w:tr>
        <w:trPr>
          <w:trHeight w:val="179"/>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 SE Longtom</w:t>
            </w:r>
          </w:p>
        </w:tc>
        <w:tc>
          <w:tcPr>
            <w:tcW w:w="44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286"/>
              <w:spacing w:after="0"/>
              <w:rPr>
                <w:sz w:val="20"/>
                <w:szCs w:val="20"/>
                <w:color w:val="auto"/>
              </w:rPr>
            </w:pPr>
            <w:r>
              <w:rPr>
                <w:rFonts w:ascii="Arial" w:cs="Arial" w:eastAsia="Arial" w:hAnsi="Arial"/>
                <w:sz w:val="15"/>
                <w:szCs w:val="15"/>
                <w:color w:val="auto"/>
              </w:rPr>
              <w:t>12</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5"/>
                <w:szCs w:val="15"/>
                <w:color w:val="auto"/>
                <w:w w:val="89"/>
              </w:rPr>
              <w:t>2010</w:t>
            </w:r>
          </w:p>
        </w:tc>
        <w:tc>
          <w:tcPr>
            <w:tcW w:w="63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Gas field near Tuna development, awaiting capacity in existing/planned infrastructure.</w:t>
            </w:r>
          </w:p>
        </w:tc>
      </w:tr>
      <w:tr>
        <w:trPr>
          <w:trHeight w:val="176"/>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 SE Remora</w:t>
            </w:r>
          </w:p>
        </w:tc>
        <w:tc>
          <w:tcPr>
            <w:tcW w:w="44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286"/>
              <w:spacing w:after="0"/>
              <w:rPr>
                <w:sz w:val="20"/>
                <w:szCs w:val="20"/>
                <w:color w:val="auto"/>
              </w:rPr>
            </w:pPr>
            <w:r>
              <w:rPr>
                <w:rFonts w:ascii="Arial" w:cs="Arial" w:eastAsia="Arial" w:hAnsi="Arial"/>
                <w:sz w:val="15"/>
                <w:szCs w:val="15"/>
                <w:color w:val="auto"/>
              </w:rPr>
              <w:t>38</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5"/>
                <w:szCs w:val="15"/>
                <w:color w:val="auto"/>
                <w:w w:val="89"/>
              </w:rPr>
              <w:t>2010</w:t>
            </w:r>
          </w:p>
        </w:tc>
        <w:tc>
          <w:tcPr>
            <w:tcW w:w="63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Gas field near Marlin development, awaiting capacity in existing/planned infrastructure.</w:t>
            </w:r>
          </w:p>
        </w:tc>
      </w:tr>
      <w:tr>
        <w:trPr>
          <w:trHeight w:val="176"/>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Indonesia</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r>
      <w:tr>
        <w:trPr>
          <w:trHeight w:val="176"/>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 Alas Tua West</w:t>
            </w:r>
          </w:p>
        </w:tc>
        <w:tc>
          <w:tcPr>
            <w:tcW w:w="44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286"/>
              <w:spacing w:after="0"/>
              <w:rPr>
                <w:sz w:val="20"/>
                <w:szCs w:val="20"/>
                <w:color w:val="auto"/>
              </w:rPr>
            </w:pPr>
            <w:r>
              <w:rPr>
                <w:rFonts w:ascii="Arial" w:cs="Arial" w:eastAsia="Arial" w:hAnsi="Arial"/>
                <w:sz w:val="15"/>
                <w:szCs w:val="15"/>
                <w:color w:val="auto"/>
              </w:rPr>
              <w:t>16</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5"/>
                <w:szCs w:val="15"/>
                <w:color w:val="auto"/>
                <w:w w:val="89"/>
              </w:rPr>
              <w:t>2010</w:t>
            </w:r>
          </w:p>
        </w:tc>
        <w:tc>
          <w:tcPr>
            <w:tcW w:w="63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Evaluating development plan to tie into planned production facilities.</w:t>
            </w:r>
          </w:p>
        </w:tc>
      </w:tr>
      <w:tr>
        <w:trPr>
          <w:trHeight w:val="168"/>
        </w:trPr>
        <w:tc>
          <w:tcPr>
            <w:tcW w:w="600" w:type="dxa"/>
            <w:vAlign w:val="bottom"/>
            <w:tcBorders>
              <w:right w:val="single" w:sz="8" w:color="auto"/>
            </w:tcBorders>
          </w:tcPr>
          <w:p>
            <w:pPr>
              <w:spacing w:after="0"/>
              <w:rPr>
                <w:sz w:val="14"/>
                <w:szCs w:val="14"/>
                <w:color w:val="auto"/>
              </w:rPr>
            </w:pPr>
          </w:p>
        </w:tc>
        <w:tc>
          <w:tcPr>
            <w:tcW w:w="2100" w:type="dxa"/>
            <w:vAlign w:val="bottom"/>
          </w:tcPr>
          <w:p>
            <w:pPr>
              <w:ind w:left="100"/>
              <w:spacing w:after="0" w:line="168" w:lineRule="exact"/>
              <w:rPr>
                <w:sz w:val="20"/>
                <w:szCs w:val="20"/>
                <w:color w:val="auto"/>
              </w:rPr>
            </w:pPr>
            <w:r>
              <w:rPr>
                <w:rFonts w:ascii="Arial" w:cs="Arial" w:eastAsia="Arial" w:hAnsi="Arial"/>
                <w:sz w:val="15"/>
                <w:szCs w:val="15"/>
                <w:color w:val="auto"/>
              </w:rPr>
              <w:t>- Cepu Gas</w:t>
            </w:r>
          </w:p>
        </w:tc>
        <w:tc>
          <w:tcPr>
            <w:tcW w:w="4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right"/>
              <w:ind w:right="286"/>
              <w:spacing w:after="0" w:line="168" w:lineRule="exact"/>
              <w:rPr>
                <w:sz w:val="20"/>
                <w:szCs w:val="20"/>
                <w:color w:val="auto"/>
              </w:rPr>
            </w:pPr>
            <w:r>
              <w:rPr>
                <w:rFonts w:ascii="Arial" w:cs="Arial" w:eastAsia="Arial" w:hAnsi="Arial"/>
                <w:sz w:val="15"/>
                <w:szCs w:val="15"/>
                <w:color w:val="auto"/>
              </w:rPr>
              <w:t>28</w:t>
            </w:r>
          </w:p>
        </w:tc>
        <w:tc>
          <w:tcPr>
            <w:tcW w:w="160" w:type="dxa"/>
            <w:vAlign w:val="bottom"/>
          </w:tcPr>
          <w:p>
            <w:pPr>
              <w:spacing w:after="0"/>
              <w:rPr>
                <w:sz w:val="14"/>
                <w:szCs w:val="14"/>
                <w:color w:val="auto"/>
              </w:rPr>
            </w:pPr>
          </w:p>
        </w:tc>
        <w:tc>
          <w:tcPr>
            <w:tcW w:w="980" w:type="dxa"/>
            <w:vAlign w:val="bottom"/>
            <w:tcBorders>
              <w:right w:val="single" w:sz="8" w:color="auto"/>
            </w:tcBorders>
          </w:tcPr>
          <w:p>
            <w:pPr>
              <w:jc w:val="center"/>
              <w:ind w:right="126"/>
              <w:spacing w:after="0" w:line="168" w:lineRule="exact"/>
              <w:rPr>
                <w:sz w:val="20"/>
                <w:szCs w:val="20"/>
                <w:color w:val="auto"/>
              </w:rPr>
            </w:pPr>
            <w:r>
              <w:rPr>
                <w:rFonts w:ascii="Arial" w:cs="Arial" w:eastAsia="Arial" w:hAnsi="Arial"/>
                <w:sz w:val="15"/>
                <w:szCs w:val="15"/>
                <w:color w:val="auto"/>
                <w:w w:val="87"/>
              </w:rPr>
              <w:t>2008 - 2011</w:t>
            </w:r>
          </w:p>
        </w:tc>
        <w:tc>
          <w:tcPr>
            <w:tcW w:w="6340" w:type="dxa"/>
            <w:vAlign w:val="bottom"/>
            <w:gridSpan w:val="2"/>
          </w:tcPr>
          <w:p>
            <w:pPr>
              <w:ind w:left="60"/>
              <w:spacing w:after="0" w:line="168" w:lineRule="exact"/>
              <w:rPr>
                <w:sz w:val="20"/>
                <w:szCs w:val="20"/>
                <w:color w:val="auto"/>
              </w:rPr>
            </w:pPr>
            <w:r>
              <w:rPr>
                <w:rFonts w:ascii="Arial" w:cs="Arial" w:eastAsia="Arial" w:hAnsi="Arial"/>
                <w:sz w:val="15"/>
                <w:szCs w:val="15"/>
                <w:color w:val="auto"/>
              </w:rPr>
              <w:t>Development activity under way, while continuing commercial discussions with the</w:t>
            </w:r>
          </w:p>
        </w:tc>
      </w:tr>
      <w:tr>
        <w:trPr>
          <w:trHeight w:val="190"/>
        </w:trPr>
        <w:tc>
          <w:tcPr>
            <w:tcW w:w="600" w:type="dxa"/>
            <w:vAlign w:val="bottom"/>
            <w:tcBorders>
              <w:right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63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government.</w:t>
            </w:r>
          </w:p>
        </w:tc>
      </w:tr>
      <w:tr>
        <w:trPr>
          <w:trHeight w:val="179"/>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 Kedung Keris</w:t>
            </w:r>
          </w:p>
        </w:tc>
        <w:tc>
          <w:tcPr>
            <w:tcW w:w="44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286"/>
              <w:spacing w:after="0"/>
              <w:rPr>
                <w:sz w:val="20"/>
                <w:szCs w:val="20"/>
                <w:color w:val="auto"/>
              </w:rPr>
            </w:pPr>
            <w:r>
              <w:rPr>
                <w:rFonts w:ascii="Arial" w:cs="Arial" w:eastAsia="Arial" w:hAnsi="Arial"/>
                <w:sz w:val="15"/>
                <w:szCs w:val="15"/>
                <w:color w:val="auto"/>
              </w:rPr>
              <w:t>11</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5"/>
                <w:szCs w:val="15"/>
                <w:color w:val="auto"/>
                <w:w w:val="89"/>
              </w:rPr>
              <w:t>2011</w:t>
            </w:r>
          </w:p>
        </w:tc>
        <w:tc>
          <w:tcPr>
            <w:tcW w:w="63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Evaluating development plan to tie into planned production facilities.</w:t>
            </w:r>
          </w:p>
        </w:tc>
      </w:tr>
      <w:tr>
        <w:trPr>
          <w:trHeight w:val="168"/>
        </w:trPr>
        <w:tc>
          <w:tcPr>
            <w:tcW w:w="600" w:type="dxa"/>
            <w:vAlign w:val="bottom"/>
            <w:tcBorders>
              <w:right w:val="single" w:sz="8" w:color="auto"/>
            </w:tcBorders>
          </w:tcPr>
          <w:p>
            <w:pPr>
              <w:spacing w:after="0"/>
              <w:rPr>
                <w:sz w:val="14"/>
                <w:szCs w:val="14"/>
                <w:color w:val="auto"/>
              </w:rPr>
            </w:pPr>
          </w:p>
        </w:tc>
        <w:tc>
          <w:tcPr>
            <w:tcW w:w="2100" w:type="dxa"/>
            <w:vAlign w:val="bottom"/>
          </w:tcPr>
          <w:p>
            <w:pPr>
              <w:ind w:left="100"/>
              <w:spacing w:after="0" w:line="168" w:lineRule="exact"/>
              <w:rPr>
                <w:sz w:val="20"/>
                <w:szCs w:val="20"/>
                <w:color w:val="auto"/>
              </w:rPr>
            </w:pPr>
            <w:r>
              <w:rPr>
                <w:rFonts w:ascii="Arial" w:cs="Arial" w:eastAsia="Arial" w:hAnsi="Arial"/>
                <w:sz w:val="15"/>
                <w:szCs w:val="15"/>
                <w:color w:val="auto"/>
              </w:rPr>
              <w:t>- Natuna</w:t>
            </w:r>
          </w:p>
        </w:tc>
        <w:tc>
          <w:tcPr>
            <w:tcW w:w="4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right"/>
              <w:ind w:right="286"/>
              <w:spacing w:after="0" w:line="168" w:lineRule="exact"/>
              <w:rPr>
                <w:sz w:val="20"/>
                <w:szCs w:val="20"/>
                <w:color w:val="auto"/>
              </w:rPr>
            </w:pPr>
            <w:r>
              <w:rPr>
                <w:rFonts w:ascii="Arial" w:cs="Arial" w:eastAsia="Arial" w:hAnsi="Arial"/>
                <w:sz w:val="15"/>
                <w:szCs w:val="15"/>
                <w:color w:val="auto"/>
              </w:rPr>
              <w:t>118</w:t>
            </w:r>
          </w:p>
        </w:tc>
        <w:tc>
          <w:tcPr>
            <w:tcW w:w="160" w:type="dxa"/>
            <w:vAlign w:val="bottom"/>
          </w:tcPr>
          <w:p>
            <w:pPr>
              <w:spacing w:after="0"/>
              <w:rPr>
                <w:sz w:val="14"/>
                <w:szCs w:val="14"/>
                <w:color w:val="auto"/>
              </w:rPr>
            </w:pPr>
          </w:p>
        </w:tc>
        <w:tc>
          <w:tcPr>
            <w:tcW w:w="980" w:type="dxa"/>
            <w:vAlign w:val="bottom"/>
            <w:tcBorders>
              <w:right w:val="single" w:sz="8" w:color="auto"/>
            </w:tcBorders>
          </w:tcPr>
          <w:p>
            <w:pPr>
              <w:jc w:val="center"/>
              <w:ind w:right="126"/>
              <w:spacing w:after="0" w:line="168" w:lineRule="exact"/>
              <w:rPr>
                <w:sz w:val="20"/>
                <w:szCs w:val="20"/>
                <w:color w:val="auto"/>
              </w:rPr>
            </w:pPr>
            <w:r>
              <w:rPr>
                <w:rFonts w:ascii="Arial" w:cs="Arial" w:eastAsia="Arial" w:hAnsi="Arial"/>
                <w:sz w:val="15"/>
                <w:szCs w:val="15"/>
                <w:color w:val="auto"/>
                <w:w w:val="87"/>
              </w:rPr>
              <w:t>1981 - 1983</w:t>
            </w:r>
          </w:p>
        </w:tc>
        <w:tc>
          <w:tcPr>
            <w:tcW w:w="6340" w:type="dxa"/>
            <w:vAlign w:val="bottom"/>
            <w:gridSpan w:val="2"/>
          </w:tcPr>
          <w:p>
            <w:pPr>
              <w:ind w:left="60"/>
              <w:spacing w:after="0" w:line="168" w:lineRule="exact"/>
              <w:rPr>
                <w:sz w:val="20"/>
                <w:szCs w:val="20"/>
                <w:color w:val="auto"/>
              </w:rPr>
            </w:pPr>
            <w:r>
              <w:rPr>
                <w:rFonts w:ascii="Arial" w:cs="Arial" w:eastAsia="Arial" w:hAnsi="Arial"/>
                <w:sz w:val="15"/>
                <w:szCs w:val="15"/>
                <w:color w:val="auto"/>
              </w:rPr>
              <w:t>Development activity under way, while continuing discussions with the government</w:t>
            </w:r>
          </w:p>
        </w:tc>
      </w:tr>
      <w:tr>
        <w:trPr>
          <w:trHeight w:val="190"/>
        </w:trPr>
        <w:tc>
          <w:tcPr>
            <w:tcW w:w="600" w:type="dxa"/>
            <w:vAlign w:val="bottom"/>
            <w:tcBorders>
              <w:right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63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on contract terms pursuant to executed Heads of Agreement.</w:t>
            </w:r>
          </w:p>
        </w:tc>
      </w:tr>
      <w:tr>
        <w:trPr>
          <w:trHeight w:val="179"/>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Kazakhstan</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r>
      <w:tr>
        <w:trPr>
          <w:trHeight w:val="168"/>
        </w:trPr>
        <w:tc>
          <w:tcPr>
            <w:tcW w:w="600" w:type="dxa"/>
            <w:vAlign w:val="bottom"/>
            <w:tcBorders>
              <w:right w:val="single" w:sz="8" w:color="auto"/>
            </w:tcBorders>
          </w:tcPr>
          <w:p>
            <w:pPr>
              <w:spacing w:after="0"/>
              <w:rPr>
                <w:sz w:val="14"/>
                <w:szCs w:val="14"/>
                <w:color w:val="auto"/>
              </w:rPr>
            </w:pPr>
          </w:p>
        </w:tc>
        <w:tc>
          <w:tcPr>
            <w:tcW w:w="2100" w:type="dxa"/>
            <w:vAlign w:val="bottom"/>
          </w:tcPr>
          <w:p>
            <w:pPr>
              <w:ind w:left="100"/>
              <w:spacing w:after="0" w:line="168" w:lineRule="exact"/>
              <w:rPr>
                <w:sz w:val="20"/>
                <w:szCs w:val="20"/>
                <w:color w:val="auto"/>
              </w:rPr>
            </w:pPr>
            <w:r>
              <w:rPr>
                <w:rFonts w:ascii="Arial" w:cs="Arial" w:eastAsia="Arial" w:hAnsi="Arial"/>
                <w:sz w:val="15"/>
                <w:szCs w:val="15"/>
                <w:color w:val="auto"/>
              </w:rPr>
              <w:t>- Kairan</w:t>
            </w:r>
          </w:p>
        </w:tc>
        <w:tc>
          <w:tcPr>
            <w:tcW w:w="4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right"/>
              <w:ind w:right="286"/>
              <w:spacing w:after="0" w:line="168" w:lineRule="exact"/>
              <w:rPr>
                <w:sz w:val="20"/>
                <w:szCs w:val="20"/>
                <w:color w:val="auto"/>
              </w:rPr>
            </w:pPr>
            <w:r>
              <w:rPr>
                <w:rFonts w:ascii="Arial" w:cs="Arial" w:eastAsia="Arial" w:hAnsi="Arial"/>
                <w:sz w:val="15"/>
                <w:szCs w:val="15"/>
                <w:color w:val="auto"/>
              </w:rPr>
              <w:t>53</w:t>
            </w:r>
          </w:p>
        </w:tc>
        <w:tc>
          <w:tcPr>
            <w:tcW w:w="160" w:type="dxa"/>
            <w:vAlign w:val="bottom"/>
          </w:tcPr>
          <w:p>
            <w:pPr>
              <w:spacing w:after="0"/>
              <w:rPr>
                <w:sz w:val="14"/>
                <w:szCs w:val="14"/>
                <w:color w:val="auto"/>
              </w:rPr>
            </w:pPr>
          </w:p>
        </w:tc>
        <w:tc>
          <w:tcPr>
            <w:tcW w:w="980" w:type="dxa"/>
            <w:vAlign w:val="bottom"/>
            <w:tcBorders>
              <w:right w:val="single" w:sz="8" w:color="auto"/>
            </w:tcBorders>
          </w:tcPr>
          <w:p>
            <w:pPr>
              <w:jc w:val="center"/>
              <w:ind w:right="126"/>
              <w:spacing w:after="0" w:line="168" w:lineRule="exact"/>
              <w:rPr>
                <w:sz w:val="20"/>
                <w:szCs w:val="20"/>
                <w:color w:val="auto"/>
              </w:rPr>
            </w:pPr>
            <w:r>
              <w:rPr>
                <w:rFonts w:ascii="Arial" w:cs="Arial" w:eastAsia="Arial" w:hAnsi="Arial"/>
                <w:sz w:val="15"/>
                <w:szCs w:val="15"/>
                <w:color w:val="auto"/>
                <w:w w:val="87"/>
              </w:rPr>
              <w:t>2004 - 2007</w:t>
            </w:r>
          </w:p>
        </w:tc>
        <w:tc>
          <w:tcPr>
            <w:tcW w:w="6340" w:type="dxa"/>
            <w:vAlign w:val="bottom"/>
            <w:gridSpan w:val="2"/>
          </w:tcPr>
          <w:p>
            <w:pPr>
              <w:ind w:left="60"/>
              <w:spacing w:after="0" w:line="168" w:lineRule="exact"/>
              <w:rPr>
                <w:sz w:val="20"/>
                <w:szCs w:val="20"/>
                <w:color w:val="auto"/>
              </w:rPr>
            </w:pPr>
            <w:r>
              <w:rPr>
                <w:rFonts w:ascii="Arial" w:cs="Arial" w:eastAsia="Arial" w:hAnsi="Arial"/>
                <w:sz w:val="15"/>
                <w:szCs w:val="15"/>
                <w:color w:val="auto"/>
              </w:rPr>
              <w:t>Evaluating commercialization and field development alternatives, while continuing</w:t>
            </w:r>
          </w:p>
        </w:tc>
      </w:tr>
      <w:tr>
        <w:trPr>
          <w:trHeight w:val="190"/>
        </w:trPr>
        <w:tc>
          <w:tcPr>
            <w:tcW w:w="600" w:type="dxa"/>
            <w:vAlign w:val="bottom"/>
            <w:tcBorders>
              <w:right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63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discussions with the government regarding the development plan.</w:t>
            </w:r>
          </w:p>
        </w:tc>
      </w:tr>
      <w:tr>
        <w:trPr>
          <w:trHeight w:val="179"/>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Malaysia</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r>
      <w:tr>
        <w:trPr>
          <w:trHeight w:val="176"/>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 Besar</w:t>
            </w:r>
          </w:p>
        </w:tc>
        <w:tc>
          <w:tcPr>
            <w:tcW w:w="44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286"/>
              <w:spacing w:after="0"/>
              <w:rPr>
                <w:sz w:val="20"/>
                <w:szCs w:val="20"/>
                <w:color w:val="auto"/>
              </w:rPr>
            </w:pPr>
            <w:r>
              <w:rPr>
                <w:rFonts w:ascii="Arial" w:cs="Arial" w:eastAsia="Arial" w:hAnsi="Arial"/>
                <w:sz w:val="15"/>
                <w:szCs w:val="15"/>
                <w:color w:val="auto"/>
              </w:rPr>
              <w:t>18</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5"/>
                <w:szCs w:val="15"/>
                <w:color w:val="auto"/>
                <w:w w:val="87"/>
              </w:rPr>
              <w:t>1992 - 2010</w:t>
            </w:r>
          </w:p>
        </w:tc>
        <w:tc>
          <w:tcPr>
            <w:tcW w:w="63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Gas field off the east coast of Malaysia; progressing development plan.</w:t>
            </w:r>
          </w:p>
        </w:tc>
      </w:tr>
      <w:tr>
        <w:trPr>
          <w:trHeight w:val="176"/>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 Bindu</w:t>
            </w:r>
          </w:p>
        </w:tc>
        <w:tc>
          <w:tcPr>
            <w:tcW w:w="44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286"/>
              <w:spacing w:after="0"/>
              <w:rPr>
                <w:sz w:val="20"/>
                <w:szCs w:val="20"/>
                <w:color w:val="auto"/>
              </w:rPr>
            </w:pPr>
            <w:r>
              <w:rPr>
                <w:rFonts w:ascii="Arial" w:cs="Arial" w:eastAsia="Arial" w:hAnsi="Arial"/>
                <w:sz w:val="15"/>
                <w:szCs w:val="15"/>
                <w:color w:val="auto"/>
              </w:rPr>
              <w:t>2</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5"/>
                <w:szCs w:val="15"/>
                <w:color w:val="auto"/>
                <w:w w:val="89"/>
              </w:rPr>
              <w:t>1995</w:t>
            </w:r>
          </w:p>
        </w:tc>
        <w:tc>
          <w:tcPr>
            <w:tcW w:w="63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Awaiting capacity in existing/planned infrastructure.</w:t>
            </w:r>
          </w:p>
        </w:tc>
      </w:tr>
      <w:tr>
        <w:trPr>
          <w:trHeight w:val="176"/>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Nigeria</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r>
      <w:tr>
        <w:trPr>
          <w:trHeight w:val="168"/>
        </w:trPr>
        <w:tc>
          <w:tcPr>
            <w:tcW w:w="600" w:type="dxa"/>
            <w:vAlign w:val="bottom"/>
            <w:tcBorders>
              <w:right w:val="single" w:sz="8" w:color="auto"/>
            </w:tcBorders>
          </w:tcPr>
          <w:p>
            <w:pPr>
              <w:spacing w:after="0"/>
              <w:rPr>
                <w:sz w:val="14"/>
                <w:szCs w:val="14"/>
                <w:color w:val="auto"/>
              </w:rPr>
            </w:pPr>
          </w:p>
        </w:tc>
        <w:tc>
          <w:tcPr>
            <w:tcW w:w="2100" w:type="dxa"/>
            <w:vAlign w:val="bottom"/>
          </w:tcPr>
          <w:p>
            <w:pPr>
              <w:ind w:left="100"/>
              <w:spacing w:after="0" w:line="168" w:lineRule="exact"/>
              <w:rPr>
                <w:sz w:val="20"/>
                <w:szCs w:val="20"/>
                <w:color w:val="auto"/>
              </w:rPr>
            </w:pPr>
            <w:r>
              <w:rPr>
                <w:rFonts w:ascii="Arial" w:cs="Arial" w:eastAsia="Arial" w:hAnsi="Arial"/>
                <w:sz w:val="15"/>
                <w:szCs w:val="15"/>
                <w:color w:val="auto"/>
              </w:rPr>
              <w:t>- Bolia</w:t>
            </w:r>
          </w:p>
        </w:tc>
        <w:tc>
          <w:tcPr>
            <w:tcW w:w="4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right"/>
              <w:ind w:right="286"/>
              <w:spacing w:after="0" w:line="168" w:lineRule="exact"/>
              <w:rPr>
                <w:sz w:val="20"/>
                <w:szCs w:val="20"/>
                <w:color w:val="auto"/>
              </w:rPr>
            </w:pPr>
            <w:r>
              <w:rPr>
                <w:rFonts w:ascii="Arial" w:cs="Arial" w:eastAsia="Arial" w:hAnsi="Arial"/>
                <w:sz w:val="15"/>
                <w:szCs w:val="15"/>
                <w:color w:val="auto"/>
              </w:rPr>
              <w:t>15</w:t>
            </w:r>
          </w:p>
        </w:tc>
        <w:tc>
          <w:tcPr>
            <w:tcW w:w="160" w:type="dxa"/>
            <w:vAlign w:val="bottom"/>
          </w:tcPr>
          <w:p>
            <w:pPr>
              <w:spacing w:after="0"/>
              <w:rPr>
                <w:sz w:val="14"/>
                <w:szCs w:val="14"/>
                <w:color w:val="auto"/>
              </w:rPr>
            </w:pPr>
          </w:p>
        </w:tc>
        <w:tc>
          <w:tcPr>
            <w:tcW w:w="980" w:type="dxa"/>
            <w:vAlign w:val="bottom"/>
            <w:tcBorders>
              <w:right w:val="single" w:sz="8" w:color="auto"/>
            </w:tcBorders>
          </w:tcPr>
          <w:p>
            <w:pPr>
              <w:jc w:val="center"/>
              <w:ind w:right="126"/>
              <w:spacing w:after="0" w:line="168" w:lineRule="exact"/>
              <w:rPr>
                <w:sz w:val="20"/>
                <w:szCs w:val="20"/>
                <w:color w:val="auto"/>
              </w:rPr>
            </w:pPr>
            <w:r>
              <w:rPr>
                <w:rFonts w:ascii="Arial" w:cs="Arial" w:eastAsia="Arial" w:hAnsi="Arial"/>
                <w:sz w:val="15"/>
                <w:szCs w:val="15"/>
                <w:color w:val="auto"/>
                <w:w w:val="87"/>
              </w:rPr>
              <w:t>2002 - 2006</w:t>
            </w:r>
          </w:p>
        </w:tc>
        <w:tc>
          <w:tcPr>
            <w:tcW w:w="6340" w:type="dxa"/>
            <w:vAlign w:val="bottom"/>
            <w:gridSpan w:val="2"/>
          </w:tcPr>
          <w:p>
            <w:pPr>
              <w:ind w:left="60"/>
              <w:spacing w:after="0" w:line="168" w:lineRule="exact"/>
              <w:rPr>
                <w:sz w:val="20"/>
                <w:szCs w:val="20"/>
                <w:color w:val="auto"/>
              </w:rPr>
            </w:pPr>
            <w:r>
              <w:rPr>
                <w:rFonts w:ascii="Arial" w:cs="Arial" w:eastAsia="Arial" w:hAnsi="Arial"/>
                <w:sz w:val="15"/>
                <w:szCs w:val="15"/>
                <w:color w:val="auto"/>
              </w:rPr>
              <w:t>Evaluating development plan, while continuing discussions with the government</w:t>
            </w:r>
          </w:p>
        </w:tc>
      </w:tr>
      <w:tr>
        <w:trPr>
          <w:trHeight w:val="190"/>
        </w:trPr>
        <w:tc>
          <w:tcPr>
            <w:tcW w:w="600" w:type="dxa"/>
            <w:vAlign w:val="bottom"/>
            <w:tcBorders>
              <w:right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63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regarding regional hub strategy.</w:t>
            </w:r>
          </w:p>
        </w:tc>
      </w:tr>
      <w:tr>
        <w:trPr>
          <w:trHeight w:val="170"/>
        </w:trPr>
        <w:tc>
          <w:tcPr>
            <w:tcW w:w="600" w:type="dxa"/>
            <w:vAlign w:val="bottom"/>
            <w:tcBorders>
              <w:right w:val="single" w:sz="8" w:color="auto"/>
            </w:tcBorders>
          </w:tcPr>
          <w:p>
            <w:pPr>
              <w:spacing w:after="0"/>
              <w:rPr>
                <w:sz w:val="14"/>
                <w:szCs w:val="14"/>
                <w:color w:val="auto"/>
              </w:rPr>
            </w:pPr>
          </w:p>
        </w:tc>
        <w:tc>
          <w:tcPr>
            <w:tcW w:w="2100" w:type="dxa"/>
            <w:vAlign w:val="bottom"/>
          </w:tcPr>
          <w:p>
            <w:pPr>
              <w:ind w:left="100"/>
              <w:spacing w:after="0" w:line="170" w:lineRule="exact"/>
              <w:rPr>
                <w:sz w:val="20"/>
                <w:szCs w:val="20"/>
                <w:color w:val="auto"/>
              </w:rPr>
            </w:pPr>
            <w:r>
              <w:rPr>
                <w:rFonts w:ascii="Arial" w:cs="Arial" w:eastAsia="Arial" w:hAnsi="Arial"/>
                <w:sz w:val="15"/>
                <w:szCs w:val="15"/>
                <w:color w:val="auto"/>
              </w:rPr>
              <w:t>- Bosi</w:t>
            </w:r>
          </w:p>
        </w:tc>
        <w:tc>
          <w:tcPr>
            <w:tcW w:w="4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right"/>
              <w:ind w:right="286"/>
              <w:spacing w:after="0" w:line="170" w:lineRule="exact"/>
              <w:rPr>
                <w:sz w:val="20"/>
                <w:szCs w:val="20"/>
                <w:color w:val="auto"/>
              </w:rPr>
            </w:pPr>
            <w:r>
              <w:rPr>
                <w:rFonts w:ascii="Arial" w:cs="Arial" w:eastAsia="Arial" w:hAnsi="Arial"/>
                <w:sz w:val="15"/>
                <w:szCs w:val="15"/>
                <w:color w:val="auto"/>
              </w:rPr>
              <w:t>79</w:t>
            </w:r>
          </w:p>
        </w:tc>
        <w:tc>
          <w:tcPr>
            <w:tcW w:w="160" w:type="dxa"/>
            <w:vAlign w:val="bottom"/>
          </w:tcPr>
          <w:p>
            <w:pPr>
              <w:spacing w:after="0"/>
              <w:rPr>
                <w:sz w:val="14"/>
                <w:szCs w:val="14"/>
                <w:color w:val="auto"/>
              </w:rPr>
            </w:pPr>
          </w:p>
        </w:tc>
        <w:tc>
          <w:tcPr>
            <w:tcW w:w="980" w:type="dxa"/>
            <w:vAlign w:val="bottom"/>
            <w:tcBorders>
              <w:right w:val="single" w:sz="8" w:color="auto"/>
            </w:tcBorders>
          </w:tcPr>
          <w:p>
            <w:pPr>
              <w:jc w:val="center"/>
              <w:ind w:right="126"/>
              <w:spacing w:after="0" w:line="170" w:lineRule="exact"/>
              <w:rPr>
                <w:sz w:val="20"/>
                <w:szCs w:val="20"/>
                <w:color w:val="auto"/>
              </w:rPr>
            </w:pPr>
            <w:r>
              <w:rPr>
                <w:rFonts w:ascii="Arial" w:cs="Arial" w:eastAsia="Arial" w:hAnsi="Arial"/>
                <w:sz w:val="15"/>
                <w:szCs w:val="15"/>
                <w:color w:val="auto"/>
                <w:w w:val="87"/>
              </w:rPr>
              <w:t>2002 - 2006</w:t>
            </w:r>
          </w:p>
        </w:tc>
        <w:tc>
          <w:tcPr>
            <w:tcW w:w="6340" w:type="dxa"/>
            <w:vAlign w:val="bottom"/>
            <w:gridSpan w:val="2"/>
          </w:tcPr>
          <w:p>
            <w:pPr>
              <w:ind w:left="60"/>
              <w:spacing w:after="0" w:line="170" w:lineRule="exact"/>
              <w:rPr>
                <w:sz w:val="20"/>
                <w:szCs w:val="20"/>
                <w:color w:val="auto"/>
              </w:rPr>
            </w:pPr>
            <w:r>
              <w:rPr>
                <w:rFonts w:ascii="Arial" w:cs="Arial" w:eastAsia="Arial" w:hAnsi="Arial"/>
                <w:sz w:val="15"/>
                <w:szCs w:val="15"/>
                <w:color w:val="auto"/>
              </w:rPr>
              <w:t>Development activity under way, while continuing discussions with the government</w:t>
            </w:r>
          </w:p>
        </w:tc>
      </w:tr>
      <w:tr>
        <w:trPr>
          <w:trHeight w:val="190"/>
        </w:trPr>
        <w:tc>
          <w:tcPr>
            <w:tcW w:w="600" w:type="dxa"/>
            <w:vAlign w:val="bottom"/>
            <w:tcBorders>
              <w:right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63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regarding development plan.</w:t>
            </w:r>
          </w:p>
        </w:tc>
      </w:tr>
      <w:tr>
        <w:trPr>
          <w:trHeight w:val="170"/>
        </w:trPr>
        <w:tc>
          <w:tcPr>
            <w:tcW w:w="600" w:type="dxa"/>
            <w:vAlign w:val="bottom"/>
            <w:tcBorders>
              <w:right w:val="single" w:sz="8" w:color="auto"/>
            </w:tcBorders>
          </w:tcPr>
          <w:p>
            <w:pPr>
              <w:spacing w:after="0"/>
              <w:rPr>
                <w:sz w:val="14"/>
                <w:szCs w:val="14"/>
                <w:color w:val="auto"/>
              </w:rPr>
            </w:pPr>
          </w:p>
        </w:tc>
        <w:tc>
          <w:tcPr>
            <w:tcW w:w="2100" w:type="dxa"/>
            <w:vAlign w:val="bottom"/>
          </w:tcPr>
          <w:p>
            <w:pPr>
              <w:ind w:left="100"/>
              <w:spacing w:after="0" w:line="170" w:lineRule="exact"/>
              <w:rPr>
                <w:sz w:val="20"/>
                <w:szCs w:val="20"/>
                <w:color w:val="auto"/>
              </w:rPr>
            </w:pPr>
            <w:r>
              <w:rPr>
                <w:rFonts w:ascii="Arial" w:cs="Arial" w:eastAsia="Arial" w:hAnsi="Arial"/>
                <w:sz w:val="15"/>
                <w:szCs w:val="15"/>
                <w:color w:val="auto"/>
              </w:rPr>
              <w:t>- Bosi Central</w:t>
            </w:r>
          </w:p>
        </w:tc>
        <w:tc>
          <w:tcPr>
            <w:tcW w:w="4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right"/>
              <w:ind w:right="286"/>
              <w:spacing w:after="0" w:line="170" w:lineRule="exact"/>
              <w:rPr>
                <w:sz w:val="20"/>
                <w:szCs w:val="20"/>
                <w:color w:val="auto"/>
              </w:rPr>
            </w:pPr>
            <w:r>
              <w:rPr>
                <w:rFonts w:ascii="Arial" w:cs="Arial" w:eastAsia="Arial" w:hAnsi="Arial"/>
                <w:sz w:val="15"/>
                <w:szCs w:val="15"/>
                <w:color w:val="auto"/>
              </w:rPr>
              <w:t>16</w:t>
            </w:r>
          </w:p>
        </w:tc>
        <w:tc>
          <w:tcPr>
            <w:tcW w:w="160" w:type="dxa"/>
            <w:vAlign w:val="bottom"/>
          </w:tcPr>
          <w:p>
            <w:pPr>
              <w:spacing w:after="0"/>
              <w:rPr>
                <w:sz w:val="14"/>
                <w:szCs w:val="14"/>
                <w:color w:val="auto"/>
              </w:rPr>
            </w:pPr>
          </w:p>
        </w:tc>
        <w:tc>
          <w:tcPr>
            <w:tcW w:w="980" w:type="dxa"/>
            <w:vAlign w:val="bottom"/>
            <w:tcBorders>
              <w:right w:val="single" w:sz="8" w:color="auto"/>
            </w:tcBorders>
          </w:tcPr>
          <w:p>
            <w:pPr>
              <w:jc w:val="center"/>
              <w:ind w:right="126"/>
              <w:spacing w:after="0" w:line="170" w:lineRule="exact"/>
              <w:rPr>
                <w:sz w:val="20"/>
                <w:szCs w:val="20"/>
                <w:color w:val="auto"/>
              </w:rPr>
            </w:pPr>
            <w:r>
              <w:rPr>
                <w:rFonts w:ascii="Arial" w:cs="Arial" w:eastAsia="Arial" w:hAnsi="Arial"/>
                <w:sz w:val="15"/>
                <w:szCs w:val="15"/>
                <w:color w:val="auto"/>
                <w:w w:val="89"/>
              </w:rPr>
              <w:t>2006</w:t>
            </w:r>
          </w:p>
        </w:tc>
        <w:tc>
          <w:tcPr>
            <w:tcW w:w="6340" w:type="dxa"/>
            <w:vAlign w:val="bottom"/>
            <w:gridSpan w:val="2"/>
          </w:tcPr>
          <w:p>
            <w:pPr>
              <w:ind w:left="60"/>
              <w:spacing w:after="0" w:line="170" w:lineRule="exact"/>
              <w:rPr>
                <w:sz w:val="20"/>
                <w:szCs w:val="20"/>
                <w:color w:val="auto"/>
              </w:rPr>
            </w:pPr>
            <w:r>
              <w:rPr>
                <w:rFonts w:ascii="Arial" w:cs="Arial" w:eastAsia="Arial" w:hAnsi="Arial"/>
                <w:sz w:val="15"/>
                <w:szCs w:val="15"/>
                <w:color w:val="auto"/>
              </w:rPr>
              <w:t>Development activity under way, while continuing discussions with the government</w:t>
            </w:r>
          </w:p>
        </w:tc>
      </w:tr>
      <w:tr>
        <w:trPr>
          <w:trHeight w:val="190"/>
        </w:trPr>
        <w:tc>
          <w:tcPr>
            <w:tcW w:w="600" w:type="dxa"/>
            <w:vAlign w:val="bottom"/>
            <w:tcBorders>
              <w:right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63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regarding development plan.</w:t>
            </w:r>
          </w:p>
        </w:tc>
      </w:tr>
      <w:tr>
        <w:trPr>
          <w:trHeight w:val="179"/>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 Erha Northeast</w:t>
            </w:r>
          </w:p>
        </w:tc>
        <w:tc>
          <w:tcPr>
            <w:tcW w:w="44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286"/>
              <w:spacing w:after="0"/>
              <w:rPr>
                <w:sz w:val="20"/>
                <w:szCs w:val="20"/>
                <w:color w:val="auto"/>
              </w:rPr>
            </w:pPr>
            <w:r>
              <w:rPr>
                <w:rFonts w:ascii="Arial" w:cs="Arial" w:eastAsia="Arial" w:hAnsi="Arial"/>
                <w:sz w:val="15"/>
                <w:szCs w:val="15"/>
                <w:color w:val="auto"/>
              </w:rPr>
              <w:t>26</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5"/>
                <w:szCs w:val="15"/>
                <w:color w:val="auto"/>
                <w:w w:val="89"/>
              </w:rPr>
              <w:t>2008</w:t>
            </w:r>
          </w:p>
        </w:tc>
        <w:tc>
          <w:tcPr>
            <w:tcW w:w="63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Evaluating development plan for tieback to existing production facilities.</w:t>
            </w:r>
          </w:p>
        </w:tc>
      </w:tr>
      <w:tr>
        <w:trPr>
          <w:trHeight w:val="176"/>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 Owowo</w:t>
            </w:r>
          </w:p>
        </w:tc>
        <w:tc>
          <w:tcPr>
            <w:tcW w:w="44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286"/>
              <w:spacing w:after="0"/>
              <w:rPr>
                <w:sz w:val="20"/>
                <w:szCs w:val="20"/>
                <w:color w:val="auto"/>
              </w:rPr>
            </w:pPr>
            <w:r>
              <w:rPr>
                <w:rFonts w:ascii="Arial" w:cs="Arial" w:eastAsia="Arial" w:hAnsi="Arial"/>
                <w:sz w:val="15"/>
                <w:szCs w:val="15"/>
                <w:color w:val="auto"/>
              </w:rPr>
              <w:t>50</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5"/>
                <w:szCs w:val="15"/>
                <w:color w:val="auto"/>
                <w:w w:val="87"/>
              </w:rPr>
              <w:t>2009 - 2012</w:t>
            </w:r>
          </w:p>
        </w:tc>
        <w:tc>
          <w:tcPr>
            <w:tcW w:w="63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Continuing discussions with the government regarding contract terms.</w:t>
            </w:r>
          </w:p>
        </w:tc>
      </w:tr>
      <w:tr>
        <w:trPr>
          <w:trHeight w:val="176"/>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 Pegi</w:t>
            </w:r>
          </w:p>
        </w:tc>
        <w:tc>
          <w:tcPr>
            <w:tcW w:w="44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286"/>
              <w:spacing w:after="0"/>
              <w:rPr>
                <w:sz w:val="20"/>
                <w:szCs w:val="20"/>
                <w:color w:val="auto"/>
              </w:rPr>
            </w:pPr>
            <w:r>
              <w:rPr>
                <w:rFonts w:ascii="Arial" w:cs="Arial" w:eastAsia="Arial" w:hAnsi="Arial"/>
                <w:sz w:val="15"/>
                <w:szCs w:val="15"/>
                <w:color w:val="auto"/>
              </w:rPr>
              <w:t>32</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5"/>
                <w:szCs w:val="15"/>
                <w:color w:val="auto"/>
                <w:w w:val="89"/>
              </w:rPr>
              <w:t>2009</w:t>
            </w:r>
          </w:p>
        </w:tc>
        <w:tc>
          <w:tcPr>
            <w:tcW w:w="63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Awaiting capacity in existing/planned infrastructure.</w:t>
            </w:r>
          </w:p>
        </w:tc>
      </w:tr>
      <w:tr>
        <w:trPr>
          <w:trHeight w:val="168"/>
        </w:trPr>
        <w:tc>
          <w:tcPr>
            <w:tcW w:w="600" w:type="dxa"/>
            <w:vAlign w:val="bottom"/>
            <w:tcBorders>
              <w:right w:val="single" w:sz="8" w:color="auto"/>
            </w:tcBorders>
          </w:tcPr>
          <w:p>
            <w:pPr>
              <w:spacing w:after="0"/>
              <w:rPr>
                <w:sz w:val="14"/>
                <w:szCs w:val="14"/>
                <w:color w:val="auto"/>
              </w:rPr>
            </w:pPr>
          </w:p>
        </w:tc>
        <w:tc>
          <w:tcPr>
            <w:tcW w:w="2100" w:type="dxa"/>
            <w:vAlign w:val="bottom"/>
          </w:tcPr>
          <w:p>
            <w:pPr>
              <w:ind w:left="100"/>
              <w:spacing w:after="0" w:line="168" w:lineRule="exact"/>
              <w:rPr>
                <w:sz w:val="20"/>
                <w:szCs w:val="20"/>
                <w:color w:val="auto"/>
              </w:rPr>
            </w:pPr>
            <w:r>
              <w:rPr>
                <w:rFonts w:ascii="Arial" w:cs="Arial" w:eastAsia="Arial" w:hAnsi="Arial"/>
                <w:sz w:val="15"/>
                <w:szCs w:val="15"/>
                <w:color w:val="auto"/>
              </w:rPr>
              <w:t>- Satellite Field</w:t>
            </w:r>
          </w:p>
        </w:tc>
        <w:tc>
          <w:tcPr>
            <w:tcW w:w="4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right"/>
              <w:ind w:right="286"/>
              <w:spacing w:after="0" w:line="168" w:lineRule="exact"/>
              <w:rPr>
                <w:sz w:val="20"/>
                <w:szCs w:val="20"/>
                <w:color w:val="auto"/>
              </w:rPr>
            </w:pPr>
            <w:r>
              <w:rPr>
                <w:rFonts w:ascii="Arial" w:cs="Arial" w:eastAsia="Arial" w:hAnsi="Arial"/>
                <w:sz w:val="15"/>
                <w:szCs w:val="15"/>
                <w:color w:val="auto"/>
              </w:rPr>
              <w:t>12</w:t>
            </w:r>
          </w:p>
        </w:tc>
        <w:tc>
          <w:tcPr>
            <w:tcW w:w="160" w:type="dxa"/>
            <w:vAlign w:val="bottom"/>
          </w:tcPr>
          <w:p>
            <w:pPr>
              <w:spacing w:after="0"/>
              <w:rPr>
                <w:sz w:val="14"/>
                <w:szCs w:val="14"/>
                <w:color w:val="auto"/>
              </w:rPr>
            </w:pPr>
          </w:p>
        </w:tc>
        <w:tc>
          <w:tcPr>
            <w:tcW w:w="980" w:type="dxa"/>
            <w:vAlign w:val="bottom"/>
            <w:tcBorders>
              <w:right w:val="single" w:sz="8" w:color="auto"/>
            </w:tcBorders>
          </w:tcPr>
          <w:p>
            <w:pPr>
              <w:jc w:val="center"/>
              <w:ind w:right="126"/>
              <w:spacing w:after="0" w:line="168" w:lineRule="exact"/>
              <w:rPr>
                <w:sz w:val="20"/>
                <w:szCs w:val="20"/>
                <w:color w:val="auto"/>
              </w:rPr>
            </w:pPr>
            <w:r>
              <w:rPr>
                <w:rFonts w:ascii="Arial" w:cs="Arial" w:eastAsia="Arial" w:hAnsi="Arial"/>
                <w:sz w:val="15"/>
                <w:szCs w:val="15"/>
                <w:color w:val="auto"/>
                <w:w w:val="89"/>
              </w:rPr>
              <w:t>2013</w:t>
            </w:r>
          </w:p>
        </w:tc>
        <w:tc>
          <w:tcPr>
            <w:tcW w:w="6340" w:type="dxa"/>
            <w:vAlign w:val="bottom"/>
            <w:gridSpan w:val="2"/>
          </w:tcPr>
          <w:p>
            <w:pPr>
              <w:ind w:left="60"/>
              <w:spacing w:after="0" w:line="168" w:lineRule="exact"/>
              <w:rPr>
                <w:sz w:val="20"/>
                <w:szCs w:val="20"/>
                <w:color w:val="auto"/>
              </w:rPr>
            </w:pPr>
            <w:r>
              <w:rPr>
                <w:rFonts w:ascii="Arial" w:cs="Arial" w:eastAsia="Arial" w:hAnsi="Arial"/>
                <w:sz w:val="15"/>
                <w:szCs w:val="15"/>
                <w:color w:val="auto"/>
              </w:rPr>
              <w:t>Evaluating development plan to tie into planned production facilities.</w:t>
            </w:r>
          </w:p>
        </w:tc>
      </w:tr>
      <w:tr>
        <w:trPr>
          <w:trHeight w:val="190"/>
        </w:trPr>
        <w:tc>
          <w:tcPr>
            <w:tcW w:w="600" w:type="dxa"/>
            <w:vAlign w:val="bottom"/>
            <w:tcBorders>
              <w:right w:val="single" w:sz="8" w:color="auto"/>
            </w:tcBorders>
          </w:tcPr>
          <w:p>
            <w:pPr>
              <w:spacing w:after="0"/>
              <w:rPr>
                <w:sz w:val="16"/>
                <w:szCs w:val="16"/>
                <w:color w:val="auto"/>
              </w:rPr>
            </w:pPr>
          </w:p>
        </w:tc>
        <w:tc>
          <w:tcPr>
            <w:tcW w:w="210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Development Phase 2</w:t>
            </w:r>
          </w:p>
        </w:tc>
        <w:tc>
          <w:tcPr>
            <w:tcW w:w="44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62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r>
      <w:tr>
        <w:trPr>
          <w:trHeight w:val="179"/>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 Other (4 projects)</w:t>
            </w:r>
          </w:p>
        </w:tc>
        <w:tc>
          <w:tcPr>
            <w:tcW w:w="44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286"/>
              <w:spacing w:after="0"/>
              <w:rPr>
                <w:sz w:val="20"/>
                <w:szCs w:val="20"/>
                <w:color w:val="auto"/>
              </w:rPr>
            </w:pPr>
            <w:r>
              <w:rPr>
                <w:rFonts w:ascii="Arial" w:cs="Arial" w:eastAsia="Arial" w:hAnsi="Arial"/>
                <w:sz w:val="15"/>
                <w:szCs w:val="15"/>
                <w:color w:val="auto"/>
              </w:rPr>
              <w:t>14</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5"/>
                <w:szCs w:val="15"/>
                <w:color w:val="auto"/>
                <w:w w:val="89"/>
              </w:rPr>
              <w:t>2002</w:t>
            </w:r>
          </w:p>
        </w:tc>
        <w:tc>
          <w:tcPr>
            <w:tcW w:w="63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Evaluating and pursuing development of several additional discoveries.</w:t>
            </w:r>
          </w:p>
        </w:tc>
      </w:tr>
      <w:tr>
        <w:trPr>
          <w:trHeight w:val="176"/>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Norway</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r>
      <w:tr>
        <w:trPr>
          <w:trHeight w:val="176"/>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 Gamma</w:t>
            </w:r>
          </w:p>
        </w:tc>
        <w:tc>
          <w:tcPr>
            <w:tcW w:w="44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286"/>
              <w:spacing w:after="0"/>
              <w:rPr>
                <w:sz w:val="20"/>
                <w:szCs w:val="20"/>
                <w:color w:val="auto"/>
              </w:rPr>
            </w:pPr>
            <w:r>
              <w:rPr>
                <w:rFonts w:ascii="Arial" w:cs="Arial" w:eastAsia="Arial" w:hAnsi="Arial"/>
                <w:sz w:val="15"/>
                <w:szCs w:val="15"/>
                <w:color w:val="auto"/>
              </w:rPr>
              <w:t>15</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5"/>
                <w:szCs w:val="15"/>
                <w:color w:val="auto"/>
                <w:w w:val="87"/>
              </w:rPr>
              <w:t>2008 - 2009</w:t>
            </w:r>
          </w:p>
        </w:tc>
        <w:tc>
          <w:tcPr>
            <w:tcW w:w="63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Evaluating development plan for tieback to existing production facilities.</w:t>
            </w:r>
          </w:p>
        </w:tc>
      </w:tr>
      <w:tr>
        <w:trPr>
          <w:trHeight w:val="176"/>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 Lavrans</w:t>
            </w:r>
          </w:p>
        </w:tc>
        <w:tc>
          <w:tcPr>
            <w:tcW w:w="44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286"/>
              <w:spacing w:after="0"/>
              <w:rPr>
                <w:sz w:val="20"/>
                <w:szCs w:val="20"/>
                <w:color w:val="auto"/>
              </w:rPr>
            </w:pPr>
            <w:r>
              <w:rPr>
                <w:rFonts w:ascii="Arial" w:cs="Arial" w:eastAsia="Arial" w:hAnsi="Arial"/>
                <w:sz w:val="15"/>
                <w:szCs w:val="15"/>
                <w:color w:val="auto"/>
              </w:rPr>
              <w:t>18</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5"/>
                <w:szCs w:val="15"/>
                <w:color w:val="auto"/>
                <w:w w:val="87"/>
              </w:rPr>
              <w:t>1995 - 1999</w:t>
            </w:r>
          </w:p>
        </w:tc>
        <w:tc>
          <w:tcPr>
            <w:tcW w:w="63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Evaluating development plan, awaiting capacity in existing Kristin production facility.</w:t>
            </w:r>
          </w:p>
        </w:tc>
      </w:tr>
      <w:tr>
        <w:trPr>
          <w:trHeight w:val="168"/>
        </w:trPr>
        <w:tc>
          <w:tcPr>
            <w:tcW w:w="600" w:type="dxa"/>
            <w:vAlign w:val="bottom"/>
            <w:tcBorders>
              <w:right w:val="single" w:sz="8" w:color="auto"/>
            </w:tcBorders>
          </w:tcPr>
          <w:p>
            <w:pPr>
              <w:spacing w:after="0"/>
              <w:rPr>
                <w:sz w:val="14"/>
                <w:szCs w:val="14"/>
                <w:color w:val="auto"/>
              </w:rPr>
            </w:pPr>
          </w:p>
        </w:tc>
        <w:tc>
          <w:tcPr>
            <w:tcW w:w="2100" w:type="dxa"/>
            <w:vAlign w:val="bottom"/>
          </w:tcPr>
          <w:p>
            <w:pPr>
              <w:ind w:left="100"/>
              <w:spacing w:after="0" w:line="168" w:lineRule="exact"/>
              <w:rPr>
                <w:sz w:val="20"/>
                <w:szCs w:val="20"/>
                <w:color w:val="auto"/>
              </w:rPr>
            </w:pPr>
            <w:r>
              <w:rPr>
                <w:rFonts w:ascii="Arial" w:cs="Arial" w:eastAsia="Arial" w:hAnsi="Arial"/>
                <w:sz w:val="15"/>
                <w:szCs w:val="15"/>
                <w:color w:val="auto"/>
              </w:rPr>
              <w:t>- Other (7 projects)</w:t>
            </w:r>
          </w:p>
        </w:tc>
        <w:tc>
          <w:tcPr>
            <w:tcW w:w="4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right"/>
              <w:ind w:right="286"/>
              <w:spacing w:after="0" w:line="168" w:lineRule="exact"/>
              <w:rPr>
                <w:sz w:val="20"/>
                <w:szCs w:val="20"/>
                <w:color w:val="auto"/>
              </w:rPr>
            </w:pPr>
            <w:r>
              <w:rPr>
                <w:rFonts w:ascii="Arial" w:cs="Arial" w:eastAsia="Arial" w:hAnsi="Arial"/>
                <w:sz w:val="15"/>
                <w:szCs w:val="15"/>
                <w:color w:val="auto"/>
              </w:rPr>
              <w:t>29</w:t>
            </w:r>
          </w:p>
        </w:tc>
        <w:tc>
          <w:tcPr>
            <w:tcW w:w="160" w:type="dxa"/>
            <w:vAlign w:val="bottom"/>
          </w:tcPr>
          <w:p>
            <w:pPr>
              <w:spacing w:after="0"/>
              <w:rPr>
                <w:sz w:val="14"/>
                <w:szCs w:val="14"/>
                <w:color w:val="auto"/>
              </w:rPr>
            </w:pPr>
          </w:p>
        </w:tc>
        <w:tc>
          <w:tcPr>
            <w:tcW w:w="980" w:type="dxa"/>
            <w:vAlign w:val="bottom"/>
            <w:tcBorders>
              <w:right w:val="single" w:sz="8" w:color="auto"/>
            </w:tcBorders>
          </w:tcPr>
          <w:p>
            <w:pPr>
              <w:jc w:val="center"/>
              <w:ind w:right="126"/>
              <w:spacing w:after="0" w:line="168" w:lineRule="exact"/>
              <w:rPr>
                <w:sz w:val="20"/>
                <w:szCs w:val="20"/>
                <w:color w:val="auto"/>
              </w:rPr>
            </w:pPr>
            <w:r>
              <w:rPr>
                <w:rFonts w:ascii="Arial" w:cs="Arial" w:eastAsia="Arial" w:hAnsi="Arial"/>
                <w:sz w:val="15"/>
                <w:szCs w:val="15"/>
                <w:color w:val="auto"/>
                <w:w w:val="87"/>
              </w:rPr>
              <w:t>2008 - 2013</w:t>
            </w:r>
          </w:p>
        </w:tc>
        <w:tc>
          <w:tcPr>
            <w:tcW w:w="6340" w:type="dxa"/>
            <w:vAlign w:val="bottom"/>
            <w:gridSpan w:val="2"/>
          </w:tcPr>
          <w:p>
            <w:pPr>
              <w:ind w:left="60"/>
              <w:spacing w:after="0" w:line="168" w:lineRule="exact"/>
              <w:rPr>
                <w:sz w:val="20"/>
                <w:szCs w:val="20"/>
                <w:color w:val="auto"/>
              </w:rPr>
            </w:pPr>
            <w:r>
              <w:rPr>
                <w:rFonts w:ascii="Arial" w:cs="Arial" w:eastAsia="Arial" w:hAnsi="Arial"/>
                <w:sz w:val="15"/>
                <w:szCs w:val="15"/>
                <w:color w:val="auto"/>
              </w:rPr>
              <w:t>Evaluating development plans, including potential for tieback to existing production</w:t>
            </w:r>
          </w:p>
        </w:tc>
      </w:tr>
      <w:tr>
        <w:trPr>
          <w:trHeight w:val="190"/>
        </w:trPr>
        <w:tc>
          <w:tcPr>
            <w:tcW w:w="600" w:type="dxa"/>
            <w:vAlign w:val="bottom"/>
            <w:tcBorders>
              <w:right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63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facilities.</w:t>
            </w:r>
          </w:p>
        </w:tc>
      </w:tr>
      <w:tr>
        <w:trPr>
          <w:trHeight w:val="179"/>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Papua New Guinea</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r>
      <w:tr>
        <w:trPr>
          <w:trHeight w:val="176"/>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 Juha</w:t>
            </w:r>
          </w:p>
        </w:tc>
        <w:tc>
          <w:tcPr>
            <w:tcW w:w="44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286"/>
              <w:spacing w:after="0"/>
              <w:rPr>
                <w:sz w:val="20"/>
                <w:szCs w:val="20"/>
                <w:color w:val="auto"/>
              </w:rPr>
            </w:pPr>
            <w:r>
              <w:rPr>
                <w:rFonts w:ascii="Arial" w:cs="Arial" w:eastAsia="Arial" w:hAnsi="Arial"/>
                <w:sz w:val="15"/>
                <w:szCs w:val="15"/>
                <w:color w:val="auto"/>
              </w:rPr>
              <w:t>28</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5"/>
                <w:szCs w:val="15"/>
                <w:color w:val="auto"/>
                <w:w w:val="89"/>
              </w:rPr>
              <w:t>2007</w:t>
            </w:r>
          </w:p>
        </w:tc>
        <w:tc>
          <w:tcPr>
            <w:tcW w:w="63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Progressing development plans to tie into existing LNG facilities.</w:t>
            </w:r>
          </w:p>
        </w:tc>
      </w:tr>
      <w:tr>
        <w:trPr>
          <w:trHeight w:val="176"/>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 P'nyang</w:t>
            </w:r>
          </w:p>
        </w:tc>
        <w:tc>
          <w:tcPr>
            <w:tcW w:w="44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286"/>
              <w:spacing w:after="0"/>
              <w:rPr>
                <w:sz w:val="20"/>
                <w:szCs w:val="20"/>
                <w:color w:val="auto"/>
              </w:rPr>
            </w:pPr>
            <w:r>
              <w:rPr>
                <w:rFonts w:ascii="Arial" w:cs="Arial" w:eastAsia="Arial" w:hAnsi="Arial"/>
                <w:sz w:val="15"/>
                <w:szCs w:val="15"/>
                <w:color w:val="auto"/>
              </w:rPr>
              <w:t>58</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5"/>
                <w:szCs w:val="15"/>
                <w:color w:val="auto"/>
                <w:w w:val="89"/>
              </w:rPr>
              <w:t>2012</w:t>
            </w:r>
          </w:p>
        </w:tc>
        <w:tc>
          <w:tcPr>
            <w:tcW w:w="63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Evaluating development alternatives to tie into existing/planned infrastructure.</w:t>
            </w:r>
          </w:p>
        </w:tc>
      </w:tr>
      <w:tr>
        <w:trPr>
          <w:trHeight w:val="176"/>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Republic of Congo</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r>
      <w:tr>
        <w:trPr>
          <w:trHeight w:val="168"/>
        </w:trPr>
        <w:tc>
          <w:tcPr>
            <w:tcW w:w="600" w:type="dxa"/>
            <w:vAlign w:val="bottom"/>
            <w:tcBorders>
              <w:right w:val="single" w:sz="8" w:color="auto"/>
            </w:tcBorders>
          </w:tcPr>
          <w:p>
            <w:pPr>
              <w:spacing w:after="0"/>
              <w:rPr>
                <w:sz w:val="14"/>
                <w:szCs w:val="14"/>
                <w:color w:val="auto"/>
              </w:rPr>
            </w:pPr>
          </w:p>
        </w:tc>
        <w:tc>
          <w:tcPr>
            <w:tcW w:w="2100" w:type="dxa"/>
            <w:vAlign w:val="bottom"/>
          </w:tcPr>
          <w:p>
            <w:pPr>
              <w:ind w:left="100"/>
              <w:spacing w:after="0" w:line="168" w:lineRule="exact"/>
              <w:rPr>
                <w:sz w:val="20"/>
                <w:szCs w:val="20"/>
                <w:color w:val="auto"/>
              </w:rPr>
            </w:pPr>
            <w:r>
              <w:rPr>
                <w:rFonts w:ascii="Arial" w:cs="Arial" w:eastAsia="Arial" w:hAnsi="Arial"/>
                <w:sz w:val="15"/>
                <w:szCs w:val="15"/>
                <w:color w:val="auto"/>
              </w:rPr>
              <w:t>- Mer Tres Profonde Sud</w:t>
            </w:r>
          </w:p>
        </w:tc>
        <w:tc>
          <w:tcPr>
            <w:tcW w:w="4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right"/>
              <w:ind w:right="286"/>
              <w:spacing w:after="0" w:line="168" w:lineRule="exact"/>
              <w:rPr>
                <w:sz w:val="20"/>
                <w:szCs w:val="20"/>
                <w:color w:val="auto"/>
              </w:rPr>
            </w:pPr>
            <w:r>
              <w:rPr>
                <w:rFonts w:ascii="Arial" w:cs="Arial" w:eastAsia="Arial" w:hAnsi="Arial"/>
                <w:sz w:val="15"/>
                <w:szCs w:val="15"/>
                <w:color w:val="auto"/>
              </w:rPr>
              <w:t>56</w:t>
            </w:r>
          </w:p>
        </w:tc>
        <w:tc>
          <w:tcPr>
            <w:tcW w:w="160" w:type="dxa"/>
            <w:vAlign w:val="bottom"/>
          </w:tcPr>
          <w:p>
            <w:pPr>
              <w:spacing w:after="0"/>
              <w:rPr>
                <w:sz w:val="14"/>
                <w:szCs w:val="14"/>
                <w:color w:val="auto"/>
              </w:rPr>
            </w:pPr>
          </w:p>
        </w:tc>
        <w:tc>
          <w:tcPr>
            <w:tcW w:w="980" w:type="dxa"/>
            <w:vAlign w:val="bottom"/>
            <w:tcBorders>
              <w:right w:val="single" w:sz="8" w:color="auto"/>
            </w:tcBorders>
          </w:tcPr>
          <w:p>
            <w:pPr>
              <w:jc w:val="center"/>
              <w:ind w:right="126"/>
              <w:spacing w:after="0" w:line="168" w:lineRule="exact"/>
              <w:rPr>
                <w:sz w:val="20"/>
                <w:szCs w:val="20"/>
                <w:color w:val="auto"/>
              </w:rPr>
            </w:pPr>
            <w:r>
              <w:rPr>
                <w:rFonts w:ascii="Arial" w:cs="Arial" w:eastAsia="Arial" w:hAnsi="Arial"/>
                <w:sz w:val="15"/>
                <w:szCs w:val="15"/>
                <w:color w:val="auto"/>
                <w:w w:val="87"/>
              </w:rPr>
              <w:t>2000 - 2007</w:t>
            </w:r>
          </w:p>
        </w:tc>
        <w:tc>
          <w:tcPr>
            <w:tcW w:w="6340" w:type="dxa"/>
            <w:vAlign w:val="bottom"/>
            <w:gridSpan w:val="2"/>
          </w:tcPr>
          <w:p>
            <w:pPr>
              <w:ind w:left="60"/>
              <w:spacing w:after="0" w:line="168" w:lineRule="exact"/>
              <w:rPr>
                <w:sz w:val="20"/>
                <w:szCs w:val="20"/>
                <w:color w:val="auto"/>
              </w:rPr>
            </w:pPr>
            <w:r>
              <w:rPr>
                <w:rFonts w:ascii="Arial" w:cs="Arial" w:eastAsia="Arial" w:hAnsi="Arial"/>
                <w:sz w:val="15"/>
                <w:szCs w:val="15"/>
                <w:color w:val="auto"/>
              </w:rPr>
              <w:t>Evaluating development alternatives, while continuing discussions with the government</w:t>
            </w:r>
          </w:p>
        </w:tc>
      </w:tr>
      <w:tr>
        <w:trPr>
          <w:trHeight w:val="190"/>
        </w:trPr>
        <w:tc>
          <w:tcPr>
            <w:tcW w:w="600" w:type="dxa"/>
            <w:vAlign w:val="bottom"/>
            <w:tcBorders>
              <w:right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63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regarding development plan.</w:t>
            </w:r>
          </w:p>
        </w:tc>
      </w:tr>
      <w:tr>
        <w:trPr>
          <w:trHeight w:val="179"/>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United Kingdom</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r>
      <w:tr>
        <w:trPr>
          <w:trHeight w:val="176"/>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 Phyllis</w:t>
            </w:r>
          </w:p>
        </w:tc>
        <w:tc>
          <w:tcPr>
            <w:tcW w:w="44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286"/>
              <w:spacing w:after="0"/>
              <w:rPr>
                <w:sz w:val="20"/>
                <w:szCs w:val="20"/>
                <w:color w:val="auto"/>
              </w:rPr>
            </w:pPr>
            <w:r>
              <w:rPr>
                <w:rFonts w:ascii="Arial" w:cs="Arial" w:eastAsia="Arial" w:hAnsi="Arial"/>
                <w:sz w:val="15"/>
                <w:szCs w:val="15"/>
                <w:color w:val="auto"/>
              </w:rPr>
              <w:t>8</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5"/>
                <w:szCs w:val="15"/>
                <w:color w:val="auto"/>
                <w:w w:val="89"/>
              </w:rPr>
              <w:t>2004</w:t>
            </w:r>
          </w:p>
        </w:tc>
        <w:tc>
          <w:tcPr>
            <w:tcW w:w="63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Evaluating development plan for tieback to existing production facilities.</w:t>
            </w:r>
          </w:p>
        </w:tc>
      </w:tr>
      <w:tr>
        <w:trPr>
          <w:trHeight w:val="176"/>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United States</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r>
      <w:tr>
        <w:trPr>
          <w:trHeight w:val="176"/>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 Hadrian North</w:t>
            </w:r>
          </w:p>
        </w:tc>
        <w:tc>
          <w:tcPr>
            <w:tcW w:w="44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286"/>
              <w:spacing w:after="0"/>
              <w:rPr>
                <w:sz w:val="20"/>
                <w:szCs w:val="20"/>
                <w:color w:val="auto"/>
              </w:rPr>
            </w:pPr>
            <w:r>
              <w:rPr>
                <w:rFonts w:ascii="Arial" w:cs="Arial" w:eastAsia="Arial" w:hAnsi="Arial"/>
                <w:sz w:val="15"/>
                <w:szCs w:val="15"/>
                <w:color w:val="auto"/>
              </w:rPr>
              <w:t>209</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5"/>
                <w:szCs w:val="15"/>
                <w:color w:val="auto"/>
                <w:w w:val="87"/>
              </w:rPr>
              <w:t>2010 - 2013</w:t>
            </w:r>
          </w:p>
        </w:tc>
        <w:tc>
          <w:tcPr>
            <w:tcW w:w="63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Evaluating development plan to tie into existing production facilities.</w:t>
            </w:r>
          </w:p>
        </w:tc>
      </w:tr>
      <w:tr>
        <w:trPr>
          <w:trHeight w:val="176"/>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 Tip Top</w:t>
            </w:r>
          </w:p>
        </w:tc>
        <w:tc>
          <w:tcPr>
            <w:tcW w:w="44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286"/>
              <w:spacing w:after="0"/>
              <w:rPr>
                <w:sz w:val="20"/>
                <w:szCs w:val="20"/>
                <w:color w:val="auto"/>
              </w:rPr>
            </w:pPr>
            <w:r>
              <w:rPr>
                <w:rFonts w:ascii="Arial" w:cs="Arial" w:eastAsia="Arial" w:hAnsi="Arial"/>
                <w:sz w:val="15"/>
                <w:szCs w:val="15"/>
                <w:color w:val="auto"/>
              </w:rPr>
              <w:t>31</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5"/>
                <w:szCs w:val="15"/>
                <w:color w:val="auto"/>
                <w:w w:val="89"/>
              </w:rPr>
              <w:t>2009</w:t>
            </w:r>
          </w:p>
        </w:tc>
        <w:tc>
          <w:tcPr>
            <w:tcW w:w="63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Evaluating development concept and requisite facility upgrades.</w:t>
            </w:r>
          </w:p>
        </w:tc>
      </w:tr>
      <w:tr>
        <w:trPr>
          <w:trHeight w:val="176"/>
        </w:trPr>
        <w:tc>
          <w:tcPr>
            <w:tcW w:w="60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Total 2014 (38 projects)</w:t>
            </w:r>
          </w:p>
        </w:tc>
        <w:tc>
          <w:tcPr>
            <w:tcW w:w="44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286"/>
              <w:spacing w:after="0"/>
              <w:rPr>
                <w:sz w:val="20"/>
                <w:szCs w:val="20"/>
                <w:color w:val="auto"/>
              </w:rPr>
            </w:pPr>
            <w:r>
              <w:rPr>
                <w:rFonts w:ascii="Arial" w:cs="Arial" w:eastAsia="Arial" w:hAnsi="Arial"/>
                <w:sz w:val="15"/>
                <w:szCs w:val="15"/>
                <w:color w:val="auto"/>
              </w:rPr>
              <w:t>1,035</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r>
      <w:tr>
        <w:trPr>
          <w:trHeight w:val="285"/>
        </w:trPr>
        <w:tc>
          <w:tcPr>
            <w:tcW w:w="6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80" w:type="dxa"/>
            <w:vAlign w:val="bottom"/>
          </w:tcPr>
          <w:p>
            <w:pPr>
              <w:ind w:left="1020"/>
              <w:spacing w:after="0"/>
              <w:rPr>
                <w:sz w:val="20"/>
                <w:szCs w:val="20"/>
                <w:color w:val="auto"/>
              </w:rPr>
            </w:pPr>
            <w:r>
              <w:rPr>
                <w:rFonts w:ascii="Arial" w:cs="Arial" w:eastAsia="Arial" w:hAnsi="Arial"/>
                <w:sz w:val="16"/>
                <w:szCs w:val="16"/>
                <w:color w:val="auto"/>
              </w:rPr>
              <w:t>76</w:t>
            </w:r>
          </w:p>
        </w:tc>
        <w:tc>
          <w:tcPr>
            <w:tcW w:w="60" w:type="dxa"/>
            <w:vAlign w:val="bottom"/>
          </w:tcPr>
          <w:p>
            <w:pPr>
              <w:spacing w:after="0"/>
              <w:rPr>
                <w:sz w:val="24"/>
                <w:szCs w:val="24"/>
                <w:color w:val="auto"/>
              </w:rPr>
            </w:pPr>
          </w:p>
        </w:tc>
      </w:tr>
      <w:tr>
        <w:trPr>
          <w:trHeight w:val="745"/>
        </w:trPr>
        <w:tc>
          <w:tcPr>
            <w:tcW w:w="60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628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589" w:right="1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Leased Facilities</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At December 31, 2014, the Corporation and its consolidated subsidiaries held noncancelable operating charters and leases covering drilling equipment, tankers, stations and other properties with minimum undiscounted lease commitments totaling $6,213 million as indicated in the table. Estimated related rental incom noncancelable subleases is $70 million.</w:t>
      </w:r>
    </w:p>
    <w:p>
      <w:pPr>
        <w:spacing w:after="0" w:line="251" w:lineRule="exact"/>
        <w:rPr>
          <w:sz w:val="20"/>
          <w:szCs w:val="20"/>
          <w:color w:val="auto"/>
        </w:rPr>
      </w:pPr>
    </w:p>
    <w:tbl>
      <w:tblPr>
        <w:tblLayout w:type="fixed"/>
        <w:tblInd w:w="162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60" w:type="dxa"/>
            <w:vAlign w:val="bottom"/>
          </w:tcPr>
          <w:p>
            <w:pPr>
              <w:jc w:val="center"/>
              <w:ind w:right="84"/>
              <w:spacing w:after="0"/>
              <w:rPr>
                <w:sz w:val="20"/>
                <w:szCs w:val="20"/>
                <w:color w:val="auto"/>
              </w:rPr>
            </w:pPr>
            <w:r>
              <w:rPr>
                <w:rFonts w:ascii="Arial" w:cs="Arial" w:eastAsia="Arial" w:hAnsi="Arial"/>
                <w:sz w:val="13"/>
                <w:szCs w:val="13"/>
                <w:b w:val="1"/>
                <w:bCs w:val="1"/>
                <w:color w:val="auto"/>
                <w:w w:val="93"/>
              </w:rPr>
              <w:t>Related</w:t>
            </w:r>
          </w:p>
        </w:tc>
      </w:tr>
      <w:tr>
        <w:trPr>
          <w:trHeight w:val="196"/>
        </w:trPr>
        <w:tc>
          <w:tcPr>
            <w:tcW w:w="4920" w:type="dxa"/>
            <w:vAlign w:val="bottom"/>
          </w:tcPr>
          <w:p>
            <w:pPr>
              <w:spacing w:after="0"/>
              <w:rPr>
                <w:sz w:val="17"/>
                <w:szCs w:val="17"/>
                <w:color w:val="auto"/>
              </w:rPr>
            </w:pPr>
          </w:p>
        </w:tc>
        <w:tc>
          <w:tcPr>
            <w:tcW w:w="2340" w:type="dxa"/>
            <w:vAlign w:val="bottom"/>
          </w:tcPr>
          <w:p>
            <w:pPr>
              <w:jc w:val="center"/>
              <w:ind w:right="524"/>
              <w:spacing w:after="0"/>
              <w:rPr>
                <w:sz w:val="20"/>
                <w:szCs w:val="20"/>
                <w:color w:val="auto"/>
              </w:rPr>
            </w:pPr>
            <w:r>
              <w:rPr>
                <w:rFonts w:ascii="Arial" w:cs="Arial" w:eastAsia="Arial" w:hAnsi="Arial"/>
                <w:sz w:val="13"/>
                <w:szCs w:val="13"/>
                <w:b w:val="1"/>
                <w:bCs w:val="1"/>
                <w:color w:val="auto"/>
                <w:w w:val="88"/>
              </w:rPr>
              <w:t>Lease Payments</w:t>
            </w:r>
          </w:p>
        </w:tc>
        <w:tc>
          <w:tcPr>
            <w:tcW w:w="960" w:type="dxa"/>
            <w:vAlign w:val="bottom"/>
          </w:tcPr>
          <w:p>
            <w:pPr>
              <w:jc w:val="center"/>
              <w:ind w:right="84"/>
              <w:spacing w:after="0"/>
              <w:rPr>
                <w:sz w:val="20"/>
                <w:szCs w:val="20"/>
                <w:color w:val="auto"/>
              </w:rPr>
            </w:pPr>
            <w:r>
              <w:rPr>
                <w:rFonts w:ascii="Arial" w:cs="Arial" w:eastAsia="Arial" w:hAnsi="Arial"/>
                <w:sz w:val="13"/>
                <w:szCs w:val="13"/>
                <w:b w:val="1"/>
                <w:bCs w:val="1"/>
                <w:color w:val="auto"/>
                <w:w w:val="84"/>
              </w:rPr>
              <w:t>Sublease</w:t>
            </w:r>
          </w:p>
        </w:tc>
      </w:tr>
      <w:tr>
        <w:trPr>
          <w:trHeight w:val="196"/>
        </w:trPr>
        <w:tc>
          <w:tcPr>
            <w:tcW w:w="4920" w:type="dxa"/>
            <w:vAlign w:val="bottom"/>
          </w:tcPr>
          <w:p>
            <w:pPr>
              <w:spacing w:after="0"/>
              <w:rPr>
                <w:sz w:val="17"/>
                <w:szCs w:val="17"/>
                <w:color w:val="auto"/>
              </w:rPr>
            </w:pPr>
          </w:p>
        </w:tc>
        <w:tc>
          <w:tcPr>
            <w:tcW w:w="2340" w:type="dxa"/>
            <w:vAlign w:val="bottom"/>
          </w:tcPr>
          <w:p>
            <w:pPr>
              <w:jc w:val="center"/>
              <w:ind w:right="524"/>
              <w:spacing w:after="0"/>
              <w:rPr>
                <w:sz w:val="20"/>
                <w:szCs w:val="20"/>
                <w:color w:val="auto"/>
              </w:rPr>
            </w:pPr>
            <w:r>
              <w:rPr>
                <w:rFonts w:ascii="Arial" w:cs="Arial" w:eastAsia="Arial" w:hAnsi="Arial"/>
                <w:sz w:val="13"/>
                <w:szCs w:val="13"/>
                <w:b w:val="1"/>
                <w:bCs w:val="1"/>
                <w:color w:val="auto"/>
                <w:w w:val="95"/>
              </w:rPr>
              <w:t>Under Minimum</w:t>
            </w:r>
          </w:p>
        </w:tc>
        <w:tc>
          <w:tcPr>
            <w:tcW w:w="960" w:type="dxa"/>
            <w:vAlign w:val="bottom"/>
          </w:tcPr>
          <w:p>
            <w:pPr>
              <w:jc w:val="center"/>
              <w:ind w:right="84"/>
              <w:spacing w:after="0"/>
              <w:rPr>
                <w:sz w:val="20"/>
                <w:szCs w:val="20"/>
                <w:color w:val="auto"/>
              </w:rPr>
            </w:pPr>
            <w:r>
              <w:rPr>
                <w:rFonts w:ascii="Arial" w:cs="Arial" w:eastAsia="Arial" w:hAnsi="Arial"/>
                <w:sz w:val="13"/>
                <w:szCs w:val="13"/>
                <w:b w:val="1"/>
                <w:bCs w:val="1"/>
                <w:color w:val="auto"/>
                <w:w w:val="90"/>
              </w:rPr>
              <w:t>Rental</w:t>
            </w:r>
          </w:p>
        </w:tc>
      </w:tr>
      <w:tr>
        <w:trPr>
          <w:trHeight w:val="196"/>
        </w:trPr>
        <w:tc>
          <w:tcPr>
            <w:tcW w:w="4920" w:type="dxa"/>
            <w:vAlign w:val="bottom"/>
          </w:tcPr>
          <w:p>
            <w:pPr>
              <w:spacing w:after="0"/>
              <w:rPr>
                <w:sz w:val="17"/>
                <w:szCs w:val="17"/>
                <w:color w:val="auto"/>
              </w:rPr>
            </w:pPr>
          </w:p>
        </w:tc>
        <w:tc>
          <w:tcPr>
            <w:tcW w:w="2340" w:type="dxa"/>
            <w:vAlign w:val="bottom"/>
          </w:tcPr>
          <w:p>
            <w:pPr>
              <w:jc w:val="center"/>
              <w:ind w:right="524"/>
              <w:spacing w:after="0"/>
              <w:rPr>
                <w:sz w:val="20"/>
                <w:szCs w:val="20"/>
                <w:color w:val="auto"/>
              </w:rPr>
            </w:pPr>
            <w:r>
              <w:rPr>
                <w:rFonts w:ascii="Arial" w:cs="Arial" w:eastAsia="Arial" w:hAnsi="Arial"/>
                <w:sz w:val="13"/>
                <w:szCs w:val="13"/>
                <w:b w:val="1"/>
                <w:bCs w:val="1"/>
                <w:color w:val="auto"/>
                <w:w w:val="89"/>
              </w:rPr>
              <w:t>Commitments</w:t>
            </w:r>
          </w:p>
        </w:tc>
        <w:tc>
          <w:tcPr>
            <w:tcW w:w="960" w:type="dxa"/>
            <w:vAlign w:val="bottom"/>
          </w:tcPr>
          <w:p>
            <w:pPr>
              <w:jc w:val="center"/>
              <w:ind w:right="84"/>
              <w:spacing w:after="0"/>
              <w:rPr>
                <w:sz w:val="20"/>
                <w:szCs w:val="20"/>
                <w:color w:val="auto"/>
              </w:rPr>
            </w:pPr>
            <w:r>
              <w:rPr>
                <w:rFonts w:ascii="Arial" w:cs="Arial" w:eastAsia="Arial" w:hAnsi="Arial"/>
                <w:sz w:val="13"/>
                <w:szCs w:val="13"/>
                <w:b w:val="1"/>
                <w:bCs w:val="1"/>
                <w:color w:val="auto"/>
                <w:w w:val="87"/>
              </w:rPr>
              <w:t>Income</w:t>
            </w:r>
          </w:p>
        </w:tc>
      </w:tr>
      <w:tr>
        <w:trPr>
          <w:trHeight w:val="23"/>
        </w:trPr>
        <w:tc>
          <w:tcPr>
            <w:tcW w:w="49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65"/>
        </w:trPr>
        <w:tc>
          <w:tcPr>
            <w:tcW w:w="4920" w:type="dxa"/>
            <w:vAlign w:val="bottom"/>
          </w:tcPr>
          <w:p>
            <w:pPr>
              <w:spacing w:after="0"/>
              <w:rPr>
                <w:sz w:val="14"/>
                <w:szCs w:val="14"/>
                <w:color w:val="auto"/>
              </w:rPr>
            </w:pPr>
          </w:p>
        </w:tc>
        <w:tc>
          <w:tcPr>
            <w:tcW w:w="2340" w:type="dxa"/>
            <w:vAlign w:val="bottom"/>
          </w:tcPr>
          <w:p>
            <w:pPr>
              <w:jc w:val="right"/>
              <w:ind w:right="84"/>
              <w:spacing w:after="0"/>
              <w:rPr>
                <w:sz w:val="20"/>
                <w:szCs w:val="20"/>
                <w:color w:val="auto"/>
              </w:rPr>
            </w:pPr>
            <w:r>
              <w:rPr>
                <w:rFonts w:ascii="Arial" w:cs="Arial" w:eastAsia="Arial" w:hAnsi="Arial"/>
                <w:sz w:val="13"/>
                <w:szCs w:val="13"/>
                <w:i w:val="1"/>
                <w:iCs w:val="1"/>
                <w:color w:val="auto"/>
              </w:rPr>
              <w:t>(millions of dollars)</w:t>
            </w:r>
          </w:p>
        </w:tc>
        <w:tc>
          <w:tcPr>
            <w:tcW w:w="960" w:type="dxa"/>
            <w:vAlign w:val="bottom"/>
          </w:tcPr>
          <w:p>
            <w:pPr>
              <w:spacing w:after="0"/>
              <w:rPr>
                <w:sz w:val="14"/>
                <w:szCs w:val="14"/>
                <w:color w:val="auto"/>
              </w:rPr>
            </w:pPr>
          </w:p>
        </w:tc>
      </w:tr>
      <w:tr>
        <w:trPr>
          <w:trHeight w:val="403"/>
        </w:trPr>
        <w:tc>
          <w:tcPr>
            <w:tcW w:w="4920" w:type="dxa"/>
            <w:vAlign w:val="bottom"/>
          </w:tcPr>
          <w:p>
            <w:pPr>
              <w:spacing w:after="0"/>
              <w:rPr>
                <w:sz w:val="20"/>
                <w:szCs w:val="20"/>
                <w:color w:val="auto"/>
              </w:rPr>
            </w:pPr>
            <w:r>
              <w:rPr>
                <w:rFonts w:ascii="Arial" w:cs="Arial" w:eastAsia="Arial" w:hAnsi="Arial"/>
                <w:sz w:val="16"/>
                <w:szCs w:val="16"/>
                <w:color w:val="auto"/>
              </w:rPr>
              <w:t>2015</w:t>
            </w:r>
          </w:p>
        </w:tc>
        <w:tc>
          <w:tcPr>
            <w:tcW w:w="2340" w:type="dxa"/>
            <w:vAlign w:val="bottom"/>
          </w:tcPr>
          <w:p>
            <w:pPr>
              <w:jc w:val="right"/>
              <w:ind w:right="1044"/>
              <w:spacing w:after="0"/>
              <w:rPr>
                <w:sz w:val="20"/>
                <w:szCs w:val="20"/>
                <w:color w:val="auto"/>
              </w:rPr>
            </w:pPr>
            <w:r>
              <w:rPr>
                <w:rFonts w:ascii="Arial" w:cs="Arial" w:eastAsia="Arial" w:hAnsi="Arial"/>
                <w:sz w:val="16"/>
                <w:szCs w:val="16"/>
                <w:color w:val="auto"/>
              </w:rPr>
              <w:t>2,034</w:t>
            </w:r>
          </w:p>
        </w:tc>
        <w:tc>
          <w:tcPr>
            <w:tcW w:w="960" w:type="dxa"/>
            <w:vAlign w:val="bottom"/>
          </w:tcPr>
          <w:p>
            <w:pPr>
              <w:jc w:val="right"/>
              <w:ind w:right="304"/>
              <w:spacing w:after="0"/>
              <w:rPr>
                <w:sz w:val="20"/>
                <w:szCs w:val="20"/>
                <w:color w:val="auto"/>
              </w:rPr>
            </w:pPr>
            <w:r>
              <w:rPr>
                <w:rFonts w:ascii="Arial" w:cs="Arial" w:eastAsia="Arial" w:hAnsi="Arial"/>
                <w:sz w:val="16"/>
                <w:szCs w:val="16"/>
                <w:color w:val="auto"/>
              </w:rPr>
              <w:t>31</w:t>
            </w:r>
          </w:p>
        </w:tc>
      </w:tr>
      <w:tr>
        <w:trPr>
          <w:trHeight w:val="196"/>
        </w:trPr>
        <w:tc>
          <w:tcPr>
            <w:tcW w:w="4920" w:type="dxa"/>
            <w:vAlign w:val="bottom"/>
          </w:tcPr>
          <w:p>
            <w:pPr>
              <w:spacing w:after="0"/>
              <w:rPr>
                <w:sz w:val="20"/>
                <w:szCs w:val="20"/>
                <w:color w:val="auto"/>
              </w:rPr>
            </w:pPr>
            <w:r>
              <w:rPr>
                <w:rFonts w:ascii="Arial" w:cs="Arial" w:eastAsia="Arial" w:hAnsi="Arial"/>
                <w:sz w:val="16"/>
                <w:szCs w:val="16"/>
                <w:color w:val="auto"/>
              </w:rPr>
              <w:t>2016</w:t>
            </w:r>
          </w:p>
        </w:tc>
        <w:tc>
          <w:tcPr>
            <w:tcW w:w="2340" w:type="dxa"/>
            <w:vAlign w:val="bottom"/>
          </w:tcPr>
          <w:p>
            <w:pPr>
              <w:jc w:val="right"/>
              <w:ind w:right="1044"/>
              <w:spacing w:after="0"/>
              <w:rPr>
                <w:sz w:val="20"/>
                <w:szCs w:val="20"/>
                <w:color w:val="auto"/>
              </w:rPr>
            </w:pPr>
            <w:r>
              <w:rPr>
                <w:rFonts w:ascii="Arial" w:cs="Arial" w:eastAsia="Arial" w:hAnsi="Arial"/>
                <w:sz w:val="16"/>
                <w:szCs w:val="16"/>
                <w:color w:val="auto"/>
              </w:rPr>
              <w:t>1,379</w:t>
            </w:r>
          </w:p>
        </w:tc>
        <w:tc>
          <w:tcPr>
            <w:tcW w:w="960" w:type="dxa"/>
            <w:vAlign w:val="bottom"/>
          </w:tcPr>
          <w:p>
            <w:pPr>
              <w:jc w:val="right"/>
              <w:ind w:right="304"/>
              <w:spacing w:after="0"/>
              <w:rPr>
                <w:sz w:val="20"/>
                <w:szCs w:val="20"/>
                <w:color w:val="auto"/>
              </w:rPr>
            </w:pPr>
            <w:r>
              <w:rPr>
                <w:rFonts w:ascii="Arial" w:cs="Arial" w:eastAsia="Arial" w:hAnsi="Arial"/>
                <w:sz w:val="16"/>
                <w:szCs w:val="16"/>
                <w:color w:val="auto"/>
              </w:rPr>
              <w:t>7</w:t>
            </w:r>
          </w:p>
        </w:tc>
      </w:tr>
      <w:tr>
        <w:trPr>
          <w:trHeight w:val="196"/>
        </w:trPr>
        <w:tc>
          <w:tcPr>
            <w:tcW w:w="4920" w:type="dxa"/>
            <w:vAlign w:val="bottom"/>
          </w:tcPr>
          <w:p>
            <w:pPr>
              <w:spacing w:after="0"/>
              <w:rPr>
                <w:sz w:val="20"/>
                <w:szCs w:val="20"/>
                <w:color w:val="auto"/>
              </w:rPr>
            </w:pPr>
            <w:r>
              <w:rPr>
                <w:rFonts w:ascii="Arial" w:cs="Arial" w:eastAsia="Arial" w:hAnsi="Arial"/>
                <w:sz w:val="16"/>
                <w:szCs w:val="16"/>
                <w:color w:val="auto"/>
              </w:rPr>
              <w:t>2017</w:t>
            </w:r>
          </w:p>
        </w:tc>
        <w:tc>
          <w:tcPr>
            <w:tcW w:w="2340" w:type="dxa"/>
            <w:vAlign w:val="bottom"/>
          </w:tcPr>
          <w:p>
            <w:pPr>
              <w:jc w:val="right"/>
              <w:ind w:right="1044"/>
              <w:spacing w:after="0"/>
              <w:rPr>
                <w:sz w:val="20"/>
                <w:szCs w:val="20"/>
                <w:color w:val="auto"/>
              </w:rPr>
            </w:pPr>
            <w:r>
              <w:rPr>
                <w:rFonts w:ascii="Arial" w:cs="Arial" w:eastAsia="Arial" w:hAnsi="Arial"/>
                <w:sz w:val="16"/>
                <w:szCs w:val="16"/>
                <w:color w:val="auto"/>
              </w:rPr>
              <w:t>774</w:t>
            </w:r>
          </w:p>
        </w:tc>
        <w:tc>
          <w:tcPr>
            <w:tcW w:w="960" w:type="dxa"/>
            <w:vAlign w:val="bottom"/>
          </w:tcPr>
          <w:p>
            <w:pPr>
              <w:jc w:val="right"/>
              <w:ind w:right="304"/>
              <w:spacing w:after="0"/>
              <w:rPr>
                <w:sz w:val="20"/>
                <w:szCs w:val="20"/>
                <w:color w:val="auto"/>
              </w:rPr>
            </w:pPr>
            <w:r>
              <w:rPr>
                <w:rFonts w:ascii="Arial" w:cs="Arial" w:eastAsia="Arial" w:hAnsi="Arial"/>
                <w:sz w:val="16"/>
                <w:szCs w:val="16"/>
                <w:color w:val="auto"/>
              </w:rPr>
              <w:t>6</w:t>
            </w:r>
          </w:p>
        </w:tc>
      </w:tr>
      <w:tr>
        <w:trPr>
          <w:trHeight w:val="196"/>
        </w:trPr>
        <w:tc>
          <w:tcPr>
            <w:tcW w:w="4920" w:type="dxa"/>
            <w:vAlign w:val="bottom"/>
          </w:tcPr>
          <w:p>
            <w:pPr>
              <w:spacing w:after="0"/>
              <w:rPr>
                <w:sz w:val="20"/>
                <w:szCs w:val="20"/>
                <w:color w:val="auto"/>
              </w:rPr>
            </w:pPr>
            <w:r>
              <w:rPr>
                <w:rFonts w:ascii="Arial" w:cs="Arial" w:eastAsia="Arial" w:hAnsi="Arial"/>
                <w:sz w:val="16"/>
                <w:szCs w:val="16"/>
                <w:color w:val="auto"/>
              </w:rPr>
              <w:t>2018</w:t>
            </w:r>
          </w:p>
        </w:tc>
        <w:tc>
          <w:tcPr>
            <w:tcW w:w="2340" w:type="dxa"/>
            <w:vAlign w:val="bottom"/>
          </w:tcPr>
          <w:p>
            <w:pPr>
              <w:jc w:val="right"/>
              <w:ind w:right="1044"/>
              <w:spacing w:after="0"/>
              <w:rPr>
                <w:sz w:val="20"/>
                <w:szCs w:val="20"/>
                <w:color w:val="auto"/>
              </w:rPr>
            </w:pPr>
            <w:r>
              <w:rPr>
                <w:rFonts w:ascii="Arial" w:cs="Arial" w:eastAsia="Arial" w:hAnsi="Arial"/>
                <w:sz w:val="16"/>
                <w:szCs w:val="16"/>
                <w:color w:val="auto"/>
              </w:rPr>
              <w:t>418</w:t>
            </w:r>
          </w:p>
        </w:tc>
        <w:tc>
          <w:tcPr>
            <w:tcW w:w="960" w:type="dxa"/>
            <w:vAlign w:val="bottom"/>
          </w:tcPr>
          <w:p>
            <w:pPr>
              <w:jc w:val="right"/>
              <w:ind w:right="304"/>
              <w:spacing w:after="0"/>
              <w:rPr>
                <w:sz w:val="20"/>
                <w:szCs w:val="20"/>
                <w:color w:val="auto"/>
              </w:rPr>
            </w:pPr>
            <w:r>
              <w:rPr>
                <w:rFonts w:ascii="Arial" w:cs="Arial" w:eastAsia="Arial" w:hAnsi="Arial"/>
                <w:sz w:val="16"/>
                <w:szCs w:val="16"/>
                <w:color w:val="auto"/>
              </w:rPr>
              <w:t>3</w:t>
            </w:r>
          </w:p>
        </w:tc>
      </w:tr>
      <w:tr>
        <w:trPr>
          <w:trHeight w:val="196"/>
        </w:trPr>
        <w:tc>
          <w:tcPr>
            <w:tcW w:w="4920" w:type="dxa"/>
            <w:vAlign w:val="bottom"/>
          </w:tcPr>
          <w:p>
            <w:pPr>
              <w:spacing w:after="0"/>
              <w:rPr>
                <w:sz w:val="20"/>
                <w:szCs w:val="20"/>
                <w:color w:val="auto"/>
              </w:rPr>
            </w:pPr>
            <w:r>
              <w:rPr>
                <w:rFonts w:ascii="Arial" w:cs="Arial" w:eastAsia="Arial" w:hAnsi="Arial"/>
                <w:sz w:val="16"/>
                <w:szCs w:val="16"/>
                <w:color w:val="auto"/>
              </w:rPr>
              <w:t>2019</w:t>
            </w:r>
          </w:p>
        </w:tc>
        <w:tc>
          <w:tcPr>
            <w:tcW w:w="2340" w:type="dxa"/>
            <w:vAlign w:val="bottom"/>
          </w:tcPr>
          <w:p>
            <w:pPr>
              <w:jc w:val="right"/>
              <w:ind w:right="1044"/>
              <w:spacing w:after="0"/>
              <w:rPr>
                <w:sz w:val="20"/>
                <w:szCs w:val="20"/>
                <w:color w:val="auto"/>
              </w:rPr>
            </w:pPr>
            <w:r>
              <w:rPr>
                <w:rFonts w:ascii="Arial" w:cs="Arial" w:eastAsia="Arial" w:hAnsi="Arial"/>
                <w:sz w:val="16"/>
                <w:szCs w:val="16"/>
                <w:color w:val="auto"/>
              </w:rPr>
              <w:t>312</w:t>
            </w:r>
          </w:p>
        </w:tc>
        <w:tc>
          <w:tcPr>
            <w:tcW w:w="960" w:type="dxa"/>
            <w:vAlign w:val="bottom"/>
          </w:tcPr>
          <w:p>
            <w:pPr>
              <w:jc w:val="right"/>
              <w:ind w:right="304"/>
              <w:spacing w:after="0"/>
              <w:rPr>
                <w:sz w:val="20"/>
                <w:szCs w:val="20"/>
                <w:color w:val="auto"/>
              </w:rPr>
            </w:pPr>
            <w:r>
              <w:rPr>
                <w:rFonts w:ascii="Arial" w:cs="Arial" w:eastAsia="Arial" w:hAnsi="Arial"/>
                <w:sz w:val="16"/>
                <w:szCs w:val="16"/>
                <w:color w:val="auto"/>
              </w:rPr>
              <w:t>3</w:t>
            </w:r>
          </w:p>
        </w:tc>
      </w:tr>
      <w:tr>
        <w:trPr>
          <w:trHeight w:val="208"/>
        </w:trPr>
        <w:tc>
          <w:tcPr>
            <w:tcW w:w="4920" w:type="dxa"/>
            <w:vAlign w:val="bottom"/>
          </w:tcPr>
          <w:p>
            <w:pPr>
              <w:spacing w:after="0"/>
              <w:rPr>
                <w:sz w:val="20"/>
                <w:szCs w:val="20"/>
                <w:color w:val="auto"/>
              </w:rPr>
            </w:pPr>
            <w:r>
              <w:rPr>
                <w:rFonts w:ascii="Arial" w:cs="Arial" w:eastAsia="Arial" w:hAnsi="Arial"/>
                <w:sz w:val="16"/>
                <w:szCs w:val="16"/>
                <w:color w:val="auto"/>
              </w:rPr>
              <w:t>2020 and beyond</w:t>
            </w:r>
          </w:p>
        </w:tc>
        <w:tc>
          <w:tcPr>
            <w:tcW w:w="2340" w:type="dxa"/>
            <w:vAlign w:val="bottom"/>
            <w:tcBorders>
              <w:bottom w:val="single" w:sz="8" w:color="auto"/>
            </w:tcBorders>
          </w:tcPr>
          <w:p>
            <w:pPr>
              <w:jc w:val="right"/>
              <w:ind w:right="1044"/>
              <w:spacing w:after="0"/>
              <w:rPr>
                <w:sz w:val="20"/>
                <w:szCs w:val="20"/>
                <w:color w:val="auto"/>
              </w:rPr>
            </w:pPr>
            <w:r>
              <w:rPr>
                <w:rFonts w:ascii="Arial" w:cs="Arial" w:eastAsia="Arial" w:hAnsi="Arial"/>
                <w:sz w:val="16"/>
                <w:szCs w:val="16"/>
                <w:color w:val="auto"/>
              </w:rPr>
              <w:t>1,296</w:t>
            </w:r>
          </w:p>
        </w:tc>
        <w:tc>
          <w:tcPr>
            <w:tcW w:w="960" w:type="dxa"/>
            <w:vAlign w:val="bottom"/>
            <w:tcBorders>
              <w:bottom w:val="single" w:sz="8" w:color="auto"/>
            </w:tcBorders>
          </w:tcPr>
          <w:p>
            <w:pPr>
              <w:jc w:val="right"/>
              <w:ind w:right="304"/>
              <w:spacing w:after="0"/>
              <w:rPr>
                <w:sz w:val="20"/>
                <w:szCs w:val="20"/>
                <w:color w:val="auto"/>
              </w:rPr>
            </w:pPr>
            <w:r>
              <w:rPr>
                <w:rFonts w:ascii="Arial" w:cs="Arial" w:eastAsia="Arial" w:hAnsi="Arial"/>
                <w:sz w:val="16"/>
                <w:szCs w:val="16"/>
                <w:color w:val="auto"/>
              </w:rPr>
              <w:t>20</w:t>
            </w:r>
          </w:p>
        </w:tc>
      </w:tr>
      <w:tr>
        <w:trPr>
          <w:trHeight w:val="189"/>
        </w:trPr>
        <w:tc>
          <w:tcPr>
            <w:tcW w:w="4920" w:type="dxa"/>
            <w:vAlign w:val="bottom"/>
          </w:tcPr>
          <w:p>
            <w:pPr>
              <w:ind w:left="200"/>
              <w:spacing w:after="0"/>
              <w:rPr>
                <w:sz w:val="20"/>
                <w:szCs w:val="20"/>
                <w:color w:val="auto"/>
              </w:rPr>
            </w:pPr>
            <w:r>
              <w:rPr>
                <w:rFonts w:ascii="Arial" w:cs="Arial" w:eastAsia="Arial" w:hAnsi="Arial"/>
                <w:sz w:val="16"/>
                <w:szCs w:val="16"/>
                <w:color w:val="auto"/>
              </w:rPr>
              <w:t>Total</w:t>
            </w:r>
          </w:p>
        </w:tc>
        <w:tc>
          <w:tcPr>
            <w:tcW w:w="2340" w:type="dxa"/>
            <w:vAlign w:val="bottom"/>
            <w:tcBorders>
              <w:bottom w:val="single" w:sz="8" w:color="auto"/>
            </w:tcBorders>
          </w:tcPr>
          <w:p>
            <w:pPr>
              <w:jc w:val="right"/>
              <w:ind w:right="1044"/>
              <w:spacing w:after="0"/>
              <w:rPr>
                <w:sz w:val="20"/>
                <w:szCs w:val="20"/>
                <w:color w:val="auto"/>
              </w:rPr>
            </w:pPr>
            <w:r>
              <w:rPr>
                <w:rFonts w:ascii="Arial" w:cs="Arial" w:eastAsia="Arial" w:hAnsi="Arial"/>
                <w:sz w:val="16"/>
                <w:szCs w:val="16"/>
                <w:color w:val="auto"/>
              </w:rPr>
              <w:t>6,213</w:t>
            </w:r>
          </w:p>
        </w:tc>
        <w:tc>
          <w:tcPr>
            <w:tcW w:w="960" w:type="dxa"/>
            <w:vAlign w:val="bottom"/>
            <w:tcBorders>
              <w:bottom w:val="single" w:sz="8" w:color="auto"/>
            </w:tcBorders>
          </w:tcPr>
          <w:p>
            <w:pPr>
              <w:jc w:val="right"/>
              <w:ind w:right="304"/>
              <w:spacing w:after="0"/>
              <w:rPr>
                <w:sz w:val="20"/>
                <w:szCs w:val="20"/>
                <w:color w:val="auto"/>
              </w:rPr>
            </w:pPr>
            <w:r>
              <w:rPr>
                <w:rFonts w:ascii="Arial" w:cs="Arial" w:eastAsia="Arial" w:hAnsi="Arial"/>
                <w:sz w:val="16"/>
                <w:szCs w:val="16"/>
                <w:color w:val="auto"/>
              </w:rPr>
              <w:t>70</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Net rental cost under both cancelable and noncancelable operating leases incurred during 2014, 2013 and 2012 were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82"/>
              <w:spacing w:after="0"/>
              <w:rPr>
                <w:sz w:val="20"/>
                <w:szCs w:val="20"/>
                <w:color w:val="auto"/>
              </w:rPr>
            </w:pPr>
            <w:r>
              <w:rPr>
                <w:rFonts w:ascii="Arial" w:cs="Arial" w:eastAsia="Arial" w:hAnsi="Arial"/>
                <w:sz w:val="13"/>
                <w:szCs w:val="13"/>
                <w:b w:val="1"/>
                <w:bCs w:val="1"/>
                <w:color w:val="auto"/>
              </w:rPr>
              <w:t>2014</w:t>
            </w:r>
          </w:p>
        </w:tc>
        <w:tc>
          <w:tcPr>
            <w:tcW w:w="2380" w:type="dxa"/>
            <w:vAlign w:val="bottom"/>
            <w:tcBorders>
              <w:bottom w:val="single" w:sz="8" w:color="auto"/>
            </w:tcBorders>
          </w:tcPr>
          <w:p>
            <w:pPr>
              <w:jc w:val="right"/>
              <w:ind w:right="1063"/>
              <w:spacing w:after="0"/>
              <w:rPr>
                <w:sz w:val="20"/>
                <w:szCs w:val="20"/>
                <w:color w:val="auto"/>
              </w:rPr>
            </w:pPr>
            <w:r>
              <w:rPr>
                <w:rFonts w:ascii="Arial" w:cs="Arial" w:eastAsia="Arial" w:hAnsi="Arial"/>
                <w:sz w:val="13"/>
                <w:szCs w:val="13"/>
                <w:b w:val="1"/>
                <w:bCs w:val="1"/>
                <w:color w:val="auto"/>
              </w:rPr>
              <w:t>2013</w:t>
            </w:r>
          </w:p>
        </w:tc>
      </w:tr>
      <w:tr>
        <w:trPr>
          <w:trHeight w:val="202"/>
        </w:trPr>
        <w:tc>
          <w:tcPr>
            <w:tcW w:w="7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80" w:type="dxa"/>
            <w:vAlign w:val="bottom"/>
          </w:tcPr>
          <w:p>
            <w:pPr>
              <w:jc w:val="right"/>
              <w:ind w:right="903"/>
              <w:spacing w:after="0"/>
              <w:rPr>
                <w:sz w:val="20"/>
                <w:szCs w:val="20"/>
                <w:color w:val="auto"/>
              </w:rPr>
            </w:pPr>
            <w:r>
              <w:rPr>
                <w:rFonts w:ascii="Arial" w:cs="Arial" w:eastAsia="Arial" w:hAnsi="Arial"/>
                <w:sz w:val="13"/>
                <w:szCs w:val="13"/>
                <w:i w:val="1"/>
                <w:iCs w:val="1"/>
                <w:color w:val="auto"/>
              </w:rPr>
              <w:t>(millions of dollars)</w:t>
            </w:r>
          </w:p>
        </w:tc>
      </w:tr>
      <w:tr>
        <w:trPr>
          <w:trHeight w:val="366"/>
        </w:trPr>
        <w:tc>
          <w:tcPr>
            <w:tcW w:w="7460" w:type="dxa"/>
            <w:vAlign w:val="bottom"/>
          </w:tcPr>
          <w:p>
            <w:pPr>
              <w:spacing w:after="0"/>
              <w:rPr>
                <w:sz w:val="20"/>
                <w:szCs w:val="20"/>
                <w:color w:val="auto"/>
              </w:rPr>
            </w:pPr>
            <w:r>
              <w:rPr>
                <w:rFonts w:ascii="Arial" w:cs="Arial" w:eastAsia="Arial" w:hAnsi="Arial"/>
                <w:sz w:val="16"/>
                <w:szCs w:val="16"/>
                <w:color w:val="auto"/>
              </w:rPr>
              <w:t>Rental cost</w:t>
            </w:r>
          </w:p>
        </w:tc>
        <w:tc>
          <w:tcPr>
            <w:tcW w:w="1100" w:type="dxa"/>
            <w:vAlign w:val="bottom"/>
          </w:tcPr>
          <w:p>
            <w:pPr>
              <w:jc w:val="right"/>
              <w:ind w:right="282"/>
              <w:spacing w:after="0"/>
              <w:rPr>
                <w:sz w:val="20"/>
                <w:szCs w:val="20"/>
                <w:color w:val="auto"/>
              </w:rPr>
            </w:pPr>
            <w:r>
              <w:rPr>
                <w:rFonts w:ascii="Arial" w:cs="Arial" w:eastAsia="Arial" w:hAnsi="Arial"/>
                <w:sz w:val="16"/>
                <w:szCs w:val="16"/>
                <w:color w:val="auto"/>
              </w:rPr>
              <w:t>4,077</w:t>
            </w:r>
          </w:p>
        </w:tc>
        <w:tc>
          <w:tcPr>
            <w:tcW w:w="2380" w:type="dxa"/>
            <w:vAlign w:val="bottom"/>
          </w:tcPr>
          <w:p>
            <w:pPr>
              <w:jc w:val="right"/>
              <w:ind w:right="1063"/>
              <w:spacing w:after="0"/>
              <w:rPr>
                <w:sz w:val="20"/>
                <w:szCs w:val="20"/>
                <w:color w:val="auto"/>
              </w:rPr>
            </w:pPr>
            <w:r>
              <w:rPr>
                <w:rFonts w:ascii="Arial" w:cs="Arial" w:eastAsia="Arial" w:hAnsi="Arial"/>
                <w:sz w:val="16"/>
                <w:szCs w:val="16"/>
                <w:color w:val="auto"/>
              </w:rPr>
              <w:t>3,841</w:t>
            </w:r>
          </w:p>
        </w:tc>
      </w:tr>
      <w:tr>
        <w:trPr>
          <w:trHeight w:val="208"/>
        </w:trPr>
        <w:tc>
          <w:tcPr>
            <w:tcW w:w="7460" w:type="dxa"/>
            <w:vAlign w:val="bottom"/>
          </w:tcPr>
          <w:p>
            <w:pPr>
              <w:spacing w:after="0"/>
              <w:rPr>
                <w:sz w:val="20"/>
                <w:szCs w:val="20"/>
                <w:color w:val="auto"/>
              </w:rPr>
            </w:pPr>
            <w:r>
              <w:rPr>
                <w:rFonts w:ascii="Arial" w:cs="Arial" w:eastAsia="Arial" w:hAnsi="Arial"/>
                <w:sz w:val="16"/>
                <w:szCs w:val="16"/>
                <w:color w:val="auto"/>
              </w:rPr>
              <w:t>Less sublease rental income</w:t>
            </w:r>
          </w:p>
        </w:tc>
        <w:tc>
          <w:tcPr>
            <w:tcW w:w="11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52</w:t>
            </w:r>
          </w:p>
        </w:tc>
        <w:tc>
          <w:tcPr>
            <w:tcW w:w="2380" w:type="dxa"/>
            <w:vAlign w:val="bottom"/>
            <w:tcBorders>
              <w:bottom w:val="single" w:sz="8" w:color="auto"/>
            </w:tcBorders>
          </w:tcPr>
          <w:p>
            <w:pPr>
              <w:jc w:val="right"/>
              <w:ind w:right="1063"/>
              <w:spacing w:after="0"/>
              <w:rPr>
                <w:sz w:val="20"/>
                <w:szCs w:val="20"/>
                <w:color w:val="auto"/>
              </w:rPr>
            </w:pPr>
            <w:r>
              <w:rPr>
                <w:rFonts w:ascii="Arial" w:cs="Arial" w:eastAsia="Arial" w:hAnsi="Arial"/>
                <w:sz w:val="16"/>
                <w:szCs w:val="16"/>
                <w:color w:val="auto"/>
              </w:rPr>
              <w:t>44</w:t>
            </w:r>
          </w:p>
        </w:tc>
      </w:tr>
      <w:tr>
        <w:trPr>
          <w:trHeight w:val="189"/>
        </w:trPr>
        <w:tc>
          <w:tcPr>
            <w:tcW w:w="7460" w:type="dxa"/>
            <w:vAlign w:val="bottom"/>
          </w:tcPr>
          <w:p>
            <w:pPr>
              <w:spacing w:after="0"/>
              <w:rPr>
                <w:sz w:val="20"/>
                <w:szCs w:val="20"/>
                <w:color w:val="auto"/>
              </w:rPr>
            </w:pPr>
            <w:r>
              <w:rPr>
                <w:rFonts w:ascii="Arial" w:cs="Arial" w:eastAsia="Arial" w:hAnsi="Arial"/>
                <w:sz w:val="16"/>
                <w:szCs w:val="16"/>
                <w:color w:val="auto"/>
              </w:rPr>
              <w:t>Net rental cost</w:t>
            </w:r>
          </w:p>
        </w:tc>
        <w:tc>
          <w:tcPr>
            <w:tcW w:w="11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4,025</w:t>
            </w:r>
          </w:p>
        </w:tc>
        <w:tc>
          <w:tcPr>
            <w:tcW w:w="2380" w:type="dxa"/>
            <w:vAlign w:val="bottom"/>
            <w:tcBorders>
              <w:bottom w:val="single" w:sz="8" w:color="auto"/>
            </w:tcBorders>
          </w:tcPr>
          <w:p>
            <w:pPr>
              <w:jc w:val="right"/>
              <w:ind w:right="1063"/>
              <w:spacing w:after="0"/>
              <w:rPr>
                <w:sz w:val="20"/>
                <w:szCs w:val="20"/>
                <w:color w:val="auto"/>
              </w:rPr>
            </w:pPr>
            <w:r>
              <w:rPr>
                <w:rFonts w:ascii="Arial" w:cs="Arial" w:eastAsia="Arial" w:hAnsi="Arial"/>
                <w:sz w:val="16"/>
                <w:szCs w:val="16"/>
                <w:color w:val="auto"/>
              </w:rPr>
              <w:t>3,797</w:t>
            </w:r>
          </w:p>
        </w:tc>
      </w:tr>
      <w:tr>
        <w:trPr>
          <w:trHeight w:val="579"/>
        </w:trPr>
        <w:tc>
          <w:tcPr>
            <w:tcW w:w="7460" w:type="dxa"/>
            <w:vAlign w:val="bottom"/>
          </w:tcPr>
          <w:p>
            <w:pPr>
              <w:spacing w:after="0"/>
              <w:rPr>
                <w:sz w:val="20"/>
                <w:szCs w:val="20"/>
                <w:color w:val="auto"/>
              </w:rPr>
            </w:pPr>
            <w:r>
              <w:rPr>
                <w:rFonts w:ascii="Arial" w:cs="Arial" w:eastAsia="Arial" w:hAnsi="Arial"/>
                <w:sz w:val="16"/>
                <w:szCs w:val="16"/>
                <w:b w:val="1"/>
                <w:bCs w:val="1"/>
                <w:color w:val="auto"/>
              </w:rPr>
              <w:t>12. Earnings Per Share</w:t>
            </w:r>
          </w:p>
        </w:tc>
        <w:tc>
          <w:tcPr>
            <w:tcW w:w="11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70"/>
        </w:trPr>
        <w:tc>
          <w:tcPr>
            <w:tcW w:w="7460" w:type="dxa"/>
            <w:vAlign w:val="bottom"/>
          </w:tcPr>
          <w:p>
            <w:pPr>
              <w:spacing w:after="0"/>
              <w:rPr>
                <w:sz w:val="24"/>
                <w:szCs w:val="24"/>
                <w:color w:val="auto"/>
              </w:rPr>
            </w:pPr>
          </w:p>
        </w:tc>
        <w:tc>
          <w:tcPr>
            <w:tcW w:w="1100" w:type="dxa"/>
            <w:vAlign w:val="bottom"/>
          </w:tcPr>
          <w:p>
            <w:pPr>
              <w:jc w:val="right"/>
              <w:ind w:right="282"/>
              <w:spacing w:after="0"/>
              <w:rPr>
                <w:sz w:val="20"/>
                <w:szCs w:val="20"/>
                <w:color w:val="auto"/>
              </w:rPr>
            </w:pPr>
            <w:r>
              <w:rPr>
                <w:rFonts w:ascii="Arial" w:cs="Arial" w:eastAsia="Arial" w:hAnsi="Arial"/>
                <w:sz w:val="13"/>
                <w:szCs w:val="13"/>
                <w:b w:val="1"/>
                <w:bCs w:val="1"/>
                <w:color w:val="auto"/>
              </w:rPr>
              <w:t>2014</w:t>
            </w:r>
          </w:p>
        </w:tc>
        <w:tc>
          <w:tcPr>
            <w:tcW w:w="2380" w:type="dxa"/>
            <w:vAlign w:val="bottom"/>
          </w:tcPr>
          <w:p>
            <w:pPr>
              <w:jc w:val="right"/>
              <w:ind w:right="1063"/>
              <w:spacing w:after="0"/>
              <w:rPr>
                <w:sz w:val="20"/>
                <w:szCs w:val="20"/>
                <w:color w:val="auto"/>
              </w:rPr>
            </w:pPr>
            <w:r>
              <w:rPr>
                <w:rFonts w:ascii="Arial" w:cs="Arial" w:eastAsia="Arial" w:hAnsi="Arial"/>
                <w:sz w:val="13"/>
                <w:szCs w:val="13"/>
                <w:b w:val="1"/>
                <w:bCs w:val="1"/>
                <w:color w:val="auto"/>
              </w:rPr>
              <w:t>2013</w:t>
            </w:r>
          </w:p>
        </w:tc>
      </w:tr>
      <w:tr>
        <w:trPr>
          <w:trHeight w:val="23"/>
        </w:trPr>
        <w:tc>
          <w:tcPr>
            <w:tcW w:w="7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04"/>
        </w:trPr>
        <w:tc>
          <w:tcPr>
            <w:tcW w:w="7460" w:type="dxa"/>
            <w:vAlign w:val="bottom"/>
          </w:tcPr>
          <w:p>
            <w:pPr>
              <w:spacing w:after="0"/>
              <w:rPr>
                <w:sz w:val="20"/>
                <w:szCs w:val="20"/>
                <w:color w:val="auto"/>
              </w:rPr>
            </w:pPr>
            <w:r>
              <w:rPr>
                <w:rFonts w:ascii="Arial" w:cs="Arial" w:eastAsia="Arial" w:hAnsi="Arial"/>
                <w:sz w:val="16"/>
                <w:szCs w:val="16"/>
                <w:b w:val="1"/>
                <w:bCs w:val="1"/>
                <w:color w:val="auto"/>
              </w:rPr>
              <w:t>Earnings per common share</w:t>
            </w:r>
          </w:p>
        </w:tc>
        <w:tc>
          <w:tcPr>
            <w:tcW w:w="11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400"/>
        </w:trPr>
        <w:tc>
          <w:tcPr>
            <w:tcW w:w="7460" w:type="dxa"/>
            <w:vAlign w:val="bottom"/>
          </w:tcPr>
          <w:p>
            <w:pPr>
              <w:spacing w:after="0"/>
              <w:rPr>
                <w:sz w:val="20"/>
                <w:szCs w:val="20"/>
                <w:color w:val="auto"/>
              </w:rPr>
            </w:pPr>
            <w:r>
              <w:rPr>
                <w:rFonts w:ascii="Arial" w:cs="Arial" w:eastAsia="Arial" w:hAnsi="Arial"/>
                <w:sz w:val="16"/>
                <w:szCs w:val="16"/>
                <w:color w:val="auto"/>
              </w:rPr>
              <w:t xml:space="preserve">Net income attributable to ExxonMobil </w:t>
            </w:r>
            <w:r>
              <w:rPr>
                <w:rFonts w:ascii="Arial" w:cs="Arial" w:eastAsia="Arial" w:hAnsi="Arial"/>
                <w:sz w:val="16"/>
                <w:szCs w:val="16"/>
                <w:i w:val="1"/>
                <w:iCs w:val="1"/>
                <w:color w:val="auto"/>
              </w:rPr>
              <w:t>(millions of dollars)</w:t>
            </w:r>
          </w:p>
        </w:tc>
        <w:tc>
          <w:tcPr>
            <w:tcW w:w="1100" w:type="dxa"/>
            <w:vAlign w:val="bottom"/>
          </w:tcPr>
          <w:p>
            <w:pPr>
              <w:jc w:val="right"/>
              <w:ind w:right="282"/>
              <w:spacing w:after="0"/>
              <w:rPr>
                <w:sz w:val="20"/>
                <w:szCs w:val="20"/>
                <w:color w:val="auto"/>
              </w:rPr>
            </w:pPr>
            <w:r>
              <w:rPr>
                <w:rFonts w:ascii="Arial" w:cs="Arial" w:eastAsia="Arial" w:hAnsi="Arial"/>
                <w:sz w:val="16"/>
                <w:szCs w:val="16"/>
                <w:color w:val="auto"/>
              </w:rPr>
              <w:t>32,520</w:t>
            </w:r>
          </w:p>
        </w:tc>
        <w:tc>
          <w:tcPr>
            <w:tcW w:w="2380" w:type="dxa"/>
            <w:vAlign w:val="bottom"/>
          </w:tcPr>
          <w:p>
            <w:pPr>
              <w:jc w:val="right"/>
              <w:ind w:right="1063"/>
              <w:spacing w:after="0"/>
              <w:rPr>
                <w:sz w:val="20"/>
                <w:szCs w:val="20"/>
                <w:color w:val="auto"/>
              </w:rPr>
            </w:pPr>
            <w:r>
              <w:rPr>
                <w:rFonts w:ascii="Arial" w:cs="Arial" w:eastAsia="Arial" w:hAnsi="Arial"/>
                <w:sz w:val="16"/>
                <w:szCs w:val="16"/>
                <w:color w:val="auto"/>
              </w:rPr>
              <w:t>32,580</w:t>
            </w:r>
          </w:p>
        </w:tc>
      </w:tr>
      <w:tr>
        <w:trPr>
          <w:trHeight w:val="417"/>
        </w:trPr>
        <w:tc>
          <w:tcPr>
            <w:tcW w:w="7460" w:type="dxa"/>
            <w:vAlign w:val="bottom"/>
          </w:tcPr>
          <w:p>
            <w:pPr>
              <w:spacing w:after="0"/>
              <w:rPr>
                <w:sz w:val="20"/>
                <w:szCs w:val="20"/>
                <w:color w:val="auto"/>
              </w:rPr>
            </w:pPr>
            <w:r>
              <w:rPr>
                <w:rFonts w:ascii="Arial" w:cs="Arial" w:eastAsia="Arial" w:hAnsi="Arial"/>
                <w:sz w:val="16"/>
                <w:szCs w:val="16"/>
                <w:color w:val="auto"/>
              </w:rPr>
              <w:t xml:space="preserve">Weighted average number of common shares outstanding </w:t>
            </w:r>
            <w:r>
              <w:rPr>
                <w:rFonts w:ascii="Arial" w:cs="Arial" w:eastAsia="Arial" w:hAnsi="Arial"/>
                <w:sz w:val="16"/>
                <w:szCs w:val="16"/>
                <w:i w:val="1"/>
                <w:iCs w:val="1"/>
                <w:color w:val="auto"/>
              </w:rPr>
              <w:t>(millions of shares)</w:t>
            </w:r>
          </w:p>
        </w:tc>
        <w:tc>
          <w:tcPr>
            <w:tcW w:w="1100" w:type="dxa"/>
            <w:vAlign w:val="bottom"/>
          </w:tcPr>
          <w:p>
            <w:pPr>
              <w:jc w:val="right"/>
              <w:ind w:right="282"/>
              <w:spacing w:after="0"/>
              <w:rPr>
                <w:sz w:val="20"/>
                <w:szCs w:val="20"/>
                <w:color w:val="auto"/>
              </w:rPr>
            </w:pPr>
            <w:r>
              <w:rPr>
                <w:rFonts w:ascii="Arial" w:cs="Arial" w:eastAsia="Arial" w:hAnsi="Arial"/>
                <w:sz w:val="16"/>
                <w:szCs w:val="16"/>
                <w:color w:val="auto"/>
              </w:rPr>
              <w:t>4,282</w:t>
            </w:r>
          </w:p>
        </w:tc>
        <w:tc>
          <w:tcPr>
            <w:tcW w:w="2380" w:type="dxa"/>
            <w:vAlign w:val="bottom"/>
          </w:tcPr>
          <w:p>
            <w:pPr>
              <w:jc w:val="right"/>
              <w:ind w:right="1063"/>
              <w:spacing w:after="0"/>
              <w:rPr>
                <w:sz w:val="20"/>
                <w:szCs w:val="20"/>
                <w:color w:val="auto"/>
              </w:rPr>
            </w:pPr>
            <w:r>
              <w:rPr>
                <w:rFonts w:ascii="Arial" w:cs="Arial" w:eastAsia="Arial" w:hAnsi="Arial"/>
                <w:sz w:val="16"/>
                <w:szCs w:val="16"/>
                <w:color w:val="auto"/>
              </w:rPr>
              <w:t>4,419</w:t>
            </w:r>
          </w:p>
        </w:tc>
      </w:tr>
      <w:tr>
        <w:trPr>
          <w:trHeight w:val="417"/>
        </w:trPr>
        <w:tc>
          <w:tcPr>
            <w:tcW w:w="7460" w:type="dxa"/>
            <w:vAlign w:val="bottom"/>
          </w:tcPr>
          <w:p>
            <w:pPr>
              <w:spacing w:after="0"/>
              <w:rPr>
                <w:sz w:val="20"/>
                <w:szCs w:val="20"/>
                <w:color w:val="auto"/>
              </w:rPr>
            </w:pPr>
            <w:r>
              <w:rPr>
                <w:rFonts w:ascii="Arial" w:cs="Arial" w:eastAsia="Arial" w:hAnsi="Arial"/>
                <w:sz w:val="16"/>
                <w:szCs w:val="16"/>
                <w:color w:val="auto"/>
              </w:rPr>
              <w:t xml:space="preserve">Earnings per common share </w:t>
            </w:r>
            <w:r>
              <w:rPr>
                <w:rFonts w:ascii="Arial" w:cs="Arial" w:eastAsia="Arial" w:hAnsi="Arial"/>
                <w:sz w:val="16"/>
                <w:szCs w:val="16"/>
                <w:i w:val="1"/>
                <w:iCs w:val="1"/>
                <w:color w:val="auto"/>
              </w:rPr>
              <w:t>(dollars) (1)</w:t>
            </w:r>
          </w:p>
        </w:tc>
        <w:tc>
          <w:tcPr>
            <w:tcW w:w="1100" w:type="dxa"/>
            <w:vAlign w:val="bottom"/>
          </w:tcPr>
          <w:p>
            <w:pPr>
              <w:jc w:val="right"/>
              <w:ind w:right="282"/>
              <w:spacing w:after="0"/>
              <w:rPr>
                <w:sz w:val="20"/>
                <w:szCs w:val="20"/>
                <w:color w:val="auto"/>
              </w:rPr>
            </w:pPr>
            <w:r>
              <w:rPr>
                <w:rFonts w:ascii="Arial" w:cs="Arial" w:eastAsia="Arial" w:hAnsi="Arial"/>
                <w:sz w:val="16"/>
                <w:szCs w:val="16"/>
                <w:color w:val="auto"/>
              </w:rPr>
              <w:t>7.60</w:t>
            </w:r>
          </w:p>
        </w:tc>
        <w:tc>
          <w:tcPr>
            <w:tcW w:w="2380" w:type="dxa"/>
            <w:vAlign w:val="bottom"/>
          </w:tcPr>
          <w:p>
            <w:pPr>
              <w:jc w:val="right"/>
              <w:ind w:right="1063"/>
              <w:spacing w:after="0"/>
              <w:rPr>
                <w:sz w:val="20"/>
                <w:szCs w:val="20"/>
                <w:color w:val="auto"/>
              </w:rPr>
            </w:pPr>
            <w:r>
              <w:rPr>
                <w:rFonts w:ascii="Arial" w:cs="Arial" w:eastAsia="Arial" w:hAnsi="Arial"/>
                <w:sz w:val="16"/>
                <w:szCs w:val="16"/>
                <w:color w:val="auto"/>
              </w:rPr>
              <w:t>7.37</w:t>
            </w:r>
          </w:p>
        </w:tc>
      </w:tr>
      <w:tr>
        <w:trPr>
          <w:trHeight w:val="417"/>
        </w:trPr>
        <w:tc>
          <w:tcPr>
            <w:tcW w:w="7460" w:type="dxa"/>
            <w:vAlign w:val="bottom"/>
          </w:tcPr>
          <w:p>
            <w:pPr>
              <w:spacing w:after="0"/>
              <w:rPr>
                <w:sz w:val="20"/>
                <w:szCs w:val="20"/>
                <w:color w:val="auto"/>
              </w:rPr>
            </w:pPr>
            <w:r>
              <w:rPr>
                <w:rFonts w:ascii="Arial" w:cs="Arial" w:eastAsia="Arial" w:hAnsi="Arial"/>
                <w:sz w:val="16"/>
                <w:szCs w:val="16"/>
                <w:color w:val="auto"/>
              </w:rPr>
              <w:t xml:space="preserve">Dividends paid per common share </w:t>
            </w:r>
            <w:r>
              <w:rPr>
                <w:rFonts w:ascii="Arial" w:cs="Arial" w:eastAsia="Arial" w:hAnsi="Arial"/>
                <w:sz w:val="16"/>
                <w:szCs w:val="16"/>
                <w:i w:val="1"/>
                <w:iCs w:val="1"/>
                <w:color w:val="auto"/>
              </w:rPr>
              <w:t>(dollars)</w:t>
            </w:r>
          </w:p>
        </w:tc>
        <w:tc>
          <w:tcPr>
            <w:tcW w:w="1100" w:type="dxa"/>
            <w:vAlign w:val="bottom"/>
          </w:tcPr>
          <w:p>
            <w:pPr>
              <w:jc w:val="right"/>
              <w:ind w:right="282"/>
              <w:spacing w:after="0"/>
              <w:rPr>
                <w:sz w:val="20"/>
                <w:szCs w:val="20"/>
                <w:color w:val="auto"/>
              </w:rPr>
            </w:pPr>
            <w:r>
              <w:rPr>
                <w:rFonts w:ascii="Arial" w:cs="Arial" w:eastAsia="Arial" w:hAnsi="Arial"/>
                <w:sz w:val="16"/>
                <w:szCs w:val="16"/>
                <w:color w:val="auto"/>
              </w:rPr>
              <w:t>2.70</w:t>
            </w:r>
          </w:p>
        </w:tc>
        <w:tc>
          <w:tcPr>
            <w:tcW w:w="2380" w:type="dxa"/>
            <w:vAlign w:val="bottom"/>
          </w:tcPr>
          <w:p>
            <w:pPr>
              <w:jc w:val="right"/>
              <w:ind w:right="1063"/>
              <w:spacing w:after="0"/>
              <w:rPr>
                <w:sz w:val="20"/>
                <w:szCs w:val="20"/>
                <w:color w:val="auto"/>
              </w:rPr>
            </w:pPr>
            <w:r>
              <w:rPr>
                <w:rFonts w:ascii="Arial" w:cs="Arial" w:eastAsia="Arial" w:hAnsi="Arial"/>
                <w:sz w:val="16"/>
                <w:szCs w:val="16"/>
                <w:color w:val="auto"/>
              </w:rPr>
              <w:t>2.46</w:t>
            </w:r>
          </w:p>
        </w:tc>
      </w:tr>
    </w:tbl>
    <w:p>
      <w:pPr>
        <w:spacing w:after="0" w:line="234" w:lineRule="exact"/>
        <w:rPr>
          <w:sz w:val="20"/>
          <w:szCs w:val="20"/>
          <w:color w:val="auto"/>
        </w:rPr>
      </w:pPr>
    </w:p>
    <w:p>
      <w:pPr>
        <w:ind w:left="5620" w:right="2720" w:hanging="5614"/>
        <w:spacing w:after="0" w:line="414" w:lineRule="auto"/>
        <w:tabs>
          <w:tab w:leader="none" w:pos="323"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The earnings per common share and earnings per common share - assuming dilution are the same in each period shown. </w:t>
      </w: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380365</wp:posOffset>
            </wp:positionV>
            <wp:extent cx="7279640" cy="20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Financial Instruments and Derivatives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b w:val="1"/>
          <w:bCs w:val="1"/>
          <w:color w:val="auto"/>
        </w:rPr>
        <w:t xml:space="preserve">Financial Instruments. </w:t>
      </w:r>
      <w:r>
        <w:rPr>
          <w:rFonts w:ascii="Arial" w:cs="Arial" w:eastAsia="Arial" w:hAnsi="Arial"/>
          <w:sz w:val="16"/>
          <w:szCs w:val="16"/>
          <w:color w:val="auto"/>
        </w:rPr>
        <w:t>The fair value of financial instruments is determined by reference to observable market data and other valuation techniques as appropriate. T</w:t>
      </w:r>
      <w:r>
        <w:rPr>
          <w:rFonts w:ascii="Arial" w:cs="Arial" w:eastAsia="Arial" w:hAnsi="Arial"/>
          <w:sz w:val="16"/>
          <w:szCs w:val="16"/>
          <w:b w:val="1"/>
          <w:bCs w:val="1"/>
          <w:color w:val="auto"/>
        </w:rPr>
        <w:t xml:space="preserve"> </w:t>
      </w:r>
      <w:r>
        <w:rPr>
          <w:rFonts w:ascii="Arial" w:cs="Arial" w:eastAsia="Arial" w:hAnsi="Arial"/>
          <w:sz w:val="16"/>
          <w:szCs w:val="16"/>
          <w:color w:val="auto"/>
        </w:rPr>
        <w:t>category of financial instruments where the difference between fair value and recorded book value is notable is long-term debt. The estimated fair value of total lo debt, excluding capitalized lease obligations, was $11.7 billion and $6.8 billion at December 31, 2014, and 2013, respectively, as compared to recorded book values o billion and $6.5 billion at December 31, 2014, and 2013, respectively. The increase in the estimated fair value and book value of long-term debt reflects the Corpo issuance of $5,500 million of long-term debt in the first quarter of 2014.</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fair value of long-term debt by hierarchy level at December 31, 2014, is: Level 1 $11,036 million; Level 2 $561 million; and Level 3 $63 million.</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5"/>
          <w:szCs w:val="15"/>
          <w:b w:val="1"/>
          <w:bCs w:val="1"/>
          <w:color w:val="auto"/>
        </w:rPr>
        <w:t xml:space="preserve">Derivative Instruments. </w:t>
      </w:r>
      <w:r>
        <w:rPr>
          <w:rFonts w:ascii="Arial" w:cs="Arial" w:eastAsia="Arial" w:hAnsi="Arial"/>
          <w:sz w:val="15"/>
          <w:szCs w:val="15"/>
          <w:color w:val="auto"/>
        </w:rPr>
        <w:t>The Corporation’s size, strong capital structure, geographic diversity and the complementary nature of the Upstream, Downstream and C</w:t>
      </w:r>
      <w:r>
        <w:rPr>
          <w:rFonts w:ascii="Arial" w:cs="Arial" w:eastAsia="Arial" w:hAnsi="Arial"/>
          <w:sz w:val="15"/>
          <w:szCs w:val="15"/>
          <w:b w:val="1"/>
          <w:bCs w:val="1"/>
          <w:color w:val="auto"/>
        </w:rPr>
        <w:t xml:space="preserve"> </w:t>
      </w:r>
      <w:r>
        <w:rPr>
          <w:rFonts w:ascii="Arial" w:cs="Arial" w:eastAsia="Arial" w:hAnsi="Arial"/>
          <w:sz w:val="15"/>
          <w:szCs w:val="15"/>
          <w:color w:val="auto"/>
        </w:rPr>
        <w:t>businesses reduce the Corporation’s enterprise-wide risk from changes in interest rates, currency rates and commodity prices. As a result, the Corporation makes lim of derivatives to mitigate the impact of such changes. The Corporation does not engage in speculative derivative activities or derivative trading activities nor doe derivatives with leveraged features. When the Corporation does enter into derivative transactions, it is to offset exposures associated with interest rates, foreign c exchange rates and hydrocarbon prices that arise from existing assets, liabilities and forecasted transactions.</w:t>
      </w:r>
    </w:p>
    <w:p>
      <w:pPr>
        <w:spacing w:after="0" w:line="30" w:lineRule="exact"/>
        <w:rPr>
          <w:sz w:val="20"/>
          <w:szCs w:val="20"/>
          <w:color w:val="auto"/>
        </w:rPr>
      </w:pPr>
    </w:p>
    <w:p>
      <w:pPr>
        <w:jc w:val="both"/>
        <w:ind w:firstLine="200"/>
        <w:spacing w:after="0" w:line="347" w:lineRule="auto"/>
        <w:rPr>
          <w:sz w:val="20"/>
          <w:szCs w:val="20"/>
          <w:color w:val="auto"/>
        </w:rPr>
      </w:pPr>
      <w:r>
        <w:rPr>
          <w:rFonts w:ascii="Arial" w:cs="Arial" w:eastAsia="Arial" w:hAnsi="Arial"/>
          <w:sz w:val="14"/>
          <w:szCs w:val="14"/>
          <w:color w:val="auto"/>
        </w:rPr>
        <w:t>The estimated fair value of derivative instruments outstanding and recorded on the balance sheet was a net asset of $75 million at year-end 2014 and a net asse million at year-end 2013. Assets and liabilities associated with derivatives are usually recorded either in “Other current assets” or “Accounts payable and accrued liabil</w:t>
      </w:r>
    </w:p>
    <w:p>
      <w:pPr>
        <w:ind w:left="200"/>
        <w:spacing w:after="0"/>
        <w:rPr>
          <w:sz w:val="20"/>
          <w:szCs w:val="20"/>
          <w:color w:val="auto"/>
        </w:rPr>
      </w:pPr>
      <w:r>
        <w:rPr>
          <w:rFonts w:ascii="Arial" w:cs="Arial" w:eastAsia="Arial" w:hAnsi="Arial"/>
          <w:sz w:val="16"/>
          <w:szCs w:val="16"/>
          <w:color w:val="auto"/>
        </w:rPr>
        <w:t>The Corporation’s fair value measurement of its derivative instruments use either Level 1 or Level 2 inputs.</w:t>
      </w:r>
    </w:p>
    <w:p>
      <w:pPr>
        <w:spacing w:after="0" w:line="86" w:lineRule="exact"/>
        <w:rPr>
          <w:sz w:val="20"/>
          <w:szCs w:val="20"/>
          <w:color w:val="auto"/>
        </w:rPr>
      </w:pPr>
    </w:p>
    <w:p>
      <w:pPr>
        <w:jc w:val="both"/>
        <w:ind w:right="20" w:firstLine="200"/>
        <w:spacing w:after="0" w:line="347" w:lineRule="auto"/>
        <w:rPr>
          <w:sz w:val="20"/>
          <w:szCs w:val="20"/>
          <w:color w:val="auto"/>
        </w:rPr>
      </w:pPr>
      <w:r>
        <w:rPr>
          <w:rFonts w:ascii="Arial" w:cs="Arial" w:eastAsia="Arial" w:hAnsi="Arial"/>
          <w:sz w:val="14"/>
          <w:szCs w:val="14"/>
          <w:color w:val="auto"/>
        </w:rPr>
        <w:t>The Corporation recognized a before-tax gain or (loss) related to derivative instruments of $110 million, $(7) million and $(23) million during 2014, 2013 an respectively. Income statement effects associated with derivatives are usually recorded either in “Sales and other operating revenue” or “Crude oil and product purchas</w:t>
      </w:r>
    </w:p>
    <w:p>
      <w:pPr>
        <w:jc w:val="both"/>
        <w:ind w:right="20" w:firstLine="200"/>
        <w:spacing w:after="0" w:line="286" w:lineRule="auto"/>
        <w:rPr>
          <w:sz w:val="20"/>
          <w:szCs w:val="20"/>
          <w:color w:val="auto"/>
        </w:rPr>
      </w:pPr>
      <w:r>
        <w:rPr>
          <w:rFonts w:ascii="Arial" w:cs="Arial" w:eastAsia="Arial" w:hAnsi="Arial"/>
          <w:sz w:val="16"/>
          <w:szCs w:val="16"/>
          <w:color w:val="auto"/>
        </w:rPr>
        <w:t>The Corporation believes there are no material market or credit risks to the Corporation’s financial position, results of operations or liquidity as a result of the de activities described above.</w:t>
      </w:r>
    </w:p>
    <w:p>
      <w:pPr>
        <w:spacing w:after="0" w:line="52"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8" w:right="139" w:bottom="1440" w:gutter="0" w:footer="0" w:header="0"/>
        </w:sectPr>
      </w:pPr>
    </w:p>
    <w:bookmarkStart w:id="80" w:name="page81"/>
    <w:bookmarkEnd w:id="80"/>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14. Long-Term Debt</w:t>
      </w:r>
    </w:p>
    <w:p>
      <w:pPr>
        <w:spacing w:after="0" w:line="90" w:lineRule="exact"/>
        <w:rPr>
          <w:sz w:val="20"/>
          <w:szCs w:val="20"/>
          <w:color w:val="auto"/>
        </w:rPr>
      </w:pPr>
    </w:p>
    <w:p>
      <w:pPr>
        <w:jc w:val="both"/>
        <w:ind w:left="580"/>
        <w:spacing w:after="0" w:line="263" w:lineRule="auto"/>
        <w:rPr>
          <w:sz w:val="20"/>
          <w:szCs w:val="20"/>
          <w:color w:val="auto"/>
        </w:rPr>
      </w:pPr>
      <w:r>
        <w:rPr>
          <w:rFonts w:ascii="Arial" w:cs="Arial" w:eastAsia="Arial" w:hAnsi="Arial"/>
          <w:sz w:val="16"/>
          <w:szCs w:val="16"/>
          <w:color w:val="auto"/>
        </w:rPr>
        <w:t>At December 31, 2014, long-term debt consisted of $11,341 million due in U.S. dollars and $312 million representing the U.S. dollar equivalent at year-end exchange amounts payable in foreign currencies. These amounts exclude that portion of long-term debt, totaling $770 million, which matures within one year and is included in liabilities. The increase in the book value of long-term debt reflects the Corporation’s issuance of $5,500 million of long-term debt in the first quarter of 2014. The amo long-term debt maturing in each of the four years after December 31, 2015, in millions of dollars, are: 2016 – $537; 2017 – $2,993; 2018 – $872; and 2019 – $2, December 31, 2014, the Corporation’s unused long-term credit lines were $0.5 billion.</w:t>
      </w:r>
    </w:p>
    <w:p>
      <w:pPr>
        <w:spacing w:after="0" w:line="4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Summarized long-term debt at year-end 2014 and 2013 are shown in the table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820" w:type="dxa"/>
            <w:vAlign w:val="bottom"/>
          </w:tcPr>
          <w:p>
            <w:pPr>
              <w:jc w:val="right"/>
              <w:ind w:right="880"/>
              <w:spacing w:after="0"/>
              <w:rPr>
                <w:sz w:val="20"/>
                <w:szCs w:val="20"/>
                <w:color w:val="auto"/>
              </w:rPr>
            </w:pPr>
            <w:r>
              <w:rPr>
                <w:rFonts w:ascii="Arial" w:cs="Arial" w:eastAsia="Arial" w:hAnsi="Arial"/>
                <w:sz w:val="13"/>
                <w:szCs w:val="13"/>
                <w:b w:val="1"/>
                <w:bCs w:val="1"/>
                <w:color w:val="auto"/>
              </w:rPr>
              <w:t>2014</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2013</w:t>
            </w:r>
          </w:p>
        </w:tc>
        <w:tc>
          <w:tcPr>
            <w:tcW w:w="920" w:type="dxa"/>
            <w:vAlign w:val="bottom"/>
          </w:tcPr>
          <w:p>
            <w:pPr>
              <w:spacing w:after="0"/>
              <w:rPr>
                <w:sz w:val="14"/>
                <w:szCs w:val="14"/>
                <w:color w:val="auto"/>
              </w:rPr>
            </w:pPr>
          </w:p>
        </w:tc>
      </w:tr>
      <w:tr>
        <w:trPr>
          <w:trHeight w:val="23"/>
        </w:trPr>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r>
      <w:tr>
        <w:trPr>
          <w:trHeight w:val="165"/>
        </w:trPr>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i w:val="1"/>
                <w:iCs w:val="1"/>
                <w:color w:val="auto"/>
              </w:rPr>
              <w:t>(millions of dollars)</w:t>
            </w: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7"/>
        </w:trPr>
        <w:tc>
          <w:tcPr>
            <w:tcW w:w="1940" w:type="dxa"/>
            <w:vAlign w:val="bottom"/>
          </w:tcPr>
          <w:p>
            <w:pPr>
              <w:spacing w:after="0"/>
              <w:rPr>
                <w:sz w:val="17"/>
                <w:szCs w:val="17"/>
                <w:color w:val="auto"/>
              </w:rPr>
            </w:pPr>
          </w:p>
        </w:tc>
        <w:tc>
          <w:tcPr>
            <w:tcW w:w="6320" w:type="dxa"/>
            <w:vAlign w:val="bottom"/>
            <w:gridSpan w:val="2"/>
          </w:tcPr>
          <w:p>
            <w:pPr>
              <w:ind w:left="140"/>
              <w:spacing w:after="0"/>
              <w:rPr>
                <w:sz w:val="20"/>
                <w:szCs w:val="20"/>
                <w:color w:val="auto"/>
              </w:rPr>
            </w:pPr>
            <w:r>
              <w:rPr>
                <w:rFonts w:ascii="Arial" w:cs="Arial" w:eastAsia="Arial" w:hAnsi="Arial"/>
                <w:sz w:val="16"/>
                <w:szCs w:val="16"/>
                <w:color w:val="auto"/>
              </w:rPr>
              <w:t>Exxon Mobil Corporation</w:t>
            </w:r>
          </w:p>
        </w:tc>
        <w:tc>
          <w:tcPr>
            <w:tcW w:w="1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80" w:type="dxa"/>
            <w:vAlign w:val="bottom"/>
          </w:tcPr>
          <w:p>
            <w:pPr>
              <w:ind w:left="340"/>
              <w:spacing w:after="0"/>
              <w:rPr>
                <w:sz w:val="20"/>
                <w:szCs w:val="20"/>
                <w:color w:val="auto"/>
              </w:rPr>
            </w:pPr>
            <w:r>
              <w:rPr>
                <w:rFonts w:ascii="Arial" w:cs="Arial" w:eastAsia="Arial" w:hAnsi="Arial"/>
                <w:sz w:val="16"/>
                <w:szCs w:val="16"/>
                <w:color w:val="auto"/>
              </w:rPr>
              <w:t>0.921% notes due 2017</w:t>
            </w:r>
          </w:p>
        </w:tc>
        <w:tc>
          <w:tcPr>
            <w:tcW w:w="1820" w:type="dxa"/>
            <w:vAlign w:val="bottom"/>
          </w:tcPr>
          <w:p>
            <w:pPr>
              <w:jc w:val="right"/>
              <w:ind w:right="880"/>
              <w:spacing w:after="0"/>
              <w:rPr>
                <w:sz w:val="20"/>
                <w:szCs w:val="20"/>
                <w:color w:val="auto"/>
              </w:rPr>
            </w:pPr>
            <w:r>
              <w:rPr>
                <w:rFonts w:ascii="Arial" w:cs="Arial" w:eastAsia="Arial" w:hAnsi="Arial"/>
                <w:sz w:val="16"/>
                <w:szCs w:val="16"/>
                <w:color w:val="auto"/>
              </w:rPr>
              <w:t>1,500</w:t>
            </w: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7"/>
                <w:szCs w:val="17"/>
                <w:color w:val="auto"/>
              </w:rPr>
            </w:pPr>
          </w:p>
        </w:tc>
      </w:tr>
      <w:tr>
        <w:trPr>
          <w:trHeight w:val="196"/>
        </w:trPr>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80" w:type="dxa"/>
            <w:vAlign w:val="bottom"/>
          </w:tcPr>
          <w:p>
            <w:pPr>
              <w:ind w:left="340"/>
              <w:spacing w:after="0"/>
              <w:rPr>
                <w:sz w:val="20"/>
                <w:szCs w:val="20"/>
                <w:color w:val="auto"/>
              </w:rPr>
            </w:pPr>
            <w:r>
              <w:rPr>
                <w:rFonts w:ascii="Arial" w:cs="Arial" w:eastAsia="Arial" w:hAnsi="Arial"/>
                <w:sz w:val="16"/>
                <w:szCs w:val="16"/>
                <w:color w:val="auto"/>
              </w:rPr>
              <w:t xml:space="preserve">Floating-rate notes due 2017 </w:t>
            </w:r>
            <w:r>
              <w:rPr>
                <w:rFonts w:ascii="Arial" w:cs="Arial" w:eastAsia="Arial" w:hAnsi="Arial"/>
                <w:sz w:val="16"/>
                <w:szCs w:val="16"/>
                <w:i w:val="1"/>
                <w:iCs w:val="1"/>
                <w:color w:val="auto"/>
              </w:rPr>
              <w:t>(1)</w:t>
            </w:r>
          </w:p>
        </w:tc>
        <w:tc>
          <w:tcPr>
            <w:tcW w:w="1820" w:type="dxa"/>
            <w:vAlign w:val="bottom"/>
          </w:tcPr>
          <w:p>
            <w:pPr>
              <w:jc w:val="right"/>
              <w:ind w:right="880"/>
              <w:spacing w:after="0"/>
              <w:rPr>
                <w:sz w:val="20"/>
                <w:szCs w:val="20"/>
                <w:color w:val="auto"/>
              </w:rPr>
            </w:pPr>
            <w:r>
              <w:rPr>
                <w:rFonts w:ascii="Arial" w:cs="Arial" w:eastAsia="Arial" w:hAnsi="Arial"/>
                <w:sz w:val="16"/>
                <w:szCs w:val="16"/>
                <w:color w:val="auto"/>
              </w:rPr>
              <w:t>750</w:t>
            </w: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7"/>
                <w:szCs w:val="17"/>
                <w:color w:val="auto"/>
              </w:rPr>
            </w:pPr>
          </w:p>
        </w:tc>
      </w:tr>
      <w:tr>
        <w:trPr>
          <w:trHeight w:val="196"/>
        </w:trPr>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80" w:type="dxa"/>
            <w:vAlign w:val="bottom"/>
          </w:tcPr>
          <w:p>
            <w:pPr>
              <w:ind w:left="340"/>
              <w:spacing w:after="0"/>
              <w:rPr>
                <w:sz w:val="20"/>
                <w:szCs w:val="20"/>
                <w:color w:val="auto"/>
              </w:rPr>
            </w:pPr>
            <w:r>
              <w:rPr>
                <w:rFonts w:ascii="Arial" w:cs="Arial" w:eastAsia="Arial" w:hAnsi="Arial"/>
                <w:sz w:val="16"/>
                <w:szCs w:val="16"/>
                <w:color w:val="auto"/>
              </w:rPr>
              <w:t>1.819% notes due 2019</w:t>
            </w:r>
          </w:p>
        </w:tc>
        <w:tc>
          <w:tcPr>
            <w:tcW w:w="1820" w:type="dxa"/>
            <w:vAlign w:val="bottom"/>
          </w:tcPr>
          <w:p>
            <w:pPr>
              <w:jc w:val="right"/>
              <w:ind w:right="880"/>
              <w:spacing w:after="0"/>
              <w:rPr>
                <w:sz w:val="20"/>
                <w:szCs w:val="20"/>
                <w:color w:val="auto"/>
              </w:rPr>
            </w:pPr>
            <w:r>
              <w:rPr>
                <w:rFonts w:ascii="Arial" w:cs="Arial" w:eastAsia="Arial" w:hAnsi="Arial"/>
                <w:sz w:val="16"/>
                <w:szCs w:val="16"/>
                <w:color w:val="auto"/>
              </w:rPr>
              <w:t>1,750</w:t>
            </w: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7"/>
                <w:szCs w:val="17"/>
                <w:color w:val="auto"/>
              </w:rPr>
            </w:pPr>
          </w:p>
        </w:tc>
      </w:tr>
      <w:tr>
        <w:trPr>
          <w:trHeight w:val="196"/>
        </w:trPr>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80" w:type="dxa"/>
            <w:vAlign w:val="bottom"/>
          </w:tcPr>
          <w:p>
            <w:pPr>
              <w:ind w:left="340"/>
              <w:spacing w:after="0"/>
              <w:rPr>
                <w:sz w:val="20"/>
                <w:szCs w:val="20"/>
                <w:color w:val="auto"/>
              </w:rPr>
            </w:pPr>
            <w:r>
              <w:rPr>
                <w:rFonts w:ascii="Arial" w:cs="Arial" w:eastAsia="Arial" w:hAnsi="Arial"/>
                <w:sz w:val="16"/>
                <w:szCs w:val="16"/>
                <w:color w:val="auto"/>
              </w:rPr>
              <w:t xml:space="preserve">Floating-rate notes due 2019 </w:t>
            </w:r>
            <w:r>
              <w:rPr>
                <w:rFonts w:ascii="Arial" w:cs="Arial" w:eastAsia="Arial" w:hAnsi="Arial"/>
                <w:sz w:val="16"/>
                <w:szCs w:val="16"/>
                <w:i w:val="1"/>
                <w:iCs w:val="1"/>
                <w:color w:val="auto"/>
              </w:rPr>
              <w:t>(2)</w:t>
            </w:r>
          </w:p>
        </w:tc>
        <w:tc>
          <w:tcPr>
            <w:tcW w:w="1820" w:type="dxa"/>
            <w:vAlign w:val="bottom"/>
          </w:tcPr>
          <w:p>
            <w:pPr>
              <w:jc w:val="right"/>
              <w:ind w:right="880"/>
              <w:spacing w:after="0"/>
              <w:rPr>
                <w:sz w:val="20"/>
                <w:szCs w:val="20"/>
                <w:color w:val="auto"/>
              </w:rPr>
            </w:pPr>
            <w:r>
              <w:rPr>
                <w:rFonts w:ascii="Arial" w:cs="Arial" w:eastAsia="Arial" w:hAnsi="Arial"/>
                <w:sz w:val="16"/>
                <w:szCs w:val="16"/>
                <w:color w:val="auto"/>
              </w:rPr>
              <w:t>500</w:t>
            </w: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7"/>
                <w:szCs w:val="17"/>
                <w:color w:val="auto"/>
              </w:rPr>
            </w:pPr>
          </w:p>
        </w:tc>
      </w:tr>
      <w:tr>
        <w:trPr>
          <w:trHeight w:val="208"/>
        </w:trPr>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6"/>
                <w:szCs w:val="16"/>
                <w:color w:val="auto"/>
              </w:rPr>
              <w:t>3.176% notes due 2024</w:t>
            </w:r>
          </w:p>
        </w:tc>
        <w:tc>
          <w:tcPr>
            <w:tcW w:w="1820" w:type="dxa"/>
            <w:vAlign w:val="bottom"/>
          </w:tcPr>
          <w:p>
            <w:pPr>
              <w:jc w:val="right"/>
              <w:ind w:right="880"/>
              <w:spacing w:after="0"/>
              <w:rPr>
                <w:sz w:val="20"/>
                <w:szCs w:val="20"/>
                <w:color w:val="auto"/>
              </w:rPr>
            </w:pPr>
            <w:r>
              <w:rPr>
                <w:rFonts w:ascii="Arial" w:cs="Arial" w:eastAsia="Arial" w:hAnsi="Arial"/>
                <w:sz w:val="16"/>
                <w:szCs w:val="16"/>
                <w:color w:val="auto"/>
              </w:rPr>
              <w:t>1,000</w:t>
            </w: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r>
      <w:tr>
        <w:trPr>
          <w:trHeight w:val="381"/>
        </w:trPr>
        <w:tc>
          <w:tcPr>
            <w:tcW w:w="1940" w:type="dxa"/>
            <w:vAlign w:val="bottom"/>
          </w:tcPr>
          <w:p>
            <w:pPr>
              <w:spacing w:after="0"/>
              <w:rPr>
                <w:sz w:val="24"/>
                <w:szCs w:val="24"/>
                <w:color w:val="auto"/>
              </w:rPr>
            </w:pPr>
          </w:p>
        </w:tc>
        <w:tc>
          <w:tcPr>
            <w:tcW w:w="6320" w:type="dxa"/>
            <w:vAlign w:val="bottom"/>
            <w:gridSpan w:val="2"/>
          </w:tcPr>
          <w:p>
            <w:pPr>
              <w:ind w:left="140"/>
              <w:spacing w:after="0"/>
              <w:rPr>
                <w:sz w:val="20"/>
                <w:szCs w:val="20"/>
                <w:color w:val="auto"/>
              </w:rPr>
            </w:pPr>
            <w:r>
              <w:rPr>
                <w:rFonts w:ascii="Arial" w:cs="Arial" w:eastAsia="Arial" w:hAnsi="Arial"/>
                <w:sz w:val="16"/>
                <w:szCs w:val="16"/>
                <w:color w:val="auto"/>
              </w:rPr>
              <w:t xml:space="preserve">XTO Energy Inc. </w:t>
            </w:r>
            <w:r>
              <w:rPr>
                <w:rFonts w:ascii="Arial" w:cs="Arial" w:eastAsia="Arial" w:hAnsi="Arial"/>
                <w:sz w:val="14"/>
                <w:szCs w:val="14"/>
                <w:i w:val="1"/>
                <w:iCs w:val="1"/>
                <w:color w:val="auto"/>
              </w:rPr>
              <w:t>(3)</w:t>
            </w:r>
          </w:p>
        </w:tc>
        <w:tc>
          <w:tcPr>
            <w:tcW w:w="1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80" w:type="dxa"/>
            <w:vAlign w:val="bottom"/>
          </w:tcPr>
          <w:p>
            <w:pPr>
              <w:ind w:left="340"/>
              <w:spacing w:after="0"/>
              <w:rPr>
                <w:sz w:val="20"/>
                <w:szCs w:val="20"/>
                <w:color w:val="auto"/>
              </w:rPr>
            </w:pPr>
            <w:r>
              <w:rPr>
                <w:rFonts w:ascii="Arial" w:cs="Arial" w:eastAsia="Arial" w:hAnsi="Arial"/>
                <w:sz w:val="16"/>
                <w:szCs w:val="16"/>
                <w:color w:val="auto"/>
              </w:rPr>
              <w:t>5.000% senior notes due 2015</w:t>
            </w:r>
          </w:p>
        </w:tc>
        <w:tc>
          <w:tcPr>
            <w:tcW w:w="1820" w:type="dxa"/>
            <w:vAlign w:val="bottom"/>
          </w:tcPr>
          <w:p>
            <w:pPr>
              <w:jc w:val="right"/>
              <w:ind w:right="96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132</w:t>
            </w:r>
          </w:p>
        </w:tc>
        <w:tc>
          <w:tcPr>
            <w:tcW w:w="920" w:type="dxa"/>
            <w:vAlign w:val="bottom"/>
          </w:tcPr>
          <w:p>
            <w:pPr>
              <w:spacing w:after="0"/>
              <w:rPr>
                <w:sz w:val="17"/>
                <w:szCs w:val="17"/>
                <w:color w:val="auto"/>
              </w:rPr>
            </w:pPr>
          </w:p>
        </w:tc>
      </w:tr>
      <w:tr>
        <w:trPr>
          <w:trHeight w:val="196"/>
        </w:trPr>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80" w:type="dxa"/>
            <w:vAlign w:val="bottom"/>
          </w:tcPr>
          <w:p>
            <w:pPr>
              <w:ind w:left="340"/>
              <w:spacing w:after="0"/>
              <w:rPr>
                <w:sz w:val="20"/>
                <w:szCs w:val="20"/>
                <w:color w:val="auto"/>
              </w:rPr>
            </w:pPr>
            <w:r>
              <w:rPr>
                <w:rFonts w:ascii="Arial" w:cs="Arial" w:eastAsia="Arial" w:hAnsi="Arial"/>
                <w:sz w:val="16"/>
                <w:szCs w:val="16"/>
                <w:color w:val="auto"/>
              </w:rPr>
              <w:t>5.300% senior notes due 2015</w:t>
            </w:r>
          </w:p>
        </w:tc>
        <w:tc>
          <w:tcPr>
            <w:tcW w:w="1820" w:type="dxa"/>
            <w:vAlign w:val="bottom"/>
          </w:tcPr>
          <w:p>
            <w:pPr>
              <w:jc w:val="right"/>
              <w:ind w:right="96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243</w:t>
            </w:r>
          </w:p>
        </w:tc>
        <w:tc>
          <w:tcPr>
            <w:tcW w:w="920" w:type="dxa"/>
            <w:vAlign w:val="bottom"/>
          </w:tcPr>
          <w:p>
            <w:pPr>
              <w:spacing w:after="0"/>
              <w:rPr>
                <w:sz w:val="17"/>
                <w:szCs w:val="17"/>
                <w:color w:val="auto"/>
              </w:rPr>
            </w:pPr>
          </w:p>
        </w:tc>
      </w:tr>
      <w:tr>
        <w:trPr>
          <w:trHeight w:val="196"/>
        </w:trPr>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80" w:type="dxa"/>
            <w:vAlign w:val="bottom"/>
          </w:tcPr>
          <w:p>
            <w:pPr>
              <w:ind w:left="340"/>
              <w:spacing w:after="0"/>
              <w:rPr>
                <w:sz w:val="20"/>
                <w:szCs w:val="20"/>
                <w:color w:val="auto"/>
              </w:rPr>
            </w:pPr>
            <w:r>
              <w:rPr>
                <w:rFonts w:ascii="Arial" w:cs="Arial" w:eastAsia="Arial" w:hAnsi="Arial"/>
                <w:sz w:val="16"/>
                <w:szCs w:val="16"/>
                <w:color w:val="auto"/>
              </w:rPr>
              <w:t>5.650% senior notes due 2016</w:t>
            </w:r>
          </w:p>
        </w:tc>
        <w:tc>
          <w:tcPr>
            <w:tcW w:w="1820" w:type="dxa"/>
            <w:vAlign w:val="bottom"/>
          </w:tcPr>
          <w:p>
            <w:pPr>
              <w:jc w:val="right"/>
              <w:ind w:right="880"/>
              <w:spacing w:after="0"/>
              <w:rPr>
                <w:sz w:val="20"/>
                <w:szCs w:val="20"/>
                <w:color w:val="auto"/>
              </w:rPr>
            </w:pPr>
            <w:r>
              <w:rPr>
                <w:rFonts w:ascii="Arial" w:cs="Arial" w:eastAsia="Arial" w:hAnsi="Arial"/>
                <w:sz w:val="16"/>
                <w:szCs w:val="16"/>
                <w:color w:val="auto"/>
              </w:rPr>
              <w:t>207</w:t>
            </w:r>
          </w:p>
        </w:tc>
        <w:tc>
          <w:tcPr>
            <w:tcW w:w="460" w:type="dxa"/>
            <w:vAlign w:val="bottom"/>
          </w:tcPr>
          <w:p>
            <w:pPr>
              <w:jc w:val="right"/>
              <w:spacing w:after="0"/>
              <w:rPr>
                <w:sz w:val="20"/>
                <w:szCs w:val="20"/>
                <w:color w:val="auto"/>
              </w:rPr>
            </w:pPr>
            <w:r>
              <w:rPr>
                <w:rFonts w:ascii="Arial" w:cs="Arial" w:eastAsia="Arial" w:hAnsi="Arial"/>
                <w:sz w:val="16"/>
                <w:szCs w:val="16"/>
                <w:color w:val="auto"/>
              </w:rPr>
              <w:t>212</w:t>
            </w:r>
          </w:p>
        </w:tc>
        <w:tc>
          <w:tcPr>
            <w:tcW w:w="920" w:type="dxa"/>
            <w:vAlign w:val="bottom"/>
          </w:tcPr>
          <w:p>
            <w:pPr>
              <w:spacing w:after="0"/>
              <w:rPr>
                <w:sz w:val="17"/>
                <w:szCs w:val="17"/>
                <w:color w:val="auto"/>
              </w:rPr>
            </w:pPr>
          </w:p>
        </w:tc>
      </w:tr>
      <w:tr>
        <w:trPr>
          <w:trHeight w:val="196"/>
        </w:trPr>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80" w:type="dxa"/>
            <w:vAlign w:val="bottom"/>
          </w:tcPr>
          <w:p>
            <w:pPr>
              <w:ind w:left="340"/>
              <w:spacing w:after="0"/>
              <w:rPr>
                <w:sz w:val="20"/>
                <w:szCs w:val="20"/>
                <w:color w:val="auto"/>
              </w:rPr>
            </w:pPr>
            <w:r>
              <w:rPr>
                <w:rFonts w:ascii="Arial" w:cs="Arial" w:eastAsia="Arial" w:hAnsi="Arial"/>
                <w:sz w:val="16"/>
                <w:szCs w:val="16"/>
                <w:color w:val="auto"/>
              </w:rPr>
              <w:t>6.250% senior notes due 2017</w:t>
            </w:r>
          </w:p>
        </w:tc>
        <w:tc>
          <w:tcPr>
            <w:tcW w:w="1820" w:type="dxa"/>
            <w:vAlign w:val="bottom"/>
          </w:tcPr>
          <w:p>
            <w:pPr>
              <w:jc w:val="right"/>
              <w:ind w:right="880"/>
              <w:spacing w:after="0"/>
              <w:rPr>
                <w:sz w:val="20"/>
                <w:szCs w:val="20"/>
                <w:color w:val="auto"/>
              </w:rPr>
            </w:pPr>
            <w:r>
              <w:rPr>
                <w:rFonts w:ascii="Arial" w:cs="Arial" w:eastAsia="Arial" w:hAnsi="Arial"/>
                <w:sz w:val="16"/>
                <w:szCs w:val="16"/>
                <w:color w:val="auto"/>
              </w:rPr>
              <w:t>477</w:t>
            </w:r>
          </w:p>
        </w:tc>
        <w:tc>
          <w:tcPr>
            <w:tcW w:w="460" w:type="dxa"/>
            <w:vAlign w:val="bottom"/>
          </w:tcPr>
          <w:p>
            <w:pPr>
              <w:jc w:val="right"/>
              <w:spacing w:after="0"/>
              <w:rPr>
                <w:sz w:val="20"/>
                <w:szCs w:val="20"/>
                <w:color w:val="auto"/>
              </w:rPr>
            </w:pPr>
            <w:r>
              <w:rPr>
                <w:rFonts w:ascii="Arial" w:cs="Arial" w:eastAsia="Arial" w:hAnsi="Arial"/>
                <w:sz w:val="16"/>
                <w:szCs w:val="16"/>
                <w:color w:val="auto"/>
              </w:rPr>
              <w:t>489</w:t>
            </w:r>
          </w:p>
        </w:tc>
        <w:tc>
          <w:tcPr>
            <w:tcW w:w="920" w:type="dxa"/>
            <w:vAlign w:val="bottom"/>
          </w:tcPr>
          <w:p>
            <w:pPr>
              <w:spacing w:after="0"/>
              <w:rPr>
                <w:sz w:val="17"/>
                <w:szCs w:val="17"/>
                <w:color w:val="auto"/>
              </w:rPr>
            </w:pPr>
          </w:p>
        </w:tc>
      </w:tr>
      <w:tr>
        <w:trPr>
          <w:trHeight w:val="196"/>
        </w:trPr>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80" w:type="dxa"/>
            <w:vAlign w:val="bottom"/>
          </w:tcPr>
          <w:p>
            <w:pPr>
              <w:ind w:left="340"/>
              <w:spacing w:after="0"/>
              <w:rPr>
                <w:sz w:val="20"/>
                <w:szCs w:val="20"/>
                <w:color w:val="auto"/>
              </w:rPr>
            </w:pPr>
            <w:r>
              <w:rPr>
                <w:rFonts w:ascii="Arial" w:cs="Arial" w:eastAsia="Arial" w:hAnsi="Arial"/>
                <w:sz w:val="16"/>
                <w:szCs w:val="16"/>
                <w:color w:val="auto"/>
              </w:rPr>
              <w:t>5.500% senior notes due 2018</w:t>
            </w:r>
          </w:p>
        </w:tc>
        <w:tc>
          <w:tcPr>
            <w:tcW w:w="1820" w:type="dxa"/>
            <w:vAlign w:val="bottom"/>
          </w:tcPr>
          <w:p>
            <w:pPr>
              <w:jc w:val="right"/>
              <w:ind w:right="880"/>
              <w:spacing w:after="0"/>
              <w:rPr>
                <w:sz w:val="20"/>
                <w:szCs w:val="20"/>
                <w:color w:val="auto"/>
              </w:rPr>
            </w:pPr>
            <w:r>
              <w:rPr>
                <w:rFonts w:ascii="Arial" w:cs="Arial" w:eastAsia="Arial" w:hAnsi="Arial"/>
                <w:sz w:val="16"/>
                <w:szCs w:val="16"/>
                <w:color w:val="auto"/>
              </w:rPr>
              <w:t>383</w:t>
            </w:r>
          </w:p>
        </w:tc>
        <w:tc>
          <w:tcPr>
            <w:tcW w:w="460" w:type="dxa"/>
            <w:vAlign w:val="bottom"/>
          </w:tcPr>
          <w:p>
            <w:pPr>
              <w:jc w:val="right"/>
              <w:spacing w:after="0"/>
              <w:rPr>
                <w:sz w:val="20"/>
                <w:szCs w:val="20"/>
                <w:color w:val="auto"/>
              </w:rPr>
            </w:pPr>
            <w:r>
              <w:rPr>
                <w:rFonts w:ascii="Arial" w:cs="Arial" w:eastAsia="Arial" w:hAnsi="Arial"/>
                <w:sz w:val="16"/>
                <w:szCs w:val="16"/>
                <w:color w:val="auto"/>
              </w:rPr>
              <w:t>389</w:t>
            </w:r>
          </w:p>
        </w:tc>
        <w:tc>
          <w:tcPr>
            <w:tcW w:w="920" w:type="dxa"/>
            <w:vAlign w:val="bottom"/>
          </w:tcPr>
          <w:p>
            <w:pPr>
              <w:spacing w:after="0"/>
              <w:rPr>
                <w:sz w:val="17"/>
                <w:szCs w:val="17"/>
                <w:color w:val="auto"/>
              </w:rPr>
            </w:pPr>
          </w:p>
        </w:tc>
      </w:tr>
      <w:tr>
        <w:trPr>
          <w:trHeight w:val="196"/>
        </w:trPr>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80" w:type="dxa"/>
            <w:vAlign w:val="bottom"/>
          </w:tcPr>
          <w:p>
            <w:pPr>
              <w:ind w:left="340"/>
              <w:spacing w:after="0"/>
              <w:rPr>
                <w:sz w:val="20"/>
                <w:szCs w:val="20"/>
                <w:color w:val="auto"/>
              </w:rPr>
            </w:pPr>
            <w:r>
              <w:rPr>
                <w:rFonts w:ascii="Arial" w:cs="Arial" w:eastAsia="Arial" w:hAnsi="Arial"/>
                <w:sz w:val="16"/>
                <w:szCs w:val="16"/>
                <w:color w:val="auto"/>
              </w:rPr>
              <w:t>6.500% senior notes due 2018</w:t>
            </w:r>
          </w:p>
        </w:tc>
        <w:tc>
          <w:tcPr>
            <w:tcW w:w="1820" w:type="dxa"/>
            <w:vAlign w:val="bottom"/>
          </w:tcPr>
          <w:p>
            <w:pPr>
              <w:jc w:val="right"/>
              <w:ind w:right="880"/>
              <w:spacing w:after="0"/>
              <w:rPr>
                <w:sz w:val="20"/>
                <w:szCs w:val="20"/>
                <w:color w:val="auto"/>
              </w:rPr>
            </w:pPr>
            <w:r>
              <w:rPr>
                <w:rFonts w:ascii="Arial" w:cs="Arial" w:eastAsia="Arial" w:hAnsi="Arial"/>
                <w:sz w:val="16"/>
                <w:szCs w:val="16"/>
                <w:color w:val="auto"/>
              </w:rPr>
              <w:t>474</w:t>
            </w:r>
          </w:p>
        </w:tc>
        <w:tc>
          <w:tcPr>
            <w:tcW w:w="460" w:type="dxa"/>
            <w:vAlign w:val="bottom"/>
          </w:tcPr>
          <w:p>
            <w:pPr>
              <w:jc w:val="right"/>
              <w:spacing w:after="0"/>
              <w:rPr>
                <w:sz w:val="20"/>
                <w:szCs w:val="20"/>
                <w:color w:val="auto"/>
              </w:rPr>
            </w:pPr>
            <w:r>
              <w:rPr>
                <w:rFonts w:ascii="Arial" w:cs="Arial" w:eastAsia="Arial" w:hAnsi="Arial"/>
                <w:sz w:val="16"/>
                <w:szCs w:val="16"/>
                <w:color w:val="auto"/>
              </w:rPr>
              <w:t>485</w:t>
            </w:r>
          </w:p>
        </w:tc>
        <w:tc>
          <w:tcPr>
            <w:tcW w:w="920" w:type="dxa"/>
            <w:vAlign w:val="bottom"/>
          </w:tcPr>
          <w:p>
            <w:pPr>
              <w:spacing w:after="0"/>
              <w:rPr>
                <w:sz w:val="17"/>
                <w:szCs w:val="17"/>
                <w:color w:val="auto"/>
              </w:rPr>
            </w:pPr>
          </w:p>
        </w:tc>
      </w:tr>
      <w:tr>
        <w:trPr>
          <w:trHeight w:val="196"/>
        </w:trPr>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80" w:type="dxa"/>
            <w:vAlign w:val="bottom"/>
          </w:tcPr>
          <w:p>
            <w:pPr>
              <w:ind w:left="340"/>
              <w:spacing w:after="0"/>
              <w:rPr>
                <w:sz w:val="20"/>
                <w:szCs w:val="20"/>
                <w:color w:val="auto"/>
              </w:rPr>
            </w:pPr>
            <w:r>
              <w:rPr>
                <w:rFonts w:ascii="Arial" w:cs="Arial" w:eastAsia="Arial" w:hAnsi="Arial"/>
                <w:sz w:val="16"/>
                <w:szCs w:val="16"/>
                <w:color w:val="auto"/>
              </w:rPr>
              <w:t>6.100% senior notes due 2036</w:t>
            </w:r>
          </w:p>
        </w:tc>
        <w:tc>
          <w:tcPr>
            <w:tcW w:w="1820" w:type="dxa"/>
            <w:vAlign w:val="bottom"/>
          </w:tcPr>
          <w:p>
            <w:pPr>
              <w:jc w:val="right"/>
              <w:ind w:right="880"/>
              <w:spacing w:after="0"/>
              <w:rPr>
                <w:sz w:val="20"/>
                <w:szCs w:val="20"/>
                <w:color w:val="auto"/>
              </w:rPr>
            </w:pPr>
            <w:r>
              <w:rPr>
                <w:rFonts w:ascii="Arial" w:cs="Arial" w:eastAsia="Arial" w:hAnsi="Arial"/>
                <w:sz w:val="16"/>
                <w:szCs w:val="16"/>
                <w:color w:val="auto"/>
              </w:rPr>
              <w:t>199</w:t>
            </w:r>
          </w:p>
        </w:tc>
        <w:tc>
          <w:tcPr>
            <w:tcW w:w="460" w:type="dxa"/>
            <w:vAlign w:val="bottom"/>
          </w:tcPr>
          <w:p>
            <w:pPr>
              <w:jc w:val="right"/>
              <w:spacing w:after="0"/>
              <w:rPr>
                <w:sz w:val="20"/>
                <w:szCs w:val="20"/>
                <w:color w:val="auto"/>
              </w:rPr>
            </w:pPr>
            <w:r>
              <w:rPr>
                <w:rFonts w:ascii="Arial" w:cs="Arial" w:eastAsia="Arial" w:hAnsi="Arial"/>
                <w:sz w:val="16"/>
                <w:szCs w:val="16"/>
                <w:color w:val="auto"/>
              </w:rPr>
              <w:t>200</w:t>
            </w:r>
          </w:p>
        </w:tc>
        <w:tc>
          <w:tcPr>
            <w:tcW w:w="920" w:type="dxa"/>
            <w:vAlign w:val="bottom"/>
          </w:tcPr>
          <w:p>
            <w:pPr>
              <w:spacing w:after="0"/>
              <w:rPr>
                <w:sz w:val="17"/>
                <w:szCs w:val="17"/>
                <w:color w:val="auto"/>
              </w:rPr>
            </w:pPr>
          </w:p>
        </w:tc>
      </w:tr>
      <w:tr>
        <w:trPr>
          <w:trHeight w:val="196"/>
        </w:trPr>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80" w:type="dxa"/>
            <w:vAlign w:val="bottom"/>
          </w:tcPr>
          <w:p>
            <w:pPr>
              <w:ind w:left="340"/>
              <w:spacing w:after="0"/>
              <w:rPr>
                <w:sz w:val="20"/>
                <w:szCs w:val="20"/>
                <w:color w:val="auto"/>
              </w:rPr>
            </w:pPr>
            <w:r>
              <w:rPr>
                <w:rFonts w:ascii="Arial" w:cs="Arial" w:eastAsia="Arial" w:hAnsi="Arial"/>
                <w:sz w:val="16"/>
                <w:szCs w:val="16"/>
                <w:color w:val="auto"/>
              </w:rPr>
              <w:t>6.750% senior notes due 2037</w:t>
            </w:r>
          </w:p>
        </w:tc>
        <w:tc>
          <w:tcPr>
            <w:tcW w:w="1820" w:type="dxa"/>
            <w:vAlign w:val="bottom"/>
          </w:tcPr>
          <w:p>
            <w:pPr>
              <w:jc w:val="right"/>
              <w:ind w:right="880"/>
              <w:spacing w:after="0"/>
              <w:rPr>
                <w:sz w:val="20"/>
                <w:szCs w:val="20"/>
                <w:color w:val="auto"/>
              </w:rPr>
            </w:pPr>
            <w:r>
              <w:rPr>
                <w:rFonts w:ascii="Arial" w:cs="Arial" w:eastAsia="Arial" w:hAnsi="Arial"/>
                <w:sz w:val="16"/>
                <w:szCs w:val="16"/>
                <w:color w:val="auto"/>
              </w:rPr>
              <w:t>309</w:t>
            </w:r>
          </w:p>
        </w:tc>
        <w:tc>
          <w:tcPr>
            <w:tcW w:w="460" w:type="dxa"/>
            <w:vAlign w:val="bottom"/>
          </w:tcPr>
          <w:p>
            <w:pPr>
              <w:jc w:val="right"/>
              <w:spacing w:after="0"/>
              <w:rPr>
                <w:sz w:val="20"/>
                <w:szCs w:val="20"/>
                <w:color w:val="auto"/>
              </w:rPr>
            </w:pPr>
            <w:r>
              <w:rPr>
                <w:rFonts w:ascii="Arial" w:cs="Arial" w:eastAsia="Arial" w:hAnsi="Arial"/>
                <w:sz w:val="16"/>
                <w:szCs w:val="16"/>
                <w:color w:val="auto"/>
              </w:rPr>
              <w:t>312</w:t>
            </w:r>
          </w:p>
        </w:tc>
        <w:tc>
          <w:tcPr>
            <w:tcW w:w="920" w:type="dxa"/>
            <w:vAlign w:val="bottom"/>
          </w:tcPr>
          <w:p>
            <w:pPr>
              <w:spacing w:after="0"/>
              <w:rPr>
                <w:sz w:val="17"/>
                <w:szCs w:val="17"/>
                <w:color w:val="auto"/>
              </w:rPr>
            </w:pPr>
          </w:p>
        </w:tc>
      </w:tr>
      <w:tr>
        <w:trPr>
          <w:trHeight w:val="208"/>
        </w:trPr>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6"/>
                <w:szCs w:val="16"/>
                <w:color w:val="auto"/>
              </w:rPr>
              <w:t>6.375% senior notes due 2038</w:t>
            </w:r>
          </w:p>
        </w:tc>
        <w:tc>
          <w:tcPr>
            <w:tcW w:w="1820" w:type="dxa"/>
            <w:vAlign w:val="bottom"/>
          </w:tcPr>
          <w:p>
            <w:pPr>
              <w:jc w:val="right"/>
              <w:ind w:right="880"/>
              <w:spacing w:after="0"/>
              <w:rPr>
                <w:sz w:val="20"/>
                <w:szCs w:val="20"/>
                <w:color w:val="auto"/>
              </w:rPr>
            </w:pPr>
            <w:r>
              <w:rPr>
                <w:rFonts w:ascii="Arial" w:cs="Arial" w:eastAsia="Arial" w:hAnsi="Arial"/>
                <w:sz w:val="16"/>
                <w:szCs w:val="16"/>
                <w:color w:val="auto"/>
              </w:rPr>
              <w:t>236</w:t>
            </w:r>
          </w:p>
        </w:tc>
        <w:tc>
          <w:tcPr>
            <w:tcW w:w="460" w:type="dxa"/>
            <w:vAlign w:val="bottom"/>
          </w:tcPr>
          <w:p>
            <w:pPr>
              <w:jc w:val="right"/>
              <w:spacing w:after="0"/>
              <w:rPr>
                <w:sz w:val="20"/>
                <w:szCs w:val="20"/>
                <w:color w:val="auto"/>
              </w:rPr>
            </w:pPr>
            <w:r>
              <w:rPr>
                <w:rFonts w:ascii="Arial" w:cs="Arial" w:eastAsia="Arial" w:hAnsi="Arial"/>
                <w:sz w:val="16"/>
                <w:szCs w:val="16"/>
                <w:color w:val="auto"/>
              </w:rPr>
              <w:t>238</w:t>
            </w:r>
          </w:p>
        </w:tc>
        <w:tc>
          <w:tcPr>
            <w:tcW w:w="920" w:type="dxa"/>
            <w:vAlign w:val="bottom"/>
          </w:tcPr>
          <w:p>
            <w:pPr>
              <w:spacing w:after="0"/>
              <w:rPr>
                <w:sz w:val="18"/>
                <w:szCs w:val="18"/>
                <w:color w:val="auto"/>
              </w:rPr>
            </w:pPr>
          </w:p>
        </w:tc>
      </w:tr>
      <w:tr>
        <w:trPr>
          <w:trHeight w:val="381"/>
        </w:trPr>
        <w:tc>
          <w:tcPr>
            <w:tcW w:w="1940" w:type="dxa"/>
            <w:vAlign w:val="bottom"/>
          </w:tcPr>
          <w:p>
            <w:pPr>
              <w:spacing w:after="0"/>
              <w:rPr>
                <w:sz w:val="24"/>
                <w:szCs w:val="24"/>
                <w:color w:val="auto"/>
              </w:rPr>
            </w:pPr>
          </w:p>
        </w:tc>
        <w:tc>
          <w:tcPr>
            <w:tcW w:w="6320" w:type="dxa"/>
            <w:vAlign w:val="bottom"/>
            <w:gridSpan w:val="2"/>
          </w:tcPr>
          <w:p>
            <w:pPr>
              <w:ind w:left="140"/>
              <w:spacing w:after="0"/>
              <w:rPr>
                <w:sz w:val="20"/>
                <w:szCs w:val="20"/>
                <w:color w:val="auto"/>
              </w:rPr>
            </w:pPr>
            <w:r>
              <w:rPr>
                <w:rFonts w:ascii="Arial" w:cs="Arial" w:eastAsia="Arial" w:hAnsi="Arial"/>
                <w:sz w:val="16"/>
                <w:szCs w:val="16"/>
                <w:color w:val="auto"/>
              </w:rPr>
              <w:t xml:space="preserve">Mobil Producing Nigeria Unlimited </w:t>
            </w:r>
            <w:r>
              <w:rPr>
                <w:rFonts w:ascii="Arial" w:cs="Arial" w:eastAsia="Arial" w:hAnsi="Arial"/>
                <w:sz w:val="14"/>
                <w:szCs w:val="14"/>
                <w:i w:val="1"/>
                <w:iCs w:val="1"/>
                <w:color w:val="auto"/>
              </w:rPr>
              <w:t>(4)</w:t>
            </w:r>
          </w:p>
        </w:tc>
        <w:tc>
          <w:tcPr>
            <w:tcW w:w="1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8"/>
        </w:trPr>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6"/>
                <w:szCs w:val="16"/>
                <w:color w:val="auto"/>
              </w:rPr>
              <w:t>Variable notes due 2015-2019</w:t>
            </w:r>
          </w:p>
        </w:tc>
        <w:tc>
          <w:tcPr>
            <w:tcW w:w="1820" w:type="dxa"/>
            <w:vAlign w:val="bottom"/>
          </w:tcPr>
          <w:p>
            <w:pPr>
              <w:jc w:val="right"/>
              <w:ind w:right="880"/>
              <w:spacing w:after="0"/>
              <w:rPr>
                <w:sz w:val="20"/>
                <w:szCs w:val="20"/>
                <w:color w:val="auto"/>
              </w:rPr>
            </w:pPr>
            <w:r>
              <w:rPr>
                <w:rFonts w:ascii="Arial" w:cs="Arial" w:eastAsia="Arial" w:hAnsi="Arial"/>
                <w:sz w:val="16"/>
                <w:szCs w:val="16"/>
                <w:color w:val="auto"/>
              </w:rPr>
              <w:t>399</w:t>
            </w:r>
          </w:p>
        </w:tc>
        <w:tc>
          <w:tcPr>
            <w:tcW w:w="460" w:type="dxa"/>
            <w:vAlign w:val="bottom"/>
          </w:tcPr>
          <w:p>
            <w:pPr>
              <w:jc w:val="right"/>
              <w:spacing w:after="0"/>
              <w:rPr>
                <w:sz w:val="20"/>
                <w:szCs w:val="20"/>
                <w:color w:val="auto"/>
              </w:rPr>
            </w:pPr>
            <w:r>
              <w:rPr>
                <w:rFonts w:ascii="Arial" w:cs="Arial" w:eastAsia="Arial" w:hAnsi="Arial"/>
                <w:sz w:val="16"/>
                <w:szCs w:val="16"/>
                <w:color w:val="auto"/>
              </w:rPr>
              <w:t>742</w:t>
            </w:r>
          </w:p>
        </w:tc>
        <w:tc>
          <w:tcPr>
            <w:tcW w:w="920" w:type="dxa"/>
            <w:vAlign w:val="bottom"/>
          </w:tcPr>
          <w:p>
            <w:pPr>
              <w:spacing w:after="0"/>
              <w:rPr>
                <w:sz w:val="18"/>
                <w:szCs w:val="18"/>
                <w:color w:val="auto"/>
              </w:rPr>
            </w:pPr>
          </w:p>
        </w:tc>
      </w:tr>
      <w:tr>
        <w:trPr>
          <w:trHeight w:val="381"/>
        </w:trPr>
        <w:tc>
          <w:tcPr>
            <w:tcW w:w="1940" w:type="dxa"/>
            <w:vAlign w:val="bottom"/>
          </w:tcPr>
          <w:p>
            <w:pPr>
              <w:spacing w:after="0"/>
              <w:rPr>
                <w:sz w:val="24"/>
                <w:szCs w:val="24"/>
                <w:color w:val="auto"/>
              </w:rPr>
            </w:pPr>
          </w:p>
        </w:tc>
        <w:tc>
          <w:tcPr>
            <w:tcW w:w="6320" w:type="dxa"/>
            <w:vAlign w:val="bottom"/>
            <w:gridSpan w:val="2"/>
          </w:tcPr>
          <w:p>
            <w:pPr>
              <w:ind w:left="140"/>
              <w:spacing w:after="0"/>
              <w:rPr>
                <w:sz w:val="20"/>
                <w:szCs w:val="20"/>
                <w:color w:val="auto"/>
              </w:rPr>
            </w:pPr>
            <w:r>
              <w:rPr>
                <w:rFonts w:ascii="Arial" w:cs="Arial" w:eastAsia="Arial" w:hAnsi="Arial"/>
                <w:sz w:val="16"/>
                <w:szCs w:val="16"/>
                <w:color w:val="auto"/>
              </w:rPr>
              <w:t xml:space="preserve">Esso (Thailand) Public Company Ltd. </w:t>
            </w:r>
            <w:r>
              <w:rPr>
                <w:rFonts w:ascii="Arial" w:cs="Arial" w:eastAsia="Arial" w:hAnsi="Arial"/>
                <w:sz w:val="14"/>
                <w:szCs w:val="14"/>
                <w:i w:val="1"/>
                <w:iCs w:val="1"/>
                <w:color w:val="auto"/>
              </w:rPr>
              <w:t>(5)</w:t>
            </w:r>
          </w:p>
        </w:tc>
        <w:tc>
          <w:tcPr>
            <w:tcW w:w="1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8"/>
        </w:trPr>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6"/>
                <w:szCs w:val="16"/>
                <w:color w:val="auto"/>
              </w:rPr>
              <w:t>Variable notes due 2015-2019</w:t>
            </w:r>
          </w:p>
        </w:tc>
        <w:tc>
          <w:tcPr>
            <w:tcW w:w="1820" w:type="dxa"/>
            <w:vAlign w:val="bottom"/>
          </w:tcPr>
          <w:p>
            <w:pPr>
              <w:jc w:val="right"/>
              <w:ind w:right="880"/>
              <w:spacing w:after="0"/>
              <w:rPr>
                <w:sz w:val="20"/>
                <w:szCs w:val="20"/>
                <w:color w:val="auto"/>
              </w:rPr>
            </w:pPr>
            <w:r>
              <w:rPr>
                <w:rFonts w:ascii="Arial" w:cs="Arial" w:eastAsia="Arial" w:hAnsi="Arial"/>
                <w:sz w:val="16"/>
                <w:szCs w:val="16"/>
                <w:color w:val="auto"/>
              </w:rPr>
              <w:t>121</w:t>
            </w:r>
          </w:p>
        </w:tc>
        <w:tc>
          <w:tcPr>
            <w:tcW w:w="460" w:type="dxa"/>
            <w:vAlign w:val="bottom"/>
          </w:tcPr>
          <w:p>
            <w:pPr>
              <w:jc w:val="right"/>
              <w:spacing w:after="0"/>
              <w:rPr>
                <w:sz w:val="20"/>
                <w:szCs w:val="20"/>
                <w:color w:val="auto"/>
              </w:rPr>
            </w:pPr>
            <w:r>
              <w:rPr>
                <w:rFonts w:ascii="Arial" w:cs="Arial" w:eastAsia="Arial" w:hAnsi="Arial"/>
                <w:sz w:val="16"/>
                <w:szCs w:val="16"/>
                <w:color w:val="auto"/>
              </w:rPr>
              <w:t>177</w:t>
            </w:r>
          </w:p>
        </w:tc>
        <w:tc>
          <w:tcPr>
            <w:tcW w:w="920" w:type="dxa"/>
            <w:vAlign w:val="bottom"/>
          </w:tcPr>
          <w:p>
            <w:pPr>
              <w:spacing w:after="0"/>
              <w:rPr>
                <w:sz w:val="18"/>
                <w:szCs w:val="18"/>
                <w:color w:val="auto"/>
              </w:rPr>
            </w:pPr>
          </w:p>
        </w:tc>
      </w:tr>
      <w:tr>
        <w:trPr>
          <w:trHeight w:val="381"/>
        </w:trPr>
        <w:tc>
          <w:tcPr>
            <w:tcW w:w="1940" w:type="dxa"/>
            <w:vAlign w:val="bottom"/>
          </w:tcPr>
          <w:p>
            <w:pPr>
              <w:spacing w:after="0"/>
              <w:rPr>
                <w:sz w:val="24"/>
                <w:szCs w:val="24"/>
                <w:color w:val="auto"/>
              </w:rPr>
            </w:pPr>
          </w:p>
        </w:tc>
        <w:tc>
          <w:tcPr>
            <w:tcW w:w="6320" w:type="dxa"/>
            <w:vAlign w:val="bottom"/>
            <w:gridSpan w:val="2"/>
          </w:tcPr>
          <w:p>
            <w:pPr>
              <w:ind w:left="140"/>
              <w:spacing w:after="0"/>
              <w:rPr>
                <w:sz w:val="20"/>
                <w:szCs w:val="20"/>
                <w:color w:val="auto"/>
              </w:rPr>
            </w:pPr>
            <w:r>
              <w:rPr>
                <w:rFonts w:ascii="Arial" w:cs="Arial" w:eastAsia="Arial" w:hAnsi="Arial"/>
                <w:sz w:val="16"/>
                <w:szCs w:val="16"/>
                <w:color w:val="auto"/>
              </w:rPr>
              <w:t>Mobil Corporation</w:t>
            </w:r>
          </w:p>
        </w:tc>
        <w:tc>
          <w:tcPr>
            <w:tcW w:w="1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8"/>
        </w:trPr>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6"/>
                <w:szCs w:val="16"/>
                <w:color w:val="auto"/>
              </w:rPr>
              <w:t>8.625% debentures due 2021</w:t>
            </w:r>
          </w:p>
        </w:tc>
        <w:tc>
          <w:tcPr>
            <w:tcW w:w="1820" w:type="dxa"/>
            <w:vAlign w:val="bottom"/>
          </w:tcPr>
          <w:p>
            <w:pPr>
              <w:jc w:val="right"/>
              <w:ind w:right="880"/>
              <w:spacing w:after="0"/>
              <w:rPr>
                <w:sz w:val="20"/>
                <w:szCs w:val="20"/>
                <w:color w:val="auto"/>
              </w:rPr>
            </w:pPr>
            <w:r>
              <w:rPr>
                <w:rFonts w:ascii="Arial" w:cs="Arial" w:eastAsia="Arial" w:hAnsi="Arial"/>
                <w:sz w:val="16"/>
                <w:szCs w:val="16"/>
                <w:color w:val="auto"/>
              </w:rPr>
              <w:t>249</w:t>
            </w:r>
          </w:p>
        </w:tc>
        <w:tc>
          <w:tcPr>
            <w:tcW w:w="460" w:type="dxa"/>
            <w:vAlign w:val="bottom"/>
          </w:tcPr>
          <w:p>
            <w:pPr>
              <w:jc w:val="right"/>
              <w:spacing w:after="0"/>
              <w:rPr>
                <w:sz w:val="20"/>
                <w:szCs w:val="20"/>
                <w:color w:val="auto"/>
              </w:rPr>
            </w:pPr>
            <w:r>
              <w:rPr>
                <w:rFonts w:ascii="Arial" w:cs="Arial" w:eastAsia="Arial" w:hAnsi="Arial"/>
                <w:sz w:val="16"/>
                <w:szCs w:val="16"/>
                <w:color w:val="auto"/>
              </w:rPr>
              <w:t>249</w:t>
            </w:r>
          </w:p>
        </w:tc>
        <w:tc>
          <w:tcPr>
            <w:tcW w:w="920" w:type="dxa"/>
            <w:vAlign w:val="bottom"/>
          </w:tcPr>
          <w:p>
            <w:pPr>
              <w:spacing w:after="0"/>
              <w:rPr>
                <w:sz w:val="18"/>
                <w:szCs w:val="18"/>
                <w:color w:val="auto"/>
              </w:rPr>
            </w:pPr>
          </w:p>
        </w:tc>
      </w:tr>
      <w:tr>
        <w:trPr>
          <w:trHeight w:val="381"/>
        </w:trPr>
        <w:tc>
          <w:tcPr>
            <w:tcW w:w="1940" w:type="dxa"/>
            <w:vAlign w:val="bottom"/>
          </w:tcPr>
          <w:p>
            <w:pPr>
              <w:spacing w:after="0"/>
              <w:rPr>
                <w:sz w:val="24"/>
                <w:szCs w:val="24"/>
                <w:color w:val="auto"/>
              </w:rPr>
            </w:pPr>
          </w:p>
        </w:tc>
        <w:tc>
          <w:tcPr>
            <w:tcW w:w="6320" w:type="dxa"/>
            <w:vAlign w:val="bottom"/>
            <w:gridSpan w:val="2"/>
          </w:tcPr>
          <w:p>
            <w:pPr>
              <w:ind w:left="140"/>
              <w:spacing w:after="0"/>
              <w:rPr>
                <w:sz w:val="20"/>
                <w:szCs w:val="20"/>
                <w:color w:val="auto"/>
              </w:rPr>
            </w:pPr>
            <w:r>
              <w:rPr>
                <w:rFonts w:ascii="Arial" w:cs="Arial" w:eastAsia="Arial" w:hAnsi="Arial"/>
                <w:sz w:val="16"/>
                <w:szCs w:val="16"/>
                <w:color w:val="auto"/>
              </w:rPr>
              <w:t xml:space="preserve">Industrial revenue bonds due 2015-2051 </w:t>
            </w:r>
            <w:r>
              <w:rPr>
                <w:rFonts w:ascii="Arial" w:cs="Arial" w:eastAsia="Arial" w:hAnsi="Arial"/>
                <w:sz w:val="14"/>
                <w:szCs w:val="14"/>
                <w:i w:val="1"/>
                <w:iCs w:val="1"/>
                <w:color w:val="auto"/>
              </w:rPr>
              <w:t>(6)</w:t>
            </w:r>
          </w:p>
        </w:tc>
        <w:tc>
          <w:tcPr>
            <w:tcW w:w="1820" w:type="dxa"/>
            <w:vAlign w:val="bottom"/>
          </w:tcPr>
          <w:p>
            <w:pPr>
              <w:jc w:val="right"/>
              <w:ind w:right="880"/>
              <w:spacing w:after="0"/>
              <w:rPr>
                <w:sz w:val="20"/>
                <w:szCs w:val="20"/>
                <w:color w:val="auto"/>
              </w:rPr>
            </w:pPr>
            <w:r>
              <w:rPr>
                <w:rFonts w:ascii="Arial" w:cs="Arial" w:eastAsia="Arial" w:hAnsi="Arial"/>
                <w:sz w:val="16"/>
                <w:szCs w:val="16"/>
                <w:color w:val="auto"/>
              </w:rPr>
              <w:t>2,611</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2,527</w:t>
            </w:r>
          </w:p>
        </w:tc>
        <w:tc>
          <w:tcPr>
            <w:tcW w:w="920" w:type="dxa"/>
            <w:vAlign w:val="bottom"/>
          </w:tcPr>
          <w:p>
            <w:pPr>
              <w:spacing w:after="0"/>
              <w:rPr>
                <w:sz w:val="24"/>
                <w:szCs w:val="24"/>
                <w:color w:val="auto"/>
              </w:rPr>
            </w:pPr>
          </w:p>
        </w:tc>
      </w:tr>
      <w:tr>
        <w:trPr>
          <w:trHeight w:val="196"/>
        </w:trPr>
        <w:tc>
          <w:tcPr>
            <w:tcW w:w="1940" w:type="dxa"/>
            <w:vAlign w:val="bottom"/>
          </w:tcPr>
          <w:p>
            <w:pPr>
              <w:spacing w:after="0"/>
              <w:rPr>
                <w:sz w:val="17"/>
                <w:szCs w:val="17"/>
                <w:color w:val="auto"/>
              </w:rPr>
            </w:pPr>
          </w:p>
        </w:tc>
        <w:tc>
          <w:tcPr>
            <w:tcW w:w="6320" w:type="dxa"/>
            <w:vAlign w:val="bottom"/>
            <w:gridSpan w:val="2"/>
          </w:tcPr>
          <w:p>
            <w:pPr>
              <w:ind w:left="140"/>
              <w:spacing w:after="0"/>
              <w:rPr>
                <w:sz w:val="20"/>
                <w:szCs w:val="20"/>
                <w:color w:val="auto"/>
              </w:rPr>
            </w:pPr>
            <w:r>
              <w:rPr>
                <w:rFonts w:ascii="Arial" w:cs="Arial" w:eastAsia="Arial" w:hAnsi="Arial"/>
                <w:sz w:val="16"/>
                <w:szCs w:val="16"/>
                <w:color w:val="auto"/>
              </w:rPr>
              <w:t xml:space="preserve">Other U.S. dollar obligations </w:t>
            </w:r>
            <w:r>
              <w:rPr>
                <w:rFonts w:ascii="Arial" w:cs="Arial" w:eastAsia="Arial" w:hAnsi="Arial"/>
                <w:sz w:val="14"/>
                <w:szCs w:val="14"/>
                <w:i w:val="1"/>
                <w:iCs w:val="1"/>
                <w:color w:val="auto"/>
              </w:rPr>
              <w:t>(7)</w:t>
            </w:r>
          </w:p>
        </w:tc>
        <w:tc>
          <w:tcPr>
            <w:tcW w:w="1820" w:type="dxa"/>
            <w:vAlign w:val="bottom"/>
          </w:tcPr>
          <w:p>
            <w:pPr>
              <w:jc w:val="right"/>
              <w:ind w:right="880"/>
              <w:spacing w:after="0"/>
              <w:rPr>
                <w:sz w:val="20"/>
                <w:szCs w:val="20"/>
                <w:color w:val="auto"/>
              </w:rPr>
            </w:pPr>
            <w:r>
              <w:rPr>
                <w:rFonts w:ascii="Arial" w:cs="Arial" w:eastAsia="Arial" w:hAnsi="Arial"/>
                <w:sz w:val="16"/>
                <w:szCs w:val="16"/>
                <w:color w:val="auto"/>
              </w:rPr>
              <w:t>104</w:t>
            </w:r>
          </w:p>
        </w:tc>
        <w:tc>
          <w:tcPr>
            <w:tcW w:w="460" w:type="dxa"/>
            <w:vAlign w:val="bottom"/>
          </w:tcPr>
          <w:p>
            <w:pPr>
              <w:jc w:val="right"/>
              <w:spacing w:after="0"/>
              <w:rPr>
                <w:sz w:val="20"/>
                <w:szCs w:val="20"/>
                <w:color w:val="auto"/>
              </w:rPr>
            </w:pPr>
            <w:r>
              <w:rPr>
                <w:rFonts w:ascii="Arial" w:cs="Arial" w:eastAsia="Arial" w:hAnsi="Arial"/>
                <w:sz w:val="16"/>
                <w:szCs w:val="16"/>
                <w:color w:val="auto"/>
              </w:rPr>
              <w:t>112</w:t>
            </w:r>
          </w:p>
        </w:tc>
        <w:tc>
          <w:tcPr>
            <w:tcW w:w="920" w:type="dxa"/>
            <w:vAlign w:val="bottom"/>
          </w:tcPr>
          <w:p>
            <w:pPr>
              <w:spacing w:after="0"/>
              <w:rPr>
                <w:sz w:val="17"/>
                <w:szCs w:val="17"/>
                <w:color w:val="auto"/>
              </w:rPr>
            </w:pPr>
          </w:p>
        </w:tc>
      </w:tr>
      <w:tr>
        <w:trPr>
          <w:trHeight w:val="196"/>
        </w:trPr>
        <w:tc>
          <w:tcPr>
            <w:tcW w:w="1940" w:type="dxa"/>
            <w:vAlign w:val="bottom"/>
          </w:tcPr>
          <w:p>
            <w:pPr>
              <w:spacing w:after="0"/>
              <w:rPr>
                <w:sz w:val="17"/>
                <w:szCs w:val="17"/>
                <w:color w:val="auto"/>
              </w:rPr>
            </w:pPr>
          </w:p>
        </w:tc>
        <w:tc>
          <w:tcPr>
            <w:tcW w:w="6320" w:type="dxa"/>
            <w:vAlign w:val="bottom"/>
            <w:gridSpan w:val="2"/>
          </w:tcPr>
          <w:p>
            <w:pPr>
              <w:ind w:left="140"/>
              <w:spacing w:after="0"/>
              <w:rPr>
                <w:sz w:val="20"/>
                <w:szCs w:val="20"/>
                <w:color w:val="auto"/>
              </w:rPr>
            </w:pPr>
            <w:r>
              <w:rPr>
                <w:rFonts w:ascii="Arial" w:cs="Arial" w:eastAsia="Arial" w:hAnsi="Arial"/>
                <w:sz w:val="16"/>
                <w:szCs w:val="16"/>
                <w:color w:val="auto"/>
              </w:rPr>
              <w:t>Other foreign currency obligations</w:t>
            </w:r>
          </w:p>
        </w:tc>
        <w:tc>
          <w:tcPr>
            <w:tcW w:w="1820" w:type="dxa"/>
            <w:vAlign w:val="bottom"/>
          </w:tcPr>
          <w:p>
            <w:pPr>
              <w:jc w:val="right"/>
              <w:ind w:right="880"/>
              <w:spacing w:after="0"/>
              <w:rPr>
                <w:sz w:val="20"/>
                <w:szCs w:val="20"/>
                <w:color w:val="auto"/>
              </w:rPr>
            </w:pPr>
            <w:r>
              <w:rPr>
                <w:rFonts w:ascii="Arial" w:cs="Arial" w:eastAsia="Arial" w:hAnsi="Arial"/>
                <w:sz w:val="16"/>
                <w:szCs w:val="16"/>
                <w:color w:val="auto"/>
              </w:rPr>
              <w:t>9</w:t>
            </w:r>
          </w:p>
        </w:tc>
        <w:tc>
          <w:tcPr>
            <w:tcW w:w="460" w:type="dxa"/>
            <w:vAlign w:val="bottom"/>
          </w:tcPr>
          <w:p>
            <w:pPr>
              <w:jc w:val="right"/>
              <w:spacing w:after="0"/>
              <w:rPr>
                <w:sz w:val="20"/>
                <w:szCs w:val="20"/>
                <w:color w:val="auto"/>
              </w:rPr>
            </w:pPr>
            <w:r>
              <w:rPr>
                <w:rFonts w:ascii="Arial" w:cs="Arial" w:eastAsia="Arial" w:hAnsi="Arial"/>
                <w:sz w:val="16"/>
                <w:szCs w:val="16"/>
                <w:color w:val="auto"/>
              </w:rPr>
              <w:t>9</w:t>
            </w:r>
          </w:p>
        </w:tc>
        <w:tc>
          <w:tcPr>
            <w:tcW w:w="920" w:type="dxa"/>
            <w:vAlign w:val="bottom"/>
          </w:tcPr>
          <w:p>
            <w:pPr>
              <w:spacing w:after="0"/>
              <w:rPr>
                <w:sz w:val="17"/>
                <w:szCs w:val="17"/>
                <w:color w:val="auto"/>
              </w:rPr>
            </w:pPr>
          </w:p>
        </w:tc>
      </w:tr>
      <w:tr>
        <w:trPr>
          <w:trHeight w:val="208"/>
        </w:trPr>
        <w:tc>
          <w:tcPr>
            <w:tcW w:w="1940" w:type="dxa"/>
            <w:vAlign w:val="bottom"/>
          </w:tcPr>
          <w:p>
            <w:pPr>
              <w:spacing w:after="0"/>
              <w:rPr>
                <w:sz w:val="18"/>
                <w:szCs w:val="18"/>
                <w:color w:val="auto"/>
              </w:rPr>
            </w:pPr>
          </w:p>
        </w:tc>
        <w:tc>
          <w:tcPr>
            <w:tcW w:w="6320" w:type="dxa"/>
            <w:vAlign w:val="bottom"/>
            <w:gridSpan w:val="2"/>
          </w:tcPr>
          <w:p>
            <w:pPr>
              <w:ind w:left="140"/>
              <w:spacing w:after="0"/>
              <w:rPr>
                <w:sz w:val="20"/>
                <w:szCs w:val="20"/>
                <w:color w:val="auto"/>
              </w:rPr>
            </w:pPr>
            <w:r>
              <w:rPr>
                <w:rFonts w:ascii="Arial" w:cs="Arial" w:eastAsia="Arial" w:hAnsi="Arial"/>
                <w:sz w:val="16"/>
                <w:szCs w:val="16"/>
                <w:color w:val="auto"/>
              </w:rPr>
              <w:t xml:space="preserve">Capitalized lease obligations </w:t>
            </w:r>
            <w:r>
              <w:rPr>
                <w:rFonts w:ascii="Arial" w:cs="Arial" w:eastAsia="Arial" w:hAnsi="Arial"/>
                <w:sz w:val="14"/>
                <w:szCs w:val="14"/>
                <w:i w:val="1"/>
                <w:iCs w:val="1"/>
                <w:color w:val="auto"/>
              </w:rPr>
              <w:t>(8)</w:t>
            </w:r>
          </w:p>
        </w:tc>
        <w:tc>
          <w:tcPr>
            <w:tcW w:w="1820" w:type="dxa"/>
            <w:vAlign w:val="bottom"/>
            <w:tcBorders>
              <w:bottom w:val="single" w:sz="8" w:color="auto"/>
            </w:tcBorders>
          </w:tcPr>
          <w:p>
            <w:pPr>
              <w:jc w:val="right"/>
              <w:ind w:right="880"/>
              <w:spacing w:after="0"/>
              <w:rPr>
                <w:sz w:val="20"/>
                <w:szCs w:val="20"/>
                <w:color w:val="auto"/>
              </w:rPr>
            </w:pPr>
            <w:r>
              <w:rPr>
                <w:rFonts w:ascii="Arial" w:cs="Arial" w:eastAsia="Arial" w:hAnsi="Arial"/>
                <w:sz w:val="16"/>
                <w:szCs w:val="16"/>
                <w:color w:val="auto"/>
              </w:rPr>
              <w:t>375</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c>
          <w:tcPr>
            <w:tcW w:w="920" w:type="dxa"/>
            <w:vAlign w:val="bottom"/>
          </w:tcPr>
          <w:p>
            <w:pPr>
              <w:spacing w:after="0"/>
              <w:rPr>
                <w:sz w:val="18"/>
                <w:szCs w:val="18"/>
                <w:color w:val="auto"/>
              </w:rPr>
            </w:pPr>
          </w:p>
        </w:tc>
      </w:tr>
      <w:tr>
        <w:trPr>
          <w:trHeight w:val="189"/>
        </w:trPr>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180" w:type="dxa"/>
            <w:vAlign w:val="bottom"/>
          </w:tcPr>
          <w:p>
            <w:pPr>
              <w:ind w:left="680"/>
              <w:spacing w:after="0"/>
              <w:rPr>
                <w:sz w:val="20"/>
                <w:szCs w:val="20"/>
                <w:color w:val="auto"/>
              </w:rPr>
            </w:pPr>
            <w:r>
              <w:rPr>
                <w:rFonts w:ascii="Arial" w:cs="Arial" w:eastAsia="Arial" w:hAnsi="Arial"/>
                <w:sz w:val="16"/>
                <w:szCs w:val="16"/>
                <w:color w:val="auto"/>
              </w:rPr>
              <w:t>Total long-term debt</w:t>
            </w:r>
          </w:p>
        </w:tc>
        <w:tc>
          <w:tcPr>
            <w:tcW w:w="1820" w:type="dxa"/>
            <w:vAlign w:val="bottom"/>
            <w:tcBorders>
              <w:bottom w:val="single" w:sz="8" w:color="auto"/>
            </w:tcBorders>
          </w:tcPr>
          <w:p>
            <w:pPr>
              <w:jc w:val="right"/>
              <w:ind w:right="880"/>
              <w:spacing w:after="0"/>
              <w:rPr>
                <w:sz w:val="20"/>
                <w:szCs w:val="20"/>
                <w:color w:val="auto"/>
              </w:rPr>
            </w:pPr>
            <w:r>
              <w:rPr>
                <w:rFonts w:ascii="Arial" w:cs="Arial" w:eastAsia="Arial" w:hAnsi="Arial"/>
                <w:sz w:val="16"/>
                <w:szCs w:val="16"/>
                <w:color w:val="auto"/>
              </w:rPr>
              <w:t>11,653</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6,891</w:t>
            </w:r>
          </w:p>
        </w:tc>
        <w:tc>
          <w:tcPr>
            <w:tcW w:w="920" w:type="dxa"/>
            <w:vAlign w:val="bottom"/>
          </w:tcPr>
          <w:p>
            <w:pPr>
              <w:spacing w:after="0"/>
              <w:rPr>
                <w:sz w:val="16"/>
                <w:szCs w:val="16"/>
                <w:color w:val="auto"/>
              </w:rPr>
            </w:pPr>
          </w:p>
        </w:tc>
      </w:tr>
      <w:tr>
        <w:trPr>
          <w:trHeight w:val="677"/>
        </w:trPr>
        <w:tc>
          <w:tcPr>
            <w:tcW w:w="1940" w:type="dxa"/>
            <w:vAlign w:val="bottom"/>
          </w:tcPr>
          <w:p>
            <w:pPr>
              <w:jc w:val="right"/>
              <w:spacing w:after="0"/>
              <w:rPr>
                <w:sz w:val="20"/>
                <w:szCs w:val="20"/>
                <w:color w:val="auto"/>
              </w:rPr>
            </w:pPr>
            <w:r>
              <w:rPr>
                <w:rFonts w:ascii="Arial" w:cs="Arial" w:eastAsia="Arial" w:hAnsi="Arial"/>
                <w:sz w:val="16"/>
                <w:szCs w:val="16"/>
                <w:i w:val="1"/>
                <w:iCs w:val="1"/>
                <w:color w:val="auto"/>
              </w:rPr>
              <w:t>(1)</w:t>
            </w:r>
          </w:p>
        </w:tc>
        <w:tc>
          <w:tcPr>
            <w:tcW w:w="6320" w:type="dxa"/>
            <w:vAlign w:val="bottom"/>
            <w:gridSpan w:val="2"/>
          </w:tcPr>
          <w:p>
            <w:pPr>
              <w:ind w:left="60"/>
              <w:spacing w:after="0"/>
              <w:rPr>
                <w:sz w:val="20"/>
                <w:szCs w:val="20"/>
                <w:color w:val="auto"/>
              </w:rPr>
            </w:pPr>
            <w:r>
              <w:rPr>
                <w:rFonts w:ascii="Arial" w:cs="Arial" w:eastAsia="Arial" w:hAnsi="Arial"/>
                <w:sz w:val="16"/>
                <w:szCs w:val="16"/>
                <w:i w:val="1"/>
                <w:iCs w:val="1"/>
                <w:color w:val="auto"/>
              </w:rPr>
              <w:t>Average effective interest rate of 0.3% in 2014.</w:t>
            </w:r>
          </w:p>
        </w:tc>
        <w:tc>
          <w:tcPr>
            <w:tcW w:w="1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5"/>
        </w:trPr>
        <w:tc>
          <w:tcPr>
            <w:tcW w:w="1940" w:type="dxa"/>
            <w:vAlign w:val="bottom"/>
          </w:tcPr>
          <w:p>
            <w:pPr>
              <w:jc w:val="right"/>
              <w:spacing w:after="0"/>
              <w:rPr>
                <w:sz w:val="20"/>
                <w:szCs w:val="20"/>
                <w:color w:val="auto"/>
              </w:rPr>
            </w:pPr>
            <w:r>
              <w:rPr>
                <w:rFonts w:ascii="Arial" w:cs="Arial" w:eastAsia="Arial" w:hAnsi="Arial"/>
                <w:sz w:val="16"/>
                <w:szCs w:val="16"/>
                <w:i w:val="1"/>
                <w:iCs w:val="1"/>
                <w:color w:val="auto"/>
              </w:rPr>
              <w:t>(2)</w:t>
            </w:r>
          </w:p>
        </w:tc>
        <w:tc>
          <w:tcPr>
            <w:tcW w:w="6320" w:type="dxa"/>
            <w:vAlign w:val="bottom"/>
            <w:gridSpan w:val="2"/>
          </w:tcPr>
          <w:p>
            <w:pPr>
              <w:ind w:left="60"/>
              <w:spacing w:after="0"/>
              <w:rPr>
                <w:sz w:val="20"/>
                <w:szCs w:val="20"/>
                <w:color w:val="auto"/>
              </w:rPr>
            </w:pPr>
            <w:r>
              <w:rPr>
                <w:rFonts w:ascii="Arial" w:cs="Arial" w:eastAsia="Arial" w:hAnsi="Arial"/>
                <w:sz w:val="16"/>
                <w:szCs w:val="16"/>
                <w:i w:val="1"/>
                <w:iCs w:val="1"/>
                <w:color w:val="auto"/>
              </w:rPr>
              <w:t>Average effective interest rate of 0.4% in 2014.</w:t>
            </w:r>
          </w:p>
        </w:tc>
        <w:tc>
          <w:tcPr>
            <w:tcW w:w="1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5"/>
        </w:trPr>
        <w:tc>
          <w:tcPr>
            <w:tcW w:w="1940" w:type="dxa"/>
            <w:vAlign w:val="bottom"/>
          </w:tcPr>
          <w:p>
            <w:pPr>
              <w:jc w:val="right"/>
              <w:spacing w:after="0"/>
              <w:rPr>
                <w:sz w:val="20"/>
                <w:szCs w:val="20"/>
                <w:color w:val="auto"/>
              </w:rPr>
            </w:pPr>
            <w:r>
              <w:rPr>
                <w:rFonts w:ascii="Arial" w:cs="Arial" w:eastAsia="Arial" w:hAnsi="Arial"/>
                <w:sz w:val="16"/>
                <w:szCs w:val="16"/>
                <w:i w:val="1"/>
                <w:iCs w:val="1"/>
                <w:color w:val="auto"/>
              </w:rPr>
              <w:t>(3)</w:t>
            </w:r>
          </w:p>
        </w:tc>
        <w:tc>
          <w:tcPr>
            <w:tcW w:w="6320" w:type="dxa"/>
            <w:vAlign w:val="bottom"/>
            <w:gridSpan w:val="2"/>
          </w:tcPr>
          <w:p>
            <w:pPr>
              <w:ind w:left="60"/>
              <w:spacing w:after="0"/>
              <w:rPr>
                <w:sz w:val="20"/>
                <w:szCs w:val="20"/>
                <w:color w:val="auto"/>
              </w:rPr>
            </w:pPr>
            <w:r>
              <w:rPr>
                <w:rFonts w:ascii="Arial" w:cs="Arial" w:eastAsia="Arial" w:hAnsi="Arial"/>
                <w:sz w:val="16"/>
                <w:szCs w:val="16"/>
                <w:i w:val="1"/>
                <w:iCs w:val="1"/>
                <w:color w:val="auto"/>
              </w:rPr>
              <w:t>Includes premiums of $219 million in 2014 and $271 million in 2013.</w:t>
            </w:r>
          </w:p>
        </w:tc>
        <w:tc>
          <w:tcPr>
            <w:tcW w:w="1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5"/>
        </w:trPr>
        <w:tc>
          <w:tcPr>
            <w:tcW w:w="1940" w:type="dxa"/>
            <w:vAlign w:val="bottom"/>
          </w:tcPr>
          <w:p>
            <w:pPr>
              <w:jc w:val="right"/>
              <w:spacing w:after="0"/>
              <w:rPr>
                <w:sz w:val="20"/>
                <w:szCs w:val="20"/>
                <w:color w:val="auto"/>
              </w:rPr>
            </w:pPr>
            <w:r>
              <w:rPr>
                <w:rFonts w:ascii="Arial" w:cs="Arial" w:eastAsia="Arial" w:hAnsi="Arial"/>
                <w:sz w:val="16"/>
                <w:szCs w:val="16"/>
                <w:i w:val="1"/>
                <w:iCs w:val="1"/>
                <w:color w:val="auto"/>
              </w:rPr>
              <w:t>(4)</w:t>
            </w:r>
          </w:p>
        </w:tc>
        <w:tc>
          <w:tcPr>
            <w:tcW w:w="6320" w:type="dxa"/>
            <w:vAlign w:val="bottom"/>
            <w:gridSpan w:val="2"/>
          </w:tcPr>
          <w:p>
            <w:pPr>
              <w:ind w:left="60"/>
              <w:spacing w:after="0"/>
              <w:rPr>
                <w:sz w:val="20"/>
                <w:szCs w:val="20"/>
                <w:color w:val="auto"/>
              </w:rPr>
            </w:pPr>
            <w:r>
              <w:rPr>
                <w:rFonts w:ascii="Arial" w:cs="Arial" w:eastAsia="Arial" w:hAnsi="Arial"/>
                <w:sz w:val="16"/>
                <w:szCs w:val="16"/>
                <w:i w:val="1"/>
                <w:iCs w:val="1"/>
                <w:color w:val="auto"/>
              </w:rPr>
              <w:t>Average effective interest rate of 4.5% in 2014 and 4.6% in 2013.</w:t>
            </w:r>
          </w:p>
        </w:tc>
        <w:tc>
          <w:tcPr>
            <w:tcW w:w="1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5"/>
        </w:trPr>
        <w:tc>
          <w:tcPr>
            <w:tcW w:w="1940" w:type="dxa"/>
            <w:vAlign w:val="bottom"/>
          </w:tcPr>
          <w:p>
            <w:pPr>
              <w:jc w:val="right"/>
              <w:spacing w:after="0"/>
              <w:rPr>
                <w:sz w:val="20"/>
                <w:szCs w:val="20"/>
                <w:color w:val="auto"/>
              </w:rPr>
            </w:pPr>
            <w:r>
              <w:rPr>
                <w:rFonts w:ascii="Arial" w:cs="Arial" w:eastAsia="Arial" w:hAnsi="Arial"/>
                <w:sz w:val="16"/>
                <w:szCs w:val="16"/>
                <w:i w:val="1"/>
                <w:iCs w:val="1"/>
                <w:color w:val="auto"/>
              </w:rPr>
              <w:t>(5)</w:t>
            </w:r>
          </w:p>
        </w:tc>
        <w:tc>
          <w:tcPr>
            <w:tcW w:w="6320" w:type="dxa"/>
            <w:vAlign w:val="bottom"/>
            <w:gridSpan w:val="2"/>
          </w:tcPr>
          <w:p>
            <w:pPr>
              <w:ind w:left="60"/>
              <w:spacing w:after="0"/>
              <w:rPr>
                <w:sz w:val="20"/>
                <w:szCs w:val="20"/>
                <w:color w:val="auto"/>
              </w:rPr>
            </w:pPr>
            <w:r>
              <w:rPr>
                <w:rFonts w:ascii="Arial" w:cs="Arial" w:eastAsia="Arial" w:hAnsi="Arial"/>
                <w:sz w:val="16"/>
                <w:szCs w:val="16"/>
                <w:i w:val="1"/>
                <w:iCs w:val="1"/>
                <w:color w:val="auto"/>
              </w:rPr>
              <w:t>Average effective interest rate of 2.4% in 2014 and 3.3% in 2013.</w:t>
            </w:r>
          </w:p>
        </w:tc>
        <w:tc>
          <w:tcPr>
            <w:tcW w:w="1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5"/>
        </w:trPr>
        <w:tc>
          <w:tcPr>
            <w:tcW w:w="1940" w:type="dxa"/>
            <w:vAlign w:val="bottom"/>
          </w:tcPr>
          <w:p>
            <w:pPr>
              <w:jc w:val="right"/>
              <w:spacing w:after="0"/>
              <w:rPr>
                <w:sz w:val="20"/>
                <w:szCs w:val="20"/>
                <w:color w:val="auto"/>
              </w:rPr>
            </w:pPr>
            <w:r>
              <w:rPr>
                <w:rFonts w:ascii="Arial" w:cs="Arial" w:eastAsia="Arial" w:hAnsi="Arial"/>
                <w:sz w:val="16"/>
                <w:szCs w:val="16"/>
                <w:i w:val="1"/>
                <w:iCs w:val="1"/>
                <w:color w:val="auto"/>
              </w:rPr>
              <w:t>(6)</w:t>
            </w:r>
          </w:p>
        </w:tc>
        <w:tc>
          <w:tcPr>
            <w:tcW w:w="6320" w:type="dxa"/>
            <w:vAlign w:val="bottom"/>
            <w:gridSpan w:val="2"/>
          </w:tcPr>
          <w:p>
            <w:pPr>
              <w:ind w:left="60"/>
              <w:spacing w:after="0"/>
              <w:rPr>
                <w:sz w:val="20"/>
                <w:szCs w:val="20"/>
                <w:color w:val="auto"/>
              </w:rPr>
            </w:pPr>
            <w:r>
              <w:rPr>
                <w:rFonts w:ascii="Arial" w:cs="Arial" w:eastAsia="Arial" w:hAnsi="Arial"/>
                <w:sz w:val="16"/>
                <w:szCs w:val="16"/>
                <w:i w:val="1"/>
                <w:iCs w:val="1"/>
                <w:color w:val="auto"/>
              </w:rPr>
              <w:t>Average effective interest rate of 0.03% in 2014 and 0.06% in 2013.</w:t>
            </w:r>
          </w:p>
        </w:tc>
        <w:tc>
          <w:tcPr>
            <w:tcW w:w="1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5"/>
        </w:trPr>
        <w:tc>
          <w:tcPr>
            <w:tcW w:w="1940" w:type="dxa"/>
            <w:vAlign w:val="bottom"/>
          </w:tcPr>
          <w:p>
            <w:pPr>
              <w:jc w:val="right"/>
              <w:spacing w:after="0"/>
              <w:rPr>
                <w:sz w:val="20"/>
                <w:szCs w:val="20"/>
                <w:color w:val="auto"/>
              </w:rPr>
            </w:pPr>
            <w:r>
              <w:rPr>
                <w:rFonts w:ascii="Arial" w:cs="Arial" w:eastAsia="Arial" w:hAnsi="Arial"/>
                <w:sz w:val="16"/>
                <w:szCs w:val="16"/>
                <w:i w:val="1"/>
                <w:iCs w:val="1"/>
                <w:color w:val="auto"/>
              </w:rPr>
              <w:t>(7)</w:t>
            </w:r>
          </w:p>
        </w:tc>
        <w:tc>
          <w:tcPr>
            <w:tcW w:w="6320" w:type="dxa"/>
            <w:vAlign w:val="bottom"/>
            <w:gridSpan w:val="2"/>
          </w:tcPr>
          <w:p>
            <w:pPr>
              <w:ind w:left="60"/>
              <w:spacing w:after="0"/>
              <w:rPr>
                <w:sz w:val="20"/>
                <w:szCs w:val="20"/>
                <w:color w:val="auto"/>
              </w:rPr>
            </w:pPr>
            <w:r>
              <w:rPr>
                <w:rFonts w:ascii="Arial" w:cs="Arial" w:eastAsia="Arial" w:hAnsi="Arial"/>
                <w:sz w:val="16"/>
                <w:szCs w:val="16"/>
                <w:i w:val="1"/>
                <w:iCs w:val="1"/>
                <w:color w:val="auto"/>
              </w:rPr>
              <w:t>Average effective interest rate of 4.2% in 2014 and 4.4% in 2013.</w:t>
            </w:r>
          </w:p>
        </w:tc>
        <w:tc>
          <w:tcPr>
            <w:tcW w:w="1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5"/>
        </w:trPr>
        <w:tc>
          <w:tcPr>
            <w:tcW w:w="1940" w:type="dxa"/>
            <w:vAlign w:val="bottom"/>
          </w:tcPr>
          <w:p>
            <w:pPr>
              <w:jc w:val="right"/>
              <w:spacing w:after="0"/>
              <w:rPr>
                <w:sz w:val="20"/>
                <w:szCs w:val="20"/>
                <w:color w:val="auto"/>
              </w:rPr>
            </w:pPr>
            <w:r>
              <w:rPr>
                <w:rFonts w:ascii="Arial" w:cs="Arial" w:eastAsia="Arial" w:hAnsi="Arial"/>
                <w:sz w:val="16"/>
                <w:szCs w:val="16"/>
                <w:i w:val="1"/>
                <w:iCs w:val="1"/>
                <w:color w:val="auto"/>
              </w:rPr>
              <w:t>(8)</w:t>
            </w:r>
          </w:p>
        </w:tc>
        <w:tc>
          <w:tcPr>
            <w:tcW w:w="6320" w:type="dxa"/>
            <w:vAlign w:val="bottom"/>
            <w:gridSpan w:val="2"/>
          </w:tcPr>
          <w:p>
            <w:pPr>
              <w:ind w:left="60"/>
              <w:spacing w:after="0"/>
              <w:rPr>
                <w:sz w:val="20"/>
                <w:szCs w:val="20"/>
                <w:color w:val="auto"/>
              </w:rPr>
            </w:pPr>
            <w:r>
              <w:rPr>
                <w:rFonts w:ascii="Arial" w:cs="Arial" w:eastAsia="Arial" w:hAnsi="Arial"/>
                <w:sz w:val="16"/>
                <w:szCs w:val="16"/>
                <w:i w:val="1"/>
                <w:iCs w:val="1"/>
                <w:color w:val="auto"/>
              </w:rPr>
              <w:t>Average imputed interest rate of 7.0% in 2014 and 7.8% in 2013.</w:t>
            </w:r>
          </w:p>
        </w:tc>
        <w:tc>
          <w:tcPr>
            <w:tcW w:w="1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94"/>
        </w:trPr>
        <w:tc>
          <w:tcPr>
            <w:tcW w:w="1940" w:type="dxa"/>
            <w:vAlign w:val="bottom"/>
          </w:tcPr>
          <w:p>
            <w:pPr>
              <w:spacing w:after="0"/>
              <w:rPr>
                <w:sz w:val="24"/>
                <w:szCs w:val="24"/>
                <w:color w:val="auto"/>
              </w:rPr>
            </w:pPr>
          </w:p>
        </w:tc>
        <w:tc>
          <w:tcPr>
            <w:tcW w:w="6320" w:type="dxa"/>
            <w:vAlign w:val="bottom"/>
            <w:gridSpan w:val="2"/>
          </w:tcPr>
          <w:p>
            <w:pPr>
              <w:ind w:left="4260"/>
              <w:spacing w:after="0"/>
              <w:rPr>
                <w:sz w:val="20"/>
                <w:szCs w:val="20"/>
                <w:color w:val="auto"/>
              </w:rPr>
            </w:pPr>
            <w:r>
              <w:rPr>
                <w:rFonts w:ascii="Arial" w:cs="Arial" w:eastAsia="Arial" w:hAnsi="Arial"/>
                <w:sz w:val="16"/>
                <w:szCs w:val="16"/>
                <w:color w:val="auto"/>
              </w:rPr>
              <w:t>79</w:t>
            </w:r>
          </w:p>
        </w:tc>
        <w:tc>
          <w:tcPr>
            <w:tcW w:w="1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45"/>
        </w:trPr>
        <w:tc>
          <w:tcPr>
            <w:tcW w:w="19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18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589" w:right="1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Incentive Program</w:t>
      </w:r>
    </w:p>
    <w:p>
      <w:pPr>
        <w:spacing w:after="0" w:line="90"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2003 Incentive Program provides for grants of stock options, stock appreciation rights (SARs), restricted stock and other forms of award. Awards may be gra eligible employees of the Corporation and those affiliates at least 50 percent owned. Outstanding awards are subject to certain forfeiture provisions contained in the p or award instrument. Options and SARs may be granted at prices not less than 100 percent of market value on the date of grant and have a maximum life of 10 yea maximum number of shares of stock that may be issued under the 2003 Incentive Program is 220 million. Awards that are forfeited, expire or are settled in cash, do no against this maximum limit. The 2003 Incentive Program does not have a specified term. New awards may be made until the available shares are depleted, unless th terminates the plan early. At the end of 2014, remaining shares available for award under the 2003 Incentive Program were 108 million.</w:t>
      </w:r>
    </w:p>
    <w:p>
      <w:pPr>
        <w:spacing w:after="0" w:line="30" w:lineRule="exact"/>
        <w:rPr>
          <w:sz w:val="20"/>
          <w:szCs w:val="20"/>
          <w:color w:val="auto"/>
        </w:rPr>
      </w:pPr>
    </w:p>
    <w:p>
      <w:pPr>
        <w:jc w:val="both"/>
        <w:spacing w:after="0" w:line="281" w:lineRule="auto"/>
        <w:rPr>
          <w:sz w:val="20"/>
          <w:szCs w:val="20"/>
          <w:color w:val="auto"/>
        </w:rPr>
      </w:pPr>
      <w:r>
        <w:rPr>
          <w:rFonts w:ascii="Arial" w:cs="Arial" w:eastAsia="Arial" w:hAnsi="Arial"/>
          <w:sz w:val="15"/>
          <w:szCs w:val="15"/>
          <w:b w:val="1"/>
          <w:bCs w:val="1"/>
          <w:color w:val="auto"/>
        </w:rPr>
        <w:t xml:space="preserve">Restricted Stock and Restricted Stock Units. </w:t>
      </w:r>
      <w:r>
        <w:rPr>
          <w:rFonts w:ascii="Arial" w:cs="Arial" w:eastAsia="Arial" w:hAnsi="Arial"/>
          <w:sz w:val="15"/>
          <w:szCs w:val="15"/>
          <w:color w:val="auto"/>
        </w:rPr>
        <w:t>Awards totaling 9,775 thousand, 9,729 thousand, and 10,017 thousand of restricted (nonvested) common stock and re</w:t>
      </w:r>
      <w:r>
        <w:rPr>
          <w:rFonts w:ascii="Arial" w:cs="Arial" w:eastAsia="Arial" w:hAnsi="Arial"/>
          <w:sz w:val="15"/>
          <w:szCs w:val="15"/>
          <w:b w:val="1"/>
          <w:bCs w:val="1"/>
          <w:color w:val="auto"/>
        </w:rPr>
        <w:t xml:space="preserve"> </w:t>
      </w:r>
      <w:r>
        <w:rPr>
          <w:rFonts w:ascii="Arial" w:cs="Arial" w:eastAsia="Arial" w:hAnsi="Arial"/>
          <w:sz w:val="15"/>
          <w:szCs w:val="15"/>
          <w:color w:val="auto"/>
        </w:rPr>
        <w:t>(nonvested) common stock units were granted in 2014, 2013 and 2012, respectively. Compensation expense for these awards is based on the price of the stock at the grant and is recognized in income over the requisite service period. Shares for these awards are issued to employees from treasury stock. The units that are settled in c recorded as liabilities and their changes in fair value are recognized over the vesting period. During the applicable restricted periods, the shares and units may not be transferred and are subject to forfeiture. The majority of the awards have graded vesting periods, with 50 percent of the shares and units in each award vesting after thre and the remaining 50 percent vesting after seven years. Awards granted to a small number of senior executives have vesting periods of five years for 50 percent of th and of 10 years or retirement, whichever occurs later, for the remaining 50 percent of the award.</w:t>
      </w:r>
    </w:p>
    <w:p>
      <w:pPr>
        <w:spacing w:after="0" w:line="36" w:lineRule="exact"/>
        <w:rPr>
          <w:sz w:val="20"/>
          <w:szCs w:val="20"/>
          <w:color w:val="auto"/>
        </w:rPr>
      </w:pPr>
    </w:p>
    <w:p>
      <w:pPr>
        <w:ind w:right="20" w:firstLine="200"/>
        <w:spacing w:after="0" w:line="286" w:lineRule="auto"/>
        <w:rPr>
          <w:sz w:val="20"/>
          <w:szCs w:val="20"/>
          <w:color w:val="auto"/>
        </w:rPr>
      </w:pPr>
      <w:r>
        <w:rPr>
          <w:rFonts w:ascii="Arial" w:cs="Arial" w:eastAsia="Arial" w:hAnsi="Arial"/>
          <w:sz w:val="16"/>
          <w:szCs w:val="16"/>
          <w:color w:val="auto"/>
        </w:rPr>
        <w:t>The Corporation has purchased shares in the open market and through negotiated transactions to offset shares issued in conjunction with benefit plans and pr Purchases may be discontinued at any time without prior notice.</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tables summarize information about restricted stock and restricted stock units for the year ended December 31, 2014.</w:t>
      </w:r>
    </w:p>
    <w:p>
      <w:pPr>
        <w:spacing w:after="0" w:line="139" w:lineRule="exact"/>
        <w:rPr>
          <w:sz w:val="20"/>
          <w:szCs w:val="20"/>
          <w:color w:val="auto"/>
        </w:rPr>
      </w:pPr>
    </w:p>
    <w:p>
      <w:pPr>
        <w:ind w:left="9320"/>
        <w:spacing w:after="0"/>
        <w:rPr>
          <w:sz w:val="20"/>
          <w:szCs w:val="20"/>
          <w:color w:val="auto"/>
        </w:rPr>
      </w:pPr>
      <w:r>
        <w:rPr>
          <w:rFonts w:ascii="Arial" w:cs="Arial" w:eastAsia="Arial" w:hAnsi="Arial"/>
          <w:sz w:val="13"/>
          <w:szCs w:val="13"/>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4726940</wp:posOffset>
            </wp:positionH>
            <wp:positionV relativeFrom="paragraph">
              <wp:posOffset>3175</wp:posOffset>
            </wp:positionV>
            <wp:extent cx="221996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219960" cy="7620"/>
                    </a:xfrm>
                    <a:prstGeom prst="rect">
                      <a:avLst/>
                    </a:prstGeom>
                    <a:noFill/>
                  </pic:spPr>
                </pic:pic>
              </a:graphicData>
            </a:graphic>
          </wp:anchor>
        </w:drawing>
      </w:r>
    </w:p>
    <w:p>
      <w:pPr>
        <w:spacing w:after="0" w:line="2" w:lineRule="exact"/>
        <w:rPr>
          <w:sz w:val="20"/>
          <w:szCs w:val="20"/>
          <w:color w:val="auto"/>
        </w:rPr>
      </w:pPr>
    </w:p>
    <w:p>
      <w:pPr>
        <w:jc w:val="center"/>
        <w:ind w:left="10560"/>
        <w:spacing w:after="0"/>
        <w:rPr>
          <w:sz w:val="20"/>
          <w:szCs w:val="20"/>
          <w:color w:val="auto"/>
        </w:rPr>
      </w:pPr>
      <w:r>
        <w:rPr>
          <w:rFonts w:ascii="Arial" w:cs="Arial" w:eastAsia="Arial" w:hAnsi="Arial"/>
          <w:sz w:val="12"/>
          <w:szCs w:val="12"/>
          <w:b w:val="1"/>
          <w:bCs w:val="1"/>
          <w:color w:val="auto"/>
        </w:rPr>
        <w:t>Weighted Average</w:t>
      </w:r>
    </w:p>
    <w:p>
      <w:pPr>
        <w:spacing w:after="0" w:line="46" w:lineRule="exact"/>
        <w:rPr>
          <w:sz w:val="20"/>
          <w:szCs w:val="20"/>
          <w:color w:val="auto"/>
        </w:rPr>
      </w:pPr>
    </w:p>
    <w:p>
      <w:pPr>
        <w:jc w:val="center"/>
        <w:ind w:left="10560"/>
        <w:spacing w:after="0"/>
        <w:rPr>
          <w:sz w:val="20"/>
          <w:szCs w:val="20"/>
          <w:color w:val="auto"/>
        </w:rPr>
      </w:pPr>
      <w:r>
        <w:rPr>
          <w:rFonts w:ascii="Arial" w:cs="Arial" w:eastAsia="Arial" w:hAnsi="Arial"/>
          <w:sz w:val="13"/>
          <w:szCs w:val="13"/>
          <w:b w:val="1"/>
          <w:bCs w:val="1"/>
          <w:color w:val="auto"/>
        </w:rPr>
        <w:t>Grant-Date</w:t>
      </w:r>
    </w:p>
    <w:p>
      <w:pPr>
        <w:spacing w:after="0" w:line="26" w:lineRule="exact"/>
        <w:rPr>
          <w:sz w:val="20"/>
          <w:szCs w:val="20"/>
          <w:color w:val="auto"/>
        </w:rPr>
      </w:pPr>
    </w:p>
    <w:p>
      <w:pPr>
        <w:spacing w:after="0"/>
        <w:tabs>
          <w:tab w:leader="none" w:pos="7760" w:val="left"/>
          <w:tab w:leader="none" w:pos="9820" w:val="left"/>
        </w:tabs>
        <w:rPr>
          <w:sz w:val="20"/>
          <w:szCs w:val="20"/>
          <w:color w:val="auto"/>
        </w:rPr>
      </w:pPr>
      <w:r>
        <w:rPr>
          <w:rFonts w:ascii="Arial" w:cs="Arial" w:eastAsia="Arial" w:hAnsi="Arial"/>
          <w:sz w:val="16"/>
          <w:szCs w:val="16"/>
          <w:b w:val="1"/>
          <w:bCs w:val="1"/>
          <w:color w:val="auto"/>
        </w:rPr>
        <w:t>Restricted stock and units outstanding</w:t>
      </w:r>
      <w:r>
        <w:rPr>
          <w:sz w:val="20"/>
          <w:szCs w:val="20"/>
          <w:color w:val="auto"/>
        </w:rPr>
        <w:tab/>
      </w:r>
      <w:r>
        <w:rPr>
          <w:rFonts w:ascii="Arial" w:cs="Arial" w:eastAsia="Arial" w:hAnsi="Arial"/>
          <w:sz w:val="13"/>
          <w:szCs w:val="13"/>
          <w:b w:val="1"/>
          <w:bCs w:val="1"/>
          <w:color w:val="auto"/>
        </w:rPr>
        <w:t>Shares</w:t>
      </w:r>
      <w:r>
        <w:rPr>
          <w:sz w:val="20"/>
          <w:szCs w:val="20"/>
          <w:color w:val="auto"/>
        </w:rPr>
        <w:tab/>
      </w:r>
      <w:r>
        <w:rPr>
          <w:rFonts w:ascii="Arial" w:cs="Arial" w:eastAsia="Arial" w:hAnsi="Arial"/>
          <w:sz w:val="12"/>
          <w:szCs w:val="12"/>
          <w:b w:val="1"/>
          <w:bCs w:val="1"/>
          <w:color w:val="auto"/>
        </w:rPr>
        <w:t>Fair Value per Shar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694309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43090" cy="76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Issued and outstanding at January 1</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2013 award issued in 2014</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Vested</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Forfeited</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Issued and outstanding at December 31</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1880" w:type="dxa"/>
            <w:vAlign w:val="bottom"/>
            <w:gridSpan w:val="2"/>
          </w:tcPr>
          <w:p>
            <w:pPr>
              <w:ind w:left="220"/>
              <w:spacing w:after="0"/>
              <w:rPr>
                <w:sz w:val="20"/>
                <w:szCs w:val="20"/>
                <w:color w:val="auto"/>
              </w:rPr>
            </w:pPr>
            <w:r>
              <w:rPr>
                <w:rFonts w:ascii="Arial" w:cs="Arial" w:eastAsia="Arial" w:hAnsi="Arial"/>
                <w:sz w:val="13"/>
                <w:szCs w:val="13"/>
                <w:i w:val="1"/>
                <w:iCs w:val="1"/>
                <w:color w:val="auto"/>
              </w:rPr>
              <w:t>(thousands)</w:t>
            </w:r>
          </w:p>
        </w:tc>
        <w:tc>
          <w:tcPr>
            <w:tcW w:w="1500" w:type="dxa"/>
            <w:vAlign w:val="bottom"/>
          </w:tcPr>
          <w:p>
            <w:pPr>
              <w:jc w:val="right"/>
              <w:ind w:right="101"/>
              <w:spacing w:after="0"/>
              <w:rPr>
                <w:sz w:val="20"/>
                <w:szCs w:val="20"/>
                <w:color w:val="auto"/>
              </w:rPr>
            </w:pPr>
            <w:r>
              <w:rPr>
                <w:rFonts w:ascii="Arial" w:cs="Arial" w:eastAsia="Arial" w:hAnsi="Arial"/>
                <w:sz w:val="13"/>
                <w:szCs w:val="13"/>
                <w:i w:val="1"/>
                <w:iCs w:val="1"/>
                <w:color w:val="auto"/>
              </w:rPr>
              <w:t>(dollars)</w:t>
            </w:r>
          </w:p>
        </w:tc>
      </w:tr>
      <w:tr>
        <w:trPr>
          <w:trHeight w:val="390"/>
        </w:trPr>
        <w:tc>
          <w:tcPr>
            <w:tcW w:w="1040" w:type="dxa"/>
            <w:vAlign w:val="bottom"/>
          </w:tcPr>
          <w:p>
            <w:pPr>
              <w:jc w:val="right"/>
              <w:spacing w:after="0"/>
              <w:rPr>
                <w:sz w:val="20"/>
                <w:szCs w:val="20"/>
                <w:color w:val="auto"/>
              </w:rPr>
            </w:pPr>
            <w:r>
              <w:rPr>
                <w:rFonts w:ascii="Arial" w:cs="Arial" w:eastAsia="Arial" w:hAnsi="Arial"/>
                <w:sz w:val="16"/>
                <w:szCs w:val="16"/>
                <w:color w:val="auto"/>
              </w:rPr>
              <w:t>45,207</w:t>
            </w:r>
          </w:p>
        </w:tc>
        <w:tc>
          <w:tcPr>
            <w:tcW w:w="8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78.29</w:t>
            </w:r>
          </w:p>
        </w:tc>
      </w:tr>
      <w:tr>
        <w:trPr>
          <w:trHeight w:val="208"/>
        </w:trPr>
        <w:tc>
          <w:tcPr>
            <w:tcW w:w="1040" w:type="dxa"/>
            <w:vAlign w:val="bottom"/>
          </w:tcPr>
          <w:p>
            <w:pPr>
              <w:jc w:val="right"/>
              <w:spacing w:after="0"/>
              <w:rPr>
                <w:sz w:val="20"/>
                <w:szCs w:val="20"/>
                <w:color w:val="auto"/>
              </w:rPr>
            </w:pPr>
            <w:r>
              <w:rPr>
                <w:rFonts w:ascii="Arial" w:cs="Arial" w:eastAsia="Arial" w:hAnsi="Arial"/>
                <w:sz w:val="16"/>
                <w:szCs w:val="16"/>
                <w:color w:val="auto"/>
              </w:rPr>
              <w:t>9,705</w:t>
            </w:r>
          </w:p>
        </w:tc>
        <w:tc>
          <w:tcPr>
            <w:tcW w:w="8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94.47</w:t>
            </w:r>
          </w:p>
        </w:tc>
      </w:tr>
      <w:tr>
        <w:trPr>
          <w:trHeight w:val="208"/>
        </w:trPr>
        <w:tc>
          <w:tcPr>
            <w:tcW w:w="1880" w:type="dxa"/>
            <w:vAlign w:val="bottom"/>
            <w:gridSpan w:val="2"/>
          </w:tcPr>
          <w:p>
            <w:pPr>
              <w:jc w:val="right"/>
              <w:ind w:right="840"/>
              <w:spacing w:after="0"/>
              <w:rPr>
                <w:sz w:val="20"/>
                <w:szCs w:val="20"/>
                <w:color w:val="auto"/>
              </w:rPr>
            </w:pPr>
            <w:r>
              <w:rPr>
                <w:rFonts w:ascii="Arial" w:cs="Arial" w:eastAsia="Arial" w:hAnsi="Arial"/>
                <w:sz w:val="16"/>
                <w:szCs w:val="16"/>
                <w:color w:val="auto"/>
              </w:rPr>
              <w:t>(10,286)</w:t>
            </w:r>
          </w:p>
        </w:tc>
        <w:tc>
          <w:tcPr>
            <w:tcW w:w="1500" w:type="dxa"/>
            <w:vAlign w:val="bottom"/>
          </w:tcPr>
          <w:p>
            <w:pPr>
              <w:jc w:val="right"/>
              <w:spacing w:after="0"/>
              <w:rPr>
                <w:sz w:val="20"/>
                <w:szCs w:val="20"/>
                <w:color w:val="auto"/>
              </w:rPr>
            </w:pPr>
            <w:r>
              <w:rPr>
                <w:rFonts w:ascii="Arial" w:cs="Arial" w:eastAsia="Arial" w:hAnsi="Arial"/>
                <w:sz w:val="16"/>
                <w:szCs w:val="16"/>
                <w:color w:val="auto"/>
              </w:rPr>
              <w:t>79.89</w:t>
            </w:r>
          </w:p>
        </w:tc>
      </w:tr>
      <w:tr>
        <w:trPr>
          <w:trHeight w:val="214"/>
        </w:trPr>
        <w:tc>
          <w:tcPr>
            <w:tcW w:w="1880" w:type="dxa"/>
            <w:vAlign w:val="bottom"/>
            <w:gridSpan w:val="2"/>
          </w:tcPr>
          <w:p>
            <w:pPr>
              <w:jc w:val="right"/>
              <w:ind w:right="840"/>
              <w:spacing w:after="0"/>
              <w:rPr>
                <w:sz w:val="20"/>
                <w:szCs w:val="20"/>
                <w:color w:val="auto"/>
              </w:rPr>
            </w:pPr>
            <w:r>
              <w:rPr>
                <w:rFonts w:ascii="Arial" w:cs="Arial" w:eastAsia="Arial" w:hAnsi="Arial"/>
                <w:sz w:val="16"/>
                <w:szCs w:val="16"/>
                <w:color w:val="auto"/>
              </w:rPr>
              <w:t>(187)</w:t>
            </w:r>
          </w:p>
        </w:tc>
        <w:tc>
          <w:tcPr>
            <w:tcW w:w="1500" w:type="dxa"/>
            <w:vAlign w:val="bottom"/>
          </w:tcPr>
          <w:p>
            <w:pPr>
              <w:jc w:val="right"/>
              <w:spacing w:after="0"/>
              <w:rPr>
                <w:sz w:val="20"/>
                <w:szCs w:val="20"/>
                <w:color w:val="auto"/>
              </w:rPr>
            </w:pPr>
            <w:r>
              <w:rPr>
                <w:rFonts w:ascii="Arial" w:cs="Arial" w:eastAsia="Arial" w:hAnsi="Arial"/>
                <w:sz w:val="16"/>
                <w:szCs w:val="16"/>
                <w:color w:val="auto"/>
              </w:rPr>
              <w:t>78.89</w:t>
            </w:r>
          </w:p>
        </w:tc>
      </w:tr>
      <w:tr>
        <w:trPr>
          <w:trHeight w:val="196"/>
        </w:trPr>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44,439</w:t>
            </w:r>
          </w:p>
        </w:tc>
        <w:tc>
          <w:tcPr>
            <w:tcW w:w="840" w:type="dxa"/>
            <w:vAlign w:val="bottom"/>
          </w:tcPr>
          <w:p>
            <w:pPr>
              <w:spacing w:after="0"/>
              <w:rPr>
                <w:sz w:val="17"/>
                <w:szCs w:val="17"/>
                <w:color w:val="auto"/>
              </w:rPr>
            </w:pPr>
          </w:p>
        </w:tc>
        <w:tc>
          <w:tcPr>
            <w:tcW w:w="1500" w:type="dxa"/>
            <w:vAlign w:val="bottom"/>
          </w:tcPr>
          <w:p>
            <w:pPr>
              <w:jc w:val="right"/>
              <w:spacing w:after="0" w:line="183" w:lineRule="exact"/>
              <w:rPr>
                <w:sz w:val="20"/>
                <w:szCs w:val="20"/>
                <w:color w:val="auto"/>
              </w:rPr>
            </w:pPr>
            <w:r>
              <w:rPr>
                <w:rFonts w:ascii="Arial" w:cs="Arial" w:eastAsia="Arial" w:hAnsi="Arial"/>
                <w:sz w:val="16"/>
                <w:szCs w:val="16"/>
                <w:color w:val="auto"/>
              </w:rPr>
              <w:t>81.45</w:t>
            </w:r>
          </w:p>
        </w:tc>
      </w:tr>
    </w:tbl>
    <w:p>
      <w:pPr>
        <w:spacing w:after="0" w:line="192" w:lineRule="exact"/>
        <w:rPr>
          <w:sz w:val="20"/>
          <w:szCs w:val="20"/>
          <w:color w:val="auto"/>
        </w:rPr>
      </w:pPr>
    </w:p>
    <w:p>
      <w:pPr>
        <w:sectPr>
          <w:pgSz w:w="11900" w:h="16838" w:orient="portrait"/>
          <w:cols w:equalWidth="0" w:num="2">
            <w:col w:w="6720" w:space="720"/>
            <w:col w:w="3500"/>
          </w:cols>
          <w:pgMar w:left="820" w:top="589" w:right="139" w:bottom="1440" w:gutter="0" w:footer="0" w:header="0"/>
          <w:type w:val="continuous"/>
        </w:sectPr>
      </w:pPr>
    </w:p>
    <w:tbl>
      <w:tblPr>
        <w:tblLayout w:type="fixed"/>
        <w:tblInd w:w="0" w:type="dxa"/>
        <w:tblCellMar>
          <w:top w:w="0" w:type="dxa"/>
          <w:left w:w="0" w:type="dxa"/>
          <w:bottom w:w="0" w:type="dxa"/>
          <w:right w:w="0" w:type="dxa"/>
        </w:tblCellMar>
      </w:tblPr>
      <w:tr>
        <w:trPr>
          <w:trHeight w:val="226"/>
        </w:trPr>
        <w:tc>
          <w:tcPr>
            <w:tcW w:w="5160" w:type="dxa"/>
            <w:vAlign w:val="bottom"/>
          </w:tcPr>
          <w:p>
            <w:pPr>
              <w:spacing w:after="0"/>
              <w:rPr>
                <w:sz w:val="20"/>
                <w:szCs w:val="20"/>
                <w:color w:val="auto"/>
              </w:rPr>
            </w:pPr>
            <w:r>
              <w:rPr>
                <w:rFonts w:ascii="Arial" w:cs="Arial" w:eastAsia="Arial" w:hAnsi="Arial"/>
                <w:sz w:val="16"/>
                <w:szCs w:val="16"/>
                <w:b w:val="1"/>
                <w:bCs w:val="1"/>
                <w:color w:val="auto"/>
              </w:rPr>
              <w:t>Value of restricted stock and units</w:t>
            </w:r>
          </w:p>
        </w:tc>
        <w:tc>
          <w:tcPr>
            <w:tcW w:w="3700" w:type="dxa"/>
            <w:vAlign w:val="bottom"/>
          </w:tcPr>
          <w:p>
            <w:pPr>
              <w:jc w:val="right"/>
              <w:ind w:right="595"/>
              <w:spacing w:after="0"/>
              <w:rPr>
                <w:sz w:val="20"/>
                <w:szCs w:val="20"/>
                <w:color w:val="auto"/>
              </w:rPr>
            </w:pPr>
            <w:r>
              <w:rPr>
                <w:rFonts w:ascii="Arial" w:cs="Arial" w:eastAsia="Arial" w:hAnsi="Arial"/>
                <w:sz w:val="13"/>
                <w:szCs w:val="13"/>
                <w:b w:val="1"/>
                <w:bCs w:val="1"/>
                <w:color w:val="auto"/>
              </w:rPr>
              <w:t>2014</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94309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43090" cy="76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type w:val="continuous"/>
        </w:sectPr>
      </w:pPr>
    </w:p>
    <w:p>
      <w:pPr>
        <w:spacing w:after="0"/>
        <w:rPr>
          <w:sz w:val="20"/>
          <w:szCs w:val="20"/>
          <w:color w:val="auto"/>
        </w:rPr>
      </w:pPr>
      <w:r>
        <w:rPr>
          <w:rFonts w:ascii="Arial" w:cs="Arial" w:eastAsia="Arial" w:hAnsi="Arial"/>
          <w:sz w:val="16"/>
          <w:szCs w:val="16"/>
          <w:color w:val="auto"/>
        </w:rPr>
        <w:t xml:space="preserve">Grant price </w:t>
      </w:r>
      <w:r>
        <w:rPr>
          <w:rFonts w:ascii="Arial" w:cs="Arial" w:eastAsia="Arial" w:hAnsi="Arial"/>
          <w:sz w:val="16"/>
          <w:szCs w:val="16"/>
          <w:i w:val="1"/>
          <w:iCs w:val="1"/>
          <w:color w:val="auto"/>
        </w:rPr>
        <w:t>(dollars)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Value at date of grant:</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Restricted stock and units settled in stock</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Units settled in cash</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Total value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1120" w:type="dxa"/>
            <w:vAlign w:val="bottom"/>
          </w:tcPr>
          <w:p>
            <w:pPr>
              <w:jc w:val="right"/>
              <w:ind w:right="298"/>
              <w:spacing w:after="0"/>
              <w:rPr>
                <w:sz w:val="20"/>
                <w:szCs w:val="20"/>
                <w:color w:val="auto"/>
              </w:rPr>
            </w:pPr>
            <w:r>
              <w:rPr>
                <w:rFonts w:ascii="Arial" w:cs="Arial" w:eastAsia="Arial" w:hAnsi="Arial"/>
                <w:sz w:val="16"/>
                <w:szCs w:val="16"/>
                <w:color w:val="auto"/>
              </w:rPr>
              <w:t>95.20</w:t>
            </w:r>
          </w:p>
        </w:tc>
        <w:tc>
          <w:tcPr>
            <w:tcW w:w="2360" w:type="dxa"/>
            <w:vAlign w:val="bottom"/>
          </w:tcPr>
          <w:p>
            <w:pPr>
              <w:jc w:val="right"/>
              <w:ind w:right="1062"/>
              <w:spacing w:after="0"/>
              <w:rPr>
                <w:sz w:val="20"/>
                <w:szCs w:val="20"/>
                <w:color w:val="auto"/>
              </w:rPr>
            </w:pPr>
            <w:r>
              <w:rPr>
                <w:rFonts w:ascii="Arial" w:cs="Arial" w:eastAsia="Arial" w:hAnsi="Arial"/>
                <w:sz w:val="16"/>
                <w:szCs w:val="16"/>
                <w:color w:val="auto"/>
              </w:rPr>
              <w:t>94.47</w:t>
            </w:r>
          </w:p>
        </w:tc>
      </w:tr>
      <w:tr>
        <w:trPr>
          <w:trHeight w:val="391"/>
        </w:trPr>
        <w:tc>
          <w:tcPr>
            <w:tcW w:w="1120" w:type="dxa"/>
            <w:vAlign w:val="bottom"/>
          </w:tcPr>
          <w:p>
            <w:pPr>
              <w:spacing w:after="0"/>
              <w:rPr>
                <w:sz w:val="24"/>
                <w:szCs w:val="24"/>
                <w:color w:val="auto"/>
              </w:rPr>
            </w:pPr>
          </w:p>
        </w:tc>
        <w:tc>
          <w:tcPr>
            <w:tcW w:w="2360" w:type="dxa"/>
            <w:vAlign w:val="bottom"/>
          </w:tcPr>
          <w:p>
            <w:pPr>
              <w:jc w:val="right"/>
              <w:ind w:right="902"/>
              <w:spacing w:after="0"/>
              <w:rPr>
                <w:sz w:val="20"/>
                <w:szCs w:val="20"/>
                <w:color w:val="auto"/>
              </w:rPr>
            </w:pPr>
            <w:r>
              <w:rPr>
                <w:rFonts w:ascii="Arial" w:cs="Arial" w:eastAsia="Arial" w:hAnsi="Arial"/>
                <w:sz w:val="13"/>
                <w:szCs w:val="13"/>
                <w:i w:val="1"/>
                <w:iCs w:val="1"/>
                <w:color w:val="auto"/>
              </w:rPr>
              <w:t>(millions of dollars)</w:t>
            </w:r>
          </w:p>
        </w:tc>
      </w:tr>
      <w:tr>
        <w:trPr>
          <w:trHeight w:val="208"/>
        </w:trPr>
        <w:tc>
          <w:tcPr>
            <w:tcW w:w="1120" w:type="dxa"/>
            <w:vAlign w:val="bottom"/>
          </w:tcPr>
          <w:p>
            <w:pPr>
              <w:jc w:val="right"/>
              <w:ind w:right="238"/>
              <w:spacing w:after="0"/>
              <w:rPr>
                <w:sz w:val="20"/>
                <w:szCs w:val="20"/>
                <w:color w:val="auto"/>
              </w:rPr>
            </w:pPr>
            <w:r>
              <w:rPr>
                <w:rFonts w:ascii="Arial" w:cs="Arial" w:eastAsia="Arial" w:hAnsi="Arial"/>
                <w:sz w:val="16"/>
                <w:szCs w:val="16"/>
                <w:color w:val="auto"/>
              </w:rPr>
              <w:t>858</w:t>
            </w:r>
          </w:p>
        </w:tc>
        <w:tc>
          <w:tcPr>
            <w:tcW w:w="2360" w:type="dxa"/>
            <w:vAlign w:val="bottom"/>
          </w:tcPr>
          <w:p>
            <w:pPr>
              <w:jc w:val="right"/>
              <w:ind w:right="1022"/>
              <w:spacing w:after="0"/>
              <w:rPr>
                <w:sz w:val="20"/>
                <w:szCs w:val="20"/>
                <w:color w:val="auto"/>
              </w:rPr>
            </w:pPr>
            <w:r>
              <w:rPr>
                <w:rFonts w:ascii="Arial" w:cs="Arial" w:eastAsia="Arial" w:hAnsi="Arial"/>
                <w:sz w:val="16"/>
                <w:szCs w:val="16"/>
                <w:color w:val="auto"/>
              </w:rPr>
              <w:t>843</w:t>
            </w:r>
          </w:p>
        </w:tc>
      </w:tr>
      <w:tr>
        <w:trPr>
          <w:trHeight w:val="215"/>
        </w:trPr>
        <w:tc>
          <w:tcPr>
            <w:tcW w:w="11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73</w:t>
            </w:r>
          </w:p>
        </w:tc>
        <w:tc>
          <w:tcPr>
            <w:tcW w:w="2360" w:type="dxa"/>
            <w:vAlign w:val="bottom"/>
            <w:tcBorders>
              <w:bottom w:val="single" w:sz="8" w:color="auto"/>
            </w:tcBorders>
          </w:tcPr>
          <w:p>
            <w:pPr>
              <w:jc w:val="right"/>
              <w:ind w:right="1022"/>
              <w:spacing w:after="0"/>
              <w:rPr>
                <w:sz w:val="20"/>
                <w:szCs w:val="20"/>
                <w:color w:val="auto"/>
              </w:rPr>
            </w:pPr>
            <w:r>
              <w:rPr>
                <w:rFonts w:ascii="Arial" w:cs="Arial" w:eastAsia="Arial" w:hAnsi="Arial"/>
                <w:sz w:val="16"/>
                <w:szCs w:val="16"/>
                <w:color w:val="auto"/>
              </w:rPr>
              <w:t>76</w:t>
            </w:r>
          </w:p>
        </w:tc>
      </w:tr>
      <w:tr>
        <w:trPr>
          <w:trHeight w:val="195"/>
        </w:trPr>
        <w:tc>
          <w:tcPr>
            <w:tcW w:w="11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931</w:t>
            </w:r>
          </w:p>
        </w:tc>
        <w:tc>
          <w:tcPr>
            <w:tcW w:w="2360" w:type="dxa"/>
            <w:vAlign w:val="bottom"/>
            <w:tcBorders>
              <w:bottom w:val="single" w:sz="8" w:color="auto"/>
            </w:tcBorders>
          </w:tcPr>
          <w:p>
            <w:pPr>
              <w:jc w:val="right"/>
              <w:ind w:right="1022"/>
              <w:spacing w:after="0"/>
              <w:rPr>
                <w:sz w:val="20"/>
                <w:szCs w:val="20"/>
                <w:color w:val="auto"/>
              </w:rPr>
            </w:pPr>
            <w:r>
              <w:rPr>
                <w:rFonts w:ascii="Arial" w:cs="Arial" w:eastAsia="Arial" w:hAnsi="Arial"/>
                <w:sz w:val="16"/>
                <w:szCs w:val="16"/>
                <w:color w:val="auto"/>
              </w:rPr>
              <w:t>919</w:t>
            </w:r>
          </w:p>
        </w:tc>
      </w:tr>
    </w:tbl>
    <w:p>
      <w:pPr>
        <w:spacing w:after="0" w:line="184" w:lineRule="exact"/>
        <w:rPr>
          <w:sz w:val="20"/>
          <w:szCs w:val="20"/>
          <w:color w:val="auto"/>
        </w:rPr>
      </w:pPr>
    </w:p>
    <w:p>
      <w:pPr>
        <w:sectPr>
          <w:pgSz w:w="11900" w:h="16838" w:orient="portrait"/>
          <w:cols w:equalWidth="0" w:num="2">
            <w:col w:w="6740" w:space="720"/>
            <w:col w:w="3480"/>
          </w:cols>
          <w:pgMar w:left="820" w:top="589" w:right="139" w:bottom="1440" w:gutter="0" w:footer="0" w:header="0"/>
          <w:type w:val="continuous"/>
        </w:sectPr>
      </w:pPr>
    </w:p>
    <w:p>
      <w:pPr>
        <w:jc w:val="both"/>
        <w:spacing w:after="0" w:line="309" w:lineRule="auto"/>
        <w:rPr>
          <w:sz w:val="20"/>
          <w:szCs w:val="20"/>
          <w:color w:val="auto"/>
        </w:rPr>
      </w:pPr>
      <w:r>
        <w:rPr>
          <w:rFonts w:ascii="Arial" w:cs="Arial" w:eastAsia="Arial" w:hAnsi="Arial"/>
          <w:sz w:val="14"/>
          <w:szCs w:val="14"/>
          <w:color w:val="auto"/>
        </w:rPr>
        <w:t>As of December 31, 2014, there was $2,339 million of unrecognized compensation cost related to the nonvested restricted awards. This cost is expected to be recogniz a weighted-average period of 4.5 years. The compensation cost charged against income for the restricted stock and restricted stock units was $831 million, $854 mill $854 million for 2014, 2013 and 2012, respectively. The income tax benefit recognized in income related to this compensation expense was $76 million, $78 million million for the same periods, respectively. The fair value of shares and units vested in 2014, 2013 and 2012 was $946 million, $1,040 million and $926 million, respe Cash payments of $73 million, $67 million and $66 million for vested restricted stock units settled in cash were made in 2014, 2013 and 2012, respectively.</w:t>
      </w:r>
    </w:p>
    <w:p>
      <w:pPr>
        <w:spacing w:after="0" w:line="42"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Litigation and Other Contingencies</w:t>
      </w:r>
    </w:p>
    <w:p>
      <w:pPr>
        <w:spacing w:after="0" w:line="86"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color w:val="auto"/>
        </w:rPr>
        <w:t xml:space="preserve">Litigation. </w:t>
      </w:r>
      <w:r>
        <w:rPr>
          <w:rFonts w:ascii="Arial" w:cs="Arial" w:eastAsia="Arial" w:hAnsi="Arial"/>
          <w:sz w:val="15"/>
          <w:szCs w:val="15"/>
          <w:color w:val="auto"/>
        </w:rPr>
        <w:t>A variety of claims have been made against ExxonMobil and certain of its consolidated subsidiaries in a number of pending lawsuits. Management has</w:t>
      </w:r>
      <w:r>
        <w:rPr>
          <w:rFonts w:ascii="Arial" w:cs="Arial" w:eastAsia="Arial" w:hAnsi="Arial"/>
          <w:sz w:val="15"/>
          <w:szCs w:val="15"/>
          <w:b w:val="1"/>
          <w:bCs w:val="1"/>
          <w:color w:val="auto"/>
        </w:rPr>
        <w:t xml:space="preserve"> </w:t>
      </w:r>
      <w:r>
        <w:rPr>
          <w:rFonts w:ascii="Arial" w:cs="Arial" w:eastAsia="Arial" w:hAnsi="Arial"/>
          <w:sz w:val="15"/>
          <w:szCs w:val="15"/>
          <w:color w:val="auto"/>
        </w:rPr>
        <w:t>litigation reviews, including updates from corporate and outside counsel, to assess the need for accounting recognition or disclosure of these contingencies. The Corp accrues an undiscounted liability for those contingencies where the incurrence of a loss is probable and the amount can be reasonably estimated. If a range of amounts reasonably estimated and no amount within the range is a better estimate than any other amount, then the minimum of the range is accrued. The Corporation does no liabilities when the likelihood that the liability has been incurred is probable but the amount cannot be reasonably estimated or when the liability is believed to reasonably possible or remote. For contingencies where an unfavorable outcome is reasonably possible and which are significant, the Corporation discloses the natur contingency and, where feasible, an estimate of the possible loss. For purposes of our contingency disclosures, “significant” includes material matters as well as other which management believes should be disclosed. ExxonMobil will continue to defend itself vigorously in these matters. Based on a consideration of all relevant fa circumstances, the Corporation does not believe the ultimate outcome of any currently pending lawsuit against ExxonMobil will have a material adverse effect u Corporation’s operations, financial condition, or financial statements taken as a whole.</w:t>
      </w:r>
    </w:p>
    <w:p>
      <w:pPr>
        <w:spacing w:after="0" w:line="36" w:lineRule="exact"/>
        <w:rPr>
          <w:sz w:val="20"/>
          <w:szCs w:val="20"/>
          <w:color w:val="auto"/>
        </w:rPr>
      </w:pPr>
    </w:p>
    <w:p>
      <w:pPr>
        <w:jc w:val="both"/>
        <w:ind w:right="20"/>
        <w:spacing w:after="0" w:line="273" w:lineRule="auto"/>
        <w:rPr>
          <w:sz w:val="20"/>
          <w:szCs w:val="20"/>
          <w:color w:val="auto"/>
        </w:rPr>
      </w:pPr>
      <w:r>
        <w:rPr>
          <w:rFonts w:ascii="Arial" w:cs="Arial" w:eastAsia="Arial" w:hAnsi="Arial"/>
          <w:sz w:val="16"/>
          <w:szCs w:val="16"/>
          <w:b w:val="1"/>
          <w:bCs w:val="1"/>
          <w:color w:val="auto"/>
        </w:rPr>
        <w:t xml:space="preserve">Other Contingencies. </w:t>
      </w:r>
      <w:r>
        <w:rPr>
          <w:rFonts w:ascii="Arial" w:cs="Arial" w:eastAsia="Arial" w:hAnsi="Arial"/>
          <w:sz w:val="16"/>
          <w:szCs w:val="16"/>
          <w:color w:val="auto"/>
        </w:rPr>
        <w:t>The Corporation and certain of its consolidated subsidiaries were contingently liable at December 31, 2014, for guarantees relating to notes, lo</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under contracts. Where guarantees for environmental remediation and other similar matters do not include a stated cap, the amounts reflect manag estimate of the maximum potential exposure.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40" w:type="dxa"/>
            <w:vAlign w:val="bottom"/>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jc w:val="center"/>
              <w:ind w:right="328"/>
              <w:spacing w:after="0"/>
              <w:rPr>
                <w:sz w:val="20"/>
                <w:szCs w:val="20"/>
                <w:color w:val="auto"/>
              </w:rPr>
            </w:pPr>
            <w:r>
              <w:rPr>
                <w:rFonts w:ascii="Arial" w:cs="Arial" w:eastAsia="Arial" w:hAnsi="Arial"/>
                <w:sz w:val="13"/>
                <w:szCs w:val="13"/>
                <w:b w:val="1"/>
                <w:bCs w:val="1"/>
                <w:color w:val="auto"/>
                <w:w w:val="88"/>
              </w:rPr>
              <w:t>Dec. 31, 2014</w:t>
            </w: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840" w:type="dxa"/>
            <w:vAlign w:val="bottom"/>
          </w:tcPr>
          <w:p>
            <w:pPr>
              <w:spacing w:after="0"/>
              <w:rPr>
                <w:sz w:val="15"/>
                <w:szCs w:val="15"/>
                <w:color w:val="auto"/>
              </w:rPr>
            </w:pPr>
          </w:p>
        </w:tc>
        <w:tc>
          <w:tcPr>
            <w:tcW w:w="1980" w:type="dxa"/>
            <w:vAlign w:val="bottom"/>
          </w:tcPr>
          <w:p>
            <w:pPr>
              <w:jc w:val="right"/>
              <w:ind w:right="465"/>
              <w:spacing w:after="0"/>
              <w:rPr>
                <w:sz w:val="20"/>
                <w:szCs w:val="20"/>
                <w:color w:val="auto"/>
              </w:rPr>
            </w:pPr>
            <w:r>
              <w:rPr>
                <w:rFonts w:ascii="Arial" w:cs="Arial" w:eastAsia="Arial" w:hAnsi="Arial"/>
                <w:sz w:val="13"/>
                <w:szCs w:val="13"/>
                <w:b w:val="1"/>
                <w:bCs w:val="1"/>
                <w:color w:val="auto"/>
              </w:rPr>
              <w:t>Equity Company</w:t>
            </w:r>
          </w:p>
        </w:tc>
        <w:tc>
          <w:tcPr>
            <w:tcW w:w="2280" w:type="dxa"/>
            <w:vAlign w:val="bottom"/>
          </w:tcPr>
          <w:p>
            <w:pPr>
              <w:jc w:val="center"/>
              <w:ind w:right="328"/>
              <w:spacing w:after="0"/>
              <w:rPr>
                <w:sz w:val="20"/>
                <w:szCs w:val="20"/>
                <w:color w:val="auto"/>
              </w:rPr>
            </w:pPr>
            <w:r>
              <w:rPr>
                <w:rFonts w:ascii="Arial" w:cs="Arial" w:eastAsia="Arial" w:hAnsi="Arial"/>
                <w:sz w:val="13"/>
                <w:szCs w:val="13"/>
                <w:b w:val="1"/>
                <w:bCs w:val="1"/>
                <w:color w:val="auto"/>
                <w:w w:val="96"/>
              </w:rPr>
              <w:t>Other Third-Party</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8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 xml:space="preserve">Obligations </w:t>
            </w:r>
            <w:r>
              <w:rPr>
                <w:rFonts w:ascii="Arial" w:cs="Arial" w:eastAsia="Arial" w:hAnsi="Arial"/>
                <w:sz w:val="13"/>
                <w:szCs w:val="13"/>
                <w:b w:val="1"/>
                <w:bCs w:val="1"/>
                <w:i w:val="1"/>
                <w:iCs w:val="1"/>
                <w:color w:val="auto"/>
              </w:rPr>
              <w:t>(1)</w:t>
            </w:r>
          </w:p>
        </w:tc>
        <w:tc>
          <w:tcPr>
            <w:tcW w:w="2280" w:type="dxa"/>
            <w:vAlign w:val="bottom"/>
            <w:tcBorders>
              <w:bottom w:val="single" w:sz="8" w:color="auto"/>
            </w:tcBorders>
          </w:tcPr>
          <w:p>
            <w:pPr>
              <w:jc w:val="center"/>
              <w:ind w:right="328"/>
              <w:spacing w:after="0"/>
              <w:rPr>
                <w:sz w:val="20"/>
                <w:szCs w:val="20"/>
                <w:color w:val="auto"/>
              </w:rPr>
            </w:pPr>
            <w:r>
              <w:rPr>
                <w:rFonts w:ascii="Arial" w:cs="Arial" w:eastAsia="Arial" w:hAnsi="Arial"/>
                <w:sz w:val="13"/>
                <w:szCs w:val="13"/>
                <w:b w:val="1"/>
                <w:bCs w:val="1"/>
                <w:color w:val="auto"/>
                <w:w w:val="89"/>
              </w:rPr>
              <w:t>Obligations</w:t>
            </w:r>
          </w:p>
        </w:tc>
        <w:tc>
          <w:tcPr>
            <w:tcW w:w="8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T</w:t>
            </w:r>
          </w:p>
        </w:tc>
        <w:tc>
          <w:tcPr>
            <w:tcW w:w="0" w:type="dxa"/>
            <w:vAlign w:val="bottom"/>
          </w:tcPr>
          <w:p>
            <w:pPr>
              <w:spacing w:after="0"/>
              <w:rPr>
                <w:sz w:val="1"/>
                <w:szCs w:val="1"/>
                <w:color w:val="auto"/>
              </w:rPr>
            </w:pPr>
          </w:p>
        </w:tc>
      </w:tr>
      <w:tr>
        <w:trPr>
          <w:trHeight w:val="202"/>
        </w:trPr>
        <w:tc>
          <w:tcPr>
            <w:tcW w:w="5840" w:type="dxa"/>
            <w:vAlign w:val="bottom"/>
            <w:vMerge w:val="restart"/>
          </w:tcPr>
          <w:p>
            <w:pPr>
              <w:spacing w:after="0"/>
              <w:rPr>
                <w:sz w:val="20"/>
                <w:szCs w:val="20"/>
                <w:color w:val="auto"/>
              </w:rPr>
            </w:pPr>
            <w:r>
              <w:rPr>
                <w:rFonts w:ascii="Arial" w:cs="Arial" w:eastAsia="Arial" w:hAnsi="Arial"/>
                <w:sz w:val="16"/>
                <w:szCs w:val="16"/>
                <w:color w:val="auto"/>
              </w:rPr>
              <w:t>Guarantees</w:t>
            </w:r>
          </w:p>
        </w:tc>
        <w:tc>
          <w:tcPr>
            <w:tcW w:w="1980" w:type="dxa"/>
            <w:vAlign w:val="bottom"/>
          </w:tcPr>
          <w:p>
            <w:pPr>
              <w:spacing w:after="0"/>
              <w:rPr>
                <w:sz w:val="17"/>
                <w:szCs w:val="17"/>
                <w:color w:val="auto"/>
              </w:rPr>
            </w:pPr>
          </w:p>
        </w:tc>
        <w:tc>
          <w:tcPr>
            <w:tcW w:w="2280" w:type="dxa"/>
            <w:vAlign w:val="bottom"/>
          </w:tcPr>
          <w:p>
            <w:pPr>
              <w:jc w:val="center"/>
              <w:ind w:right="328"/>
              <w:spacing w:after="0"/>
              <w:rPr>
                <w:sz w:val="20"/>
                <w:szCs w:val="20"/>
                <w:color w:val="auto"/>
              </w:rPr>
            </w:pPr>
            <w:r>
              <w:rPr>
                <w:rFonts w:ascii="Arial" w:cs="Arial" w:eastAsia="Arial" w:hAnsi="Arial"/>
                <w:sz w:val="13"/>
                <w:szCs w:val="13"/>
                <w:i w:val="1"/>
                <w:iCs w:val="1"/>
                <w:color w:val="auto"/>
                <w:w w:val="95"/>
              </w:rPr>
              <w:t>(millions of dollars)</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40" w:type="dxa"/>
            <w:vAlign w:val="bottom"/>
            <w:vMerge w:val="continue"/>
          </w:tcPr>
          <w:p>
            <w:pPr>
              <w:spacing w:after="0"/>
              <w:rPr>
                <w:sz w:val="14"/>
                <w:szCs w:val="14"/>
                <w:color w:val="auto"/>
              </w:rPr>
            </w:pPr>
          </w:p>
        </w:tc>
        <w:tc>
          <w:tcPr>
            <w:tcW w:w="19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40" w:type="dxa"/>
            <w:vAlign w:val="bottom"/>
          </w:tcPr>
          <w:p>
            <w:pPr>
              <w:ind w:left="340"/>
              <w:spacing w:after="0"/>
              <w:rPr>
                <w:sz w:val="20"/>
                <w:szCs w:val="20"/>
                <w:color w:val="auto"/>
              </w:rPr>
            </w:pPr>
            <w:r>
              <w:rPr>
                <w:rFonts w:ascii="Arial" w:cs="Arial" w:eastAsia="Arial" w:hAnsi="Arial"/>
                <w:sz w:val="16"/>
                <w:szCs w:val="16"/>
                <w:color w:val="auto"/>
              </w:rPr>
              <w:t>Debt-related</w:t>
            </w:r>
          </w:p>
        </w:tc>
        <w:tc>
          <w:tcPr>
            <w:tcW w:w="1980" w:type="dxa"/>
            <w:vAlign w:val="bottom"/>
          </w:tcPr>
          <w:p>
            <w:pPr>
              <w:jc w:val="right"/>
              <w:ind w:right="345"/>
              <w:spacing w:after="0"/>
              <w:rPr>
                <w:sz w:val="20"/>
                <w:szCs w:val="20"/>
                <w:color w:val="auto"/>
              </w:rPr>
            </w:pPr>
            <w:r>
              <w:rPr>
                <w:rFonts w:ascii="Arial" w:cs="Arial" w:eastAsia="Arial" w:hAnsi="Arial"/>
                <w:sz w:val="16"/>
                <w:szCs w:val="16"/>
                <w:color w:val="auto"/>
              </w:rPr>
              <w:t>3,506</w:t>
            </w:r>
          </w:p>
        </w:tc>
        <w:tc>
          <w:tcPr>
            <w:tcW w:w="2280" w:type="dxa"/>
            <w:vAlign w:val="bottom"/>
          </w:tcPr>
          <w:p>
            <w:pPr>
              <w:jc w:val="right"/>
              <w:ind w:right="688"/>
              <w:spacing w:after="0"/>
              <w:rPr>
                <w:sz w:val="20"/>
                <w:szCs w:val="20"/>
                <w:color w:val="auto"/>
              </w:rPr>
            </w:pPr>
            <w:r>
              <w:rPr>
                <w:rFonts w:ascii="Arial" w:cs="Arial" w:eastAsia="Arial" w:hAnsi="Arial"/>
                <w:sz w:val="16"/>
                <w:szCs w:val="16"/>
                <w:color w:val="auto"/>
              </w:rPr>
              <w:t>41</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40" w:type="dxa"/>
            <w:vAlign w:val="bottom"/>
          </w:tcPr>
          <w:p>
            <w:pPr>
              <w:ind w:left="340"/>
              <w:spacing w:after="0"/>
              <w:rPr>
                <w:sz w:val="20"/>
                <w:szCs w:val="20"/>
                <w:color w:val="auto"/>
              </w:rPr>
            </w:pPr>
            <w:r>
              <w:rPr>
                <w:rFonts w:ascii="Arial" w:cs="Arial" w:eastAsia="Arial" w:hAnsi="Arial"/>
                <w:sz w:val="16"/>
                <w:szCs w:val="16"/>
                <w:color w:val="auto"/>
              </w:rPr>
              <w:t>Other</w:t>
            </w:r>
          </w:p>
        </w:tc>
        <w:tc>
          <w:tcPr>
            <w:tcW w:w="1980" w:type="dxa"/>
            <w:vAlign w:val="bottom"/>
            <w:tcBorders>
              <w:bottom w:val="single" w:sz="8" w:color="auto"/>
            </w:tcBorders>
          </w:tcPr>
          <w:p>
            <w:pPr>
              <w:jc w:val="right"/>
              <w:ind w:right="345"/>
              <w:spacing w:after="0"/>
              <w:rPr>
                <w:sz w:val="20"/>
                <w:szCs w:val="20"/>
                <w:color w:val="auto"/>
              </w:rPr>
            </w:pPr>
            <w:r>
              <w:rPr>
                <w:rFonts w:ascii="Arial" w:cs="Arial" w:eastAsia="Arial" w:hAnsi="Arial"/>
                <w:sz w:val="16"/>
                <w:szCs w:val="16"/>
                <w:color w:val="auto"/>
              </w:rPr>
              <w:t>2,920</w:t>
            </w:r>
          </w:p>
        </w:tc>
        <w:tc>
          <w:tcPr>
            <w:tcW w:w="2280" w:type="dxa"/>
            <w:vAlign w:val="bottom"/>
            <w:tcBorders>
              <w:bottom w:val="single" w:sz="8" w:color="auto"/>
            </w:tcBorders>
          </w:tcPr>
          <w:p>
            <w:pPr>
              <w:jc w:val="right"/>
              <w:ind w:right="688"/>
              <w:spacing w:after="0"/>
              <w:rPr>
                <w:sz w:val="20"/>
                <w:szCs w:val="20"/>
                <w:color w:val="auto"/>
              </w:rPr>
            </w:pPr>
            <w:r>
              <w:rPr>
                <w:rFonts w:ascii="Arial" w:cs="Arial" w:eastAsia="Arial" w:hAnsi="Arial"/>
                <w:sz w:val="16"/>
                <w:szCs w:val="16"/>
                <w:color w:val="auto"/>
              </w:rPr>
              <w:t>3,982</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840" w:type="dxa"/>
            <w:vAlign w:val="bottom"/>
          </w:tcPr>
          <w:p>
            <w:pPr>
              <w:ind w:left="700"/>
              <w:spacing w:after="0"/>
              <w:rPr>
                <w:sz w:val="20"/>
                <w:szCs w:val="20"/>
                <w:color w:val="auto"/>
              </w:rPr>
            </w:pPr>
            <w:r>
              <w:rPr>
                <w:rFonts w:ascii="Arial" w:cs="Arial" w:eastAsia="Arial" w:hAnsi="Arial"/>
                <w:sz w:val="16"/>
                <w:szCs w:val="16"/>
                <w:color w:val="auto"/>
              </w:rPr>
              <w:t>Total</w:t>
            </w:r>
          </w:p>
        </w:tc>
        <w:tc>
          <w:tcPr>
            <w:tcW w:w="1980" w:type="dxa"/>
            <w:vAlign w:val="bottom"/>
            <w:tcBorders>
              <w:bottom w:val="single" w:sz="8" w:color="auto"/>
            </w:tcBorders>
          </w:tcPr>
          <w:p>
            <w:pPr>
              <w:jc w:val="right"/>
              <w:ind w:right="345"/>
              <w:spacing w:after="0"/>
              <w:rPr>
                <w:sz w:val="20"/>
                <w:szCs w:val="20"/>
                <w:color w:val="auto"/>
              </w:rPr>
            </w:pPr>
            <w:r>
              <w:rPr>
                <w:rFonts w:ascii="Arial" w:cs="Arial" w:eastAsia="Arial" w:hAnsi="Arial"/>
                <w:sz w:val="16"/>
                <w:szCs w:val="16"/>
                <w:color w:val="auto"/>
              </w:rPr>
              <w:t>6,426</w:t>
            </w:r>
          </w:p>
        </w:tc>
        <w:tc>
          <w:tcPr>
            <w:tcW w:w="2280" w:type="dxa"/>
            <w:vAlign w:val="bottom"/>
            <w:tcBorders>
              <w:bottom w:val="single" w:sz="8" w:color="auto"/>
            </w:tcBorders>
          </w:tcPr>
          <w:p>
            <w:pPr>
              <w:jc w:val="right"/>
              <w:ind w:right="688"/>
              <w:spacing w:after="0"/>
              <w:rPr>
                <w:sz w:val="20"/>
                <w:szCs w:val="20"/>
                <w:color w:val="auto"/>
              </w:rPr>
            </w:pPr>
            <w:r>
              <w:rPr>
                <w:rFonts w:ascii="Arial" w:cs="Arial" w:eastAsia="Arial" w:hAnsi="Arial"/>
                <w:sz w:val="16"/>
                <w:szCs w:val="16"/>
                <w:color w:val="auto"/>
              </w:rPr>
              <w:t>4,023</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(1) ExxonMobil share.</w:t>
      </w:r>
    </w:p>
    <w:p>
      <w:pPr>
        <w:spacing w:after="0" w:line="20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debt-related guarantees shown above include a $3.4 billion completion guarantee provided to lenders in support of the project financing for the Papua New Liquefied Natural Gas project. On February 4, 2015, the obligations under this guarantee were terminated per the terms of the loan agreement.</w:t>
      </w:r>
    </w:p>
    <w:p>
      <w:pPr>
        <w:spacing w:after="0" w:line="27" w:lineRule="exact"/>
        <w:rPr>
          <w:sz w:val="20"/>
          <w:szCs w:val="20"/>
          <w:color w:val="auto"/>
        </w:rPr>
      </w:pPr>
    </w:p>
    <w:p>
      <w:pPr>
        <w:jc w:val="both"/>
        <w:ind w:firstLine="200"/>
        <w:spacing w:after="0" w:line="265" w:lineRule="auto"/>
        <w:rPr>
          <w:sz w:val="20"/>
          <w:szCs w:val="20"/>
          <w:color w:val="auto"/>
        </w:rPr>
      </w:pPr>
      <w:r>
        <w:rPr>
          <w:rFonts w:ascii="Arial" w:cs="Arial" w:eastAsia="Arial" w:hAnsi="Arial"/>
          <w:sz w:val="16"/>
          <w:szCs w:val="16"/>
          <w:color w:val="auto"/>
        </w:rPr>
        <w:t>Additionally, the Corporation and its affiliates have numerous long-term sales and purchase commitments in their various business activities, all of which are exp be fulfilled with no adverse consequences material to the Corporation’s operations or financial condition. Unconditional purchase obligations as defined by acc standards are those long-term commitments that are noncancelable or cancelable only under certain conditions, and that third parties have used to secure financing facilities that will provide the contracted goods or services.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780" w:type="dxa"/>
            <w:vAlign w:val="bottom"/>
            <w:gridSpan w:val="2"/>
          </w:tcPr>
          <w:p>
            <w:pPr>
              <w:ind w:left="800"/>
              <w:spacing w:after="0"/>
              <w:rPr>
                <w:sz w:val="20"/>
                <w:szCs w:val="20"/>
                <w:color w:val="auto"/>
              </w:rPr>
            </w:pPr>
            <w:r>
              <w:rPr>
                <w:rFonts w:ascii="Arial" w:cs="Arial" w:eastAsia="Arial" w:hAnsi="Arial"/>
                <w:sz w:val="13"/>
                <w:szCs w:val="13"/>
                <w:b w:val="1"/>
                <w:bCs w:val="1"/>
                <w:color w:val="auto"/>
              </w:rPr>
              <w:t>Payments Due by Period</w:t>
            </w:r>
          </w:p>
        </w:tc>
      </w:tr>
      <w:tr>
        <w:trPr>
          <w:trHeight w:val="23"/>
        </w:trPr>
        <w:tc>
          <w:tcPr>
            <w:tcW w:w="58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65"/>
        </w:trPr>
        <w:tc>
          <w:tcPr>
            <w:tcW w:w="5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20" w:type="dxa"/>
            <w:vAlign w:val="bottom"/>
          </w:tcPr>
          <w:p>
            <w:pPr>
              <w:jc w:val="right"/>
              <w:ind w:right="1111"/>
              <w:spacing w:after="0"/>
              <w:rPr>
                <w:sz w:val="20"/>
                <w:szCs w:val="20"/>
                <w:color w:val="auto"/>
              </w:rPr>
            </w:pPr>
            <w:r>
              <w:rPr>
                <w:rFonts w:ascii="Arial" w:cs="Arial" w:eastAsia="Arial" w:hAnsi="Arial"/>
                <w:sz w:val="13"/>
                <w:szCs w:val="13"/>
                <w:b w:val="1"/>
                <w:bCs w:val="1"/>
                <w:color w:val="auto"/>
              </w:rPr>
              <w:t>2016-</w:t>
            </w:r>
          </w:p>
        </w:tc>
        <w:tc>
          <w:tcPr>
            <w:tcW w:w="1760" w:type="dxa"/>
            <w:vAlign w:val="bottom"/>
          </w:tcPr>
          <w:p>
            <w:pPr>
              <w:jc w:val="center"/>
              <w:ind w:right="1149"/>
              <w:spacing w:after="0"/>
              <w:rPr>
                <w:sz w:val="20"/>
                <w:szCs w:val="20"/>
                <w:color w:val="auto"/>
              </w:rPr>
            </w:pPr>
            <w:r>
              <w:rPr>
                <w:rFonts w:ascii="Arial" w:cs="Arial" w:eastAsia="Arial" w:hAnsi="Arial"/>
                <w:sz w:val="13"/>
                <w:szCs w:val="13"/>
                <w:b w:val="1"/>
                <w:bCs w:val="1"/>
                <w:color w:val="auto"/>
                <w:w w:val="89"/>
              </w:rPr>
              <w:t>2020 and</w:t>
            </w:r>
          </w:p>
        </w:tc>
      </w:tr>
      <w:tr>
        <w:trPr>
          <w:trHeight w:val="184"/>
        </w:trPr>
        <w:tc>
          <w:tcPr>
            <w:tcW w:w="5860" w:type="dxa"/>
            <w:vAlign w:val="bottom"/>
          </w:tcPr>
          <w:p>
            <w:pPr>
              <w:spacing w:after="0"/>
              <w:rPr>
                <w:sz w:val="15"/>
                <w:szCs w:val="15"/>
                <w:color w:val="auto"/>
              </w:rPr>
            </w:pPr>
          </w:p>
        </w:tc>
        <w:tc>
          <w:tcPr>
            <w:tcW w:w="1300" w:type="dxa"/>
            <w:vAlign w:val="bottom"/>
          </w:tcPr>
          <w:p>
            <w:pPr>
              <w:jc w:val="right"/>
              <w:ind w:right="707"/>
              <w:spacing w:after="0"/>
              <w:rPr>
                <w:sz w:val="20"/>
                <w:szCs w:val="20"/>
                <w:color w:val="auto"/>
              </w:rPr>
            </w:pPr>
            <w:r>
              <w:rPr>
                <w:rFonts w:ascii="Arial" w:cs="Arial" w:eastAsia="Arial" w:hAnsi="Arial"/>
                <w:sz w:val="13"/>
                <w:szCs w:val="13"/>
                <w:b w:val="1"/>
                <w:bCs w:val="1"/>
                <w:color w:val="auto"/>
              </w:rPr>
              <w:t>2015</w:t>
            </w:r>
          </w:p>
        </w:tc>
        <w:tc>
          <w:tcPr>
            <w:tcW w:w="2020" w:type="dxa"/>
            <w:vAlign w:val="bottom"/>
          </w:tcPr>
          <w:p>
            <w:pPr>
              <w:jc w:val="right"/>
              <w:ind w:right="1131"/>
              <w:spacing w:after="0"/>
              <w:rPr>
                <w:sz w:val="20"/>
                <w:szCs w:val="20"/>
                <w:color w:val="auto"/>
              </w:rPr>
            </w:pPr>
            <w:r>
              <w:rPr>
                <w:rFonts w:ascii="Arial" w:cs="Arial" w:eastAsia="Arial" w:hAnsi="Arial"/>
                <w:sz w:val="13"/>
                <w:szCs w:val="13"/>
                <w:b w:val="1"/>
                <w:bCs w:val="1"/>
                <w:color w:val="auto"/>
              </w:rPr>
              <w:t>2019</w:t>
            </w:r>
          </w:p>
        </w:tc>
        <w:tc>
          <w:tcPr>
            <w:tcW w:w="1760" w:type="dxa"/>
            <w:vAlign w:val="bottom"/>
          </w:tcPr>
          <w:p>
            <w:pPr>
              <w:jc w:val="center"/>
              <w:ind w:right="1149"/>
              <w:spacing w:after="0"/>
              <w:rPr>
                <w:sz w:val="20"/>
                <w:szCs w:val="20"/>
                <w:color w:val="auto"/>
              </w:rPr>
            </w:pPr>
            <w:r>
              <w:rPr>
                <w:rFonts w:ascii="Arial" w:cs="Arial" w:eastAsia="Arial" w:hAnsi="Arial"/>
                <w:sz w:val="13"/>
                <w:szCs w:val="13"/>
                <w:b w:val="1"/>
                <w:bCs w:val="1"/>
                <w:color w:val="auto"/>
                <w:w w:val="88"/>
              </w:rPr>
              <w:t>Beyond</w:t>
            </w:r>
          </w:p>
        </w:tc>
      </w:tr>
      <w:tr>
        <w:trPr>
          <w:trHeight w:val="23"/>
        </w:trPr>
        <w:tc>
          <w:tcPr>
            <w:tcW w:w="5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65"/>
        </w:trPr>
        <w:tc>
          <w:tcPr>
            <w:tcW w:w="5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20" w:type="dxa"/>
            <w:vAlign w:val="bottom"/>
          </w:tcPr>
          <w:p>
            <w:pPr>
              <w:ind w:left="960"/>
              <w:spacing w:after="0"/>
              <w:rPr>
                <w:sz w:val="20"/>
                <w:szCs w:val="20"/>
                <w:color w:val="auto"/>
              </w:rPr>
            </w:pPr>
            <w:r>
              <w:rPr>
                <w:rFonts w:ascii="Arial" w:cs="Arial" w:eastAsia="Arial" w:hAnsi="Arial"/>
                <w:sz w:val="13"/>
                <w:szCs w:val="13"/>
                <w:i w:val="1"/>
                <w:iCs w:val="1"/>
                <w:color w:val="auto"/>
                <w:w w:val="95"/>
              </w:rPr>
              <w:t>(millions of dollars)</w:t>
            </w:r>
          </w:p>
        </w:tc>
        <w:tc>
          <w:tcPr>
            <w:tcW w:w="1760" w:type="dxa"/>
            <w:vAlign w:val="bottom"/>
          </w:tcPr>
          <w:p>
            <w:pPr>
              <w:spacing w:after="0"/>
              <w:rPr>
                <w:sz w:val="14"/>
                <w:szCs w:val="14"/>
                <w:color w:val="auto"/>
              </w:rPr>
            </w:pPr>
          </w:p>
        </w:tc>
      </w:tr>
      <w:tr>
        <w:trPr>
          <w:trHeight w:val="414"/>
        </w:trPr>
        <w:tc>
          <w:tcPr>
            <w:tcW w:w="5860" w:type="dxa"/>
            <w:vAlign w:val="bottom"/>
          </w:tcPr>
          <w:p>
            <w:pPr>
              <w:spacing w:after="0"/>
              <w:rPr>
                <w:sz w:val="20"/>
                <w:szCs w:val="20"/>
                <w:color w:val="auto"/>
              </w:rPr>
            </w:pPr>
            <w:r>
              <w:rPr>
                <w:rFonts w:ascii="Arial" w:cs="Arial" w:eastAsia="Arial" w:hAnsi="Arial"/>
                <w:sz w:val="16"/>
                <w:szCs w:val="16"/>
                <w:color w:val="auto"/>
              </w:rPr>
              <w:t xml:space="preserve">Unconditional purchase obligations </w:t>
            </w:r>
            <w:r>
              <w:rPr>
                <w:rFonts w:ascii="Arial" w:cs="Arial" w:eastAsia="Arial" w:hAnsi="Arial"/>
                <w:sz w:val="14"/>
                <w:szCs w:val="14"/>
                <w:i w:val="1"/>
                <w:iCs w:val="1"/>
                <w:color w:val="auto"/>
              </w:rPr>
              <w:t>(1)</w:t>
            </w:r>
          </w:p>
        </w:tc>
        <w:tc>
          <w:tcPr>
            <w:tcW w:w="1300" w:type="dxa"/>
            <w:vAlign w:val="bottom"/>
          </w:tcPr>
          <w:p>
            <w:pPr>
              <w:jc w:val="right"/>
              <w:ind w:right="467"/>
              <w:spacing w:after="0"/>
              <w:rPr>
                <w:sz w:val="20"/>
                <w:szCs w:val="20"/>
                <w:color w:val="auto"/>
              </w:rPr>
            </w:pPr>
            <w:r>
              <w:rPr>
                <w:rFonts w:ascii="Arial" w:cs="Arial" w:eastAsia="Arial" w:hAnsi="Arial"/>
                <w:sz w:val="16"/>
                <w:szCs w:val="16"/>
                <w:color w:val="auto"/>
              </w:rPr>
              <w:t>150</w:t>
            </w:r>
          </w:p>
        </w:tc>
        <w:tc>
          <w:tcPr>
            <w:tcW w:w="2020" w:type="dxa"/>
            <w:vAlign w:val="bottom"/>
          </w:tcPr>
          <w:p>
            <w:pPr>
              <w:ind w:left="800"/>
              <w:spacing w:after="0"/>
              <w:rPr>
                <w:sz w:val="20"/>
                <w:szCs w:val="20"/>
                <w:color w:val="auto"/>
              </w:rPr>
            </w:pPr>
            <w:r>
              <w:rPr>
                <w:rFonts w:ascii="Arial" w:cs="Arial" w:eastAsia="Arial" w:hAnsi="Arial"/>
                <w:sz w:val="16"/>
                <w:szCs w:val="16"/>
                <w:color w:val="auto"/>
              </w:rPr>
              <w:t>608</w:t>
            </w:r>
          </w:p>
        </w:tc>
        <w:tc>
          <w:tcPr>
            <w:tcW w:w="1760" w:type="dxa"/>
            <w:vAlign w:val="bottom"/>
          </w:tcPr>
          <w:p>
            <w:pPr>
              <w:jc w:val="right"/>
              <w:ind w:right="1069"/>
              <w:spacing w:after="0"/>
              <w:rPr>
                <w:sz w:val="20"/>
                <w:szCs w:val="20"/>
                <w:color w:val="auto"/>
              </w:rPr>
            </w:pPr>
            <w:r>
              <w:rPr>
                <w:rFonts w:ascii="Arial" w:cs="Arial" w:eastAsia="Arial" w:hAnsi="Arial"/>
                <w:sz w:val="16"/>
                <w:szCs w:val="16"/>
                <w:color w:val="auto"/>
              </w:rPr>
              <w:t>337</w:t>
            </w:r>
          </w:p>
        </w:tc>
      </w:tr>
    </w:tbl>
    <w:p>
      <w:pPr>
        <w:spacing w:after="0" w:line="234" w:lineRule="exact"/>
        <w:rPr>
          <w:sz w:val="20"/>
          <w:szCs w:val="20"/>
          <w:color w:val="auto"/>
        </w:rPr>
      </w:pPr>
    </w:p>
    <w:p>
      <w:pPr>
        <w:ind w:left="300" w:right="40" w:hanging="294"/>
        <w:spacing w:after="0" w:line="286" w:lineRule="auto"/>
        <w:tabs>
          <w:tab w:leader="none" w:pos="34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Undiscounted obligations of $1,095 million mainly pertain to pipeline throughput agreements and include $433 million of obligations to equity companies. The value of these commitments, which excludes imputed interest of $168 million, totaled $927 million.</w:t>
      </w:r>
    </w:p>
    <w:p>
      <w:pPr>
        <w:spacing w:after="0" w:line="52"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In accordance with a nationalization decree issued by Venezuela’s president in February 2007, by May 1, 2007, a subsidiary of the Venezuelan National Oil C (PdVSA) assumed the operatorship of the Cerro Negro Heavy Oil Project. This Project had been operated and owned by ExxonMobil affiliates holding a 41.67 ownership interest in the Project. The decree also required conversion of the Cerro Negro Project into a “mixed enterprise” and an increase in PdVSA’s or one of its af ownership interest in the Project, with the stipulation that if ExxonMobil refused to accept the terms for the formation of the mixed enterprise within a specified p time, the government would “directly assume the activities” carried out by the joint venture. ExxonMobil refused to accede to the terms proffered by the government, June 27, 2007, the government expropriated ExxonMobil’s 41.67 percent interest in the Cerro Negro Project.</w:t>
      </w:r>
    </w:p>
    <w:p>
      <w:pPr>
        <w:spacing w:after="0" w:line="34" w:lineRule="exact"/>
        <w:rPr>
          <w:sz w:val="20"/>
          <w:szCs w:val="20"/>
          <w:color w:val="auto"/>
        </w:rPr>
      </w:pPr>
    </w:p>
    <w:p>
      <w:pPr>
        <w:jc w:val="both"/>
        <w:ind w:firstLine="200"/>
        <w:spacing w:after="0" w:line="279" w:lineRule="auto"/>
        <w:rPr>
          <w:sz w:val="20"/>
          <w:szCs w:val="20"/>
          <w:color w:val="auto"/>
        </w:rPr>
      </w:pPr>
      <w:r>
        <w:rPr>
          <w:rFonts w:ascii="Arial" w:cs="Arial" w:eastAsia="Arial" w:hAnsi="Arial"/>
          <w:sz w:val="15"/>
          <w:szCs w:val="15"/>
          <w:color w:val="auto"/>
        </w:rPr>
        <w:t>On September 6, 2007, affiliates of ExxonMobil filed a Request for Arbitration with the International Centre for Settlement of Investment Disputes (ICSID) i ICSID jurisdiction under Venezuela’s Investment Law and the Netherlands-Venezuela Bilateral Investment Treaty. The ICSID Tribunal issued a decision on June 10 finding that it had jurisdiction to proceed on the basis of the Netherlands-Venezuela Bilateral Investment Treaty. On October 9, 2014, the ICSID Tribunal issued its fina finding in favor of the ExxonMobil affiliates and awarding $1.6 billion as of the date of expropriation, June 27, 2007, and interest from that date at 3.25% comp annually until the date of payment in full. The Tribunal also noted that one of the Cerro Negro Project agreements provides a mechanism to prevent double recovery b the ICSID award and all or part of an earlier award of $908 million to an ExxonMobil affiliate, Mobil Cerro Negro, Ltd., against PdVSA and a PdVSA affiliate, PdV in an arbitration under the rules of the International Chamber of Commerce (ICC). Following the favorable ICSID decision in the fourth quarter of 2014, Exxo recognized earnings of $269 million, net of the remaining asset value, for the proceeds received from the earlier ICC award.</w:t>
      </w:r>
    </w:p>
    <w:p>
      <w:pPr>
        <w:spacing w:after="0" w:line="38" w:lineRule="exact"/>
        <w:rPr>
          <w:sz w:val="20"/>
          <w:szCs w:val="20"/>
          <w:color w:val="auto"/>
        </w:rPr>
      </w:pPr>
    </w:p>
    <w:p>
      <w:pPr>
        <w:jc w:val="both"/>
        <w:ind w:firstLine="200"/>
        <w:spacing w:after="0" w:line="297" w:lineRule="auto"/>
        <w:rPr>
          <w:sz w:val="20"/>
          <w:szCs w:val="20"/>
          <w:color w:val="auto"/>
        </w:rPr>
      </w:pPr>
      <w:r>
        <w:rPr>
          <w:rFonts w:ascii="Arial" w:cs="Arial" w:eastAsia="Arial" w:hAnsi="Arial"/>
          <w:sz w:val="15"/>
          <w:szCs w:val="15"/>
          <w:color w:val="auto"/>
        </w:rPr>
        <w:t>Judgment was entered on the ICSID award by the United States District Court for the Southern District of New York on October 10, 2014. A motion to vac judgment on procedural grounds was filed by the Republic of Venezuela on October 14, 2014, which was denied by the court. Thereafter, the Republic of Venezuela motion to modify the judgment by reducing the rate of interest to be paid on the ICSID award from the entry of the court’s judgment, until the date of payment.</w:t>
      </w:r>
    </w:p>
    <w:p>
      <w:pPr>
        <w:spacing w:after="0" w:line="21" w:lineRule="exact"/>
        <w:rPr>
          <w:sz w:val="20"/>
          <w:szCs w:val="20"/>
          <w:color w:val="auto"/>
        </w:rPr>
      </w:pPr>
    </w:p>
    <w:p>
      <w:pPr>
        <w:jc w:val="both"/>
        <w:ind w:firstLine="200"/>
        <w:spacing w:after="0" w:line="306" w:lineRule="auto"/>
        <w:rPr>
          <w:sz w:val="20"/>
          <w:szCs w:val="20"/>
          <w:color w:val="auto"/>
        </w:rPr>
      </w:pPr>
      <w:r>
        <w:rPr>
          <w:rFonts w:ascii="Arial" w:cs="Arial" w:eastAsia="Arial" w:hAnsi="Arial"/>
          <w:sz w:val="14"/>
          <w:szCs w:val="14"/>
          <w:color w:val="auto"/>
        </w:rPr>
        <w:t>On October 23, 2014, the Republic of Venezuela filed with ICSID an application to revise the ICSID award such that it requires repayment of the value of the ICC a PdVSA at the same time as payment is made to the ExxonMobil affiliates for the ICSID award and that provision be made for interest on the amount to be repaid. The pursuant to ICSID arbitration rules, the ICSID award was stayed pending further action of the Tribunal. On October 27, 2014, ExxonMobil filed a response with ICS contests the application for revision of that award on both factual and jurisdictional grounds. On February 2, 2015, the Republic of Venezuela filed an application to a ICSID award. The application alleges that, in issuing the ICSID award, the Tribunal exceeded its powers, failed to state reasons on which the ICSID award was bas departed from a fundamental rule of procedure. Upon registration of the application with ICSID on February 9, 2015, a further stay of the ICSID award was entered.</w:t>
      </w:r>
    </w:p>
    <w:p>
      <w:pPr>
        <w:spacing w:after="0" w:line="18" w:lineRule="exact"/>
        <w:rPr>
          <w:sz w:val="20"/>
          <w:szCs w:val="20"/>
          <w:color w:val="auto"/>
        </w:rPr>
      </w:pPr>
    </w:p>
    <w:p>
      <w:pPr>
        <w:jc w:val="both"/>
        <w:ind w:firstLine="200"/>
        <w:spacing w:after="0" w:line="297" w:lineRule="auto"/>
        <w:rPr>
          <w:sz w:val="20"/>
          <w:szCs w:val="20"/>
          <w:color w:val="auto"/>
        </w:rPr>
      </w:pPr>
      <w:r>
        <w:rPr>
          <w:rFonts w:ascii="Arial" w:cs="Arial" w:eastAsia="Arial" w:hAnsi="Arial"/>
          <w:sz w:val="15"/>
          <w:szCs w:val="15"/>
          <w:color w:val="auto"/>
        </w:rPr>
        <w:t>The federal court in New York has stayed its judgment until such time as the stays of the ICSID award entered following the Government of Venezuela’s filing of applications have been lifted. The net impact of these matters on the Corporation’s consolidated financial results cannot be reasonably estimated. Regardless, the Corp does not expect the resolution to have a material effect upon the Corporation’s operations or financial condition.</w:t>
      </w:r>
    </w:p>
    <w:p>
      <w:pPr>
        <w:spacing w:after="0" w:line="21" w:lineRule="exact"/>
        <w:rPr>
          <w:sz w:val="20"/>
          <w:szCs w:val="20"/>
          <w:color w:val="auto"/>
        </w:rPr>
      </w:pPr>
    </w:p>
    <w:p>
      <w:pPr>
        <w:jc w:val="both"/>
        <w:ind w:firstLine="200"/>
        <w:spacing w:after="0" w:line="277" w:lineRule="auto"/>
        <w:rPr>
          <w:sz w:val="20"/>
          <w:szCs w:val="20"/>
          <w:color w:val="auto"/>
        </w:rPr>
      </w:pPr>
      <w:r>
        <w:rPr>
          <w:rFonts w:ascii="Arial" w:cs="Arial" w:eastAsia="Arial" w:hAnsi="Arial"/>
          <w:sz w:val="15"/>
          <w:szCs w:val="15"/>
          <w:color w:val="auto"/>
        </w:rPr>
        <w:t>An affiliate of ExxonMobil is one of the Contractors under a Production Sharing Contract (PSC) with the Nigerian National Petroleum Corporation (NNPC) cove Erha block located in the offshore waters of Nigeria. ExxonMobil's affiliate is the operator of the block and owns a 56.25 percent interest under the PSC. The Contrac in dispute with NNPC regarding NNPC's lifting of crude oil in excess of its entitlement under the terms of the PSC. In accordance with the terms of the PSC, the Con initiated arbitration in Abuja, Nigeria, under the Nigerian Arbitration and Conciliation Act. On October 24, 2011, a three-member arbitral Tribunal issued an award up the Contractors' position in all material respects and awarding damages to the Contractors jointly in an amount of approximately $1.8 billion plus $234 million in interest. The Contractors petitioned a Nigerian federal court for enforcement of the award, and NNPC petitioned the same court to have the award set aside. On May 2 the court set aside the award. The Contractors have appealed that judgment. In June 2013, the Contractors filed a lawsuit against NNPC in the Nigerian federal high order to preserve their ability to seek enforcement of the PSC in the courts if necessary. In October 2014, the Contractors filed suit in the United States District Court Southern District of New York to enforce, if necessary, the arbitration award against NNPC assets residing within that jurisdiction. At this time, the net impact of this on the Corporation's consolidated financial results cannot be reasonably estimated. However, regardless of the outcome of enforcement proceedings, the Corporation d expect the proceedings to have a material effect upon the Corporation's operations or financial condition.</w:t>
      </w:r>
    </w:p>
    <w:p>
      <w:pPr>
        <w:spacing w:after="0" w:line="65"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Pension and Other Postretirement Benefits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benefit obligations and plan assets associated with the Corporation’s principal benefit plans are measured on December 31.</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gridSpan w:val="3"/>
          </w:tcPr>
          <w:p>
            <w:pPr>
              <w:ind w:left="460"/>
              <w:spacing w:after="0"/>
              <w:rPr>
                <w:sz w:val="20"/>
                <w:szCs w:val="20"/>
                <w:color w:val="auto"/>
              </w:rPr>
            </w:pPr>
            <w:r>
              <w:rPr>
                <w:rFonts w:ascii="Arial" w:cs="Arial" w:eastAsia="Arial" w:hAnsi="Arial"/>
                <w:sz w:val="13"/>
                <w:szCs w:val="13"/>
                <w:b w:val="1"/>
                <w:bCs w:val="1"/>
                <w:color w:val="auto"/>
                <w:w w:val="89"/>
              </w:rPr>
              <w:t>Pension Benefits</w:t>
            </w: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b w:val="1"/>
                <w:bCs w:val="1"/>
                <w:color w:val="auto"/>
              </w:rPr>
              <w:t>Other Postretiremen</w:t>
            </w: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vMerge w:val="restart"/>
          </w:tcPr>
          <w:p>
            <w:pPr>
              <w:jc w:val="right"/>
              <w:ind w:right="222"/>
              <w:spacing w:after="0"/>
              <w:rPr>
                <w:sz w:val="20"/>
                <w:szCs w:val="20"/>
                <w:color w:val="auto"/>
              </w:rPr>
            </w:pPr>
            <w:r>
              <w:rPr>
                <w:rFonts w:ascii="Arial" w:cs="Arial" w:eastAsia="Arial" w:hAnsi="Arial"/>
                <w:sz w:val="13"/>
                <w:szCs w:val="13"/>
                <w:b w:val="1"/>
                <w:bCs w:val="1"/>
                <w:color w:val="auto"/>
              </w:rPr>
              <w:t>Benefits</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142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U.S.</w:t>
            </w:r>
          </w:p>
        </w:tc>
        <w:tc>
          <w:tcPr>
            <w:tcW w:w="7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63"/>
              <w:spacing w:after="0"/>
              <w:rPr>
                <w:sz w:val="20"/>
                <w:szCs w:val="20"/>
                <w:color w:val="auto"/>
              </w:rPr>
            </w:pPr>
            <w:r>
              <w:rPr>
                <w:rFonts w:ascii="Arial" w:cs="Arial" w:eastAsia="Arial" w:hAnsi="Arial"/>
                <w:sz w:val="13"/>
                <w:szCs w:val="13"/>
                <w:b w:val="1"/>
                <w:bCs w:val="1"/>
                <w:color w:val="auto"/>
              </w:rPr>
              <w:t>Non-U.S.</w:t>
            </w:r>
          </w:p>
        </w:tc>
        <w:tc>
          <w:tcPr>
            <w:tcW w:w="5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61"/>
              <w:spacing w:after="0"/>
              <w:rPr>
                <w:sz w:val="20"/>
                <w:szCs w:val="20"/>
                <w:color w:val="auto"/>
              </w:rPr>
            </w:pPr>
            <w:r>
              <w:rPr>
                <w:rFonts w:ascii="Arial" w:cs="Arial" w:eastAsia="Arial" w:hAnsi="Arial"/>
                <w:sz w:val="13"/>
                <w:szCs w:val="13"/>
                <w:b w:val="1"/>
                <w:bCs w:val="1"/>
                <w:color w:val="auto"/>
              </w:rPr>
              <w:t>2014</w:t>
            </w:r>
          </w:p>
        </w:tc>
        <w:tc>
          <w:tcPr>
            <w:tcW w:w="76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2013</w:t>
            </w: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903"/>
              <w:spacing w:after="0"/>
              <w:rPr>
                <w:sz w:val="20"/>
                <w:szCs w:val="20"/>
                <w:color w:val="auto"/>
              </w:rPr>
            </w:pPr>
            <w:r>
              <w:rPr>
                <w:rFonts w:ascii="Arial" w:cs="Arial" w:eastAsia="Arial" w:hAnsi="Arial"/>
                <w:sz w:val="13"/>
                <w:szCs w:val="13"/>
                <w:b w:val="1"/>
                <w:bCs w:val="1"/>
                <w:color w:val="auto"/>
              </w:rPr>
              <w:t>2014</w:t>
            </w:r>
          </w:p>
        </w:tc>
        <w:tc>
          <w:tcPr>
            <w:tcW w:w="54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w w:val="89"/>
              </w:rPr>
              <w:t>2013</w:t>
            </w:r>
          </w:p>
        </w:tc>
        <w:tc>
          <w:tcPr>
            <w:tcW w:w="4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942"/>
              <w:spacing w:after="0"/>
              <w:rPr>
                <w:sz w:val="20"/>
                <w:szCs w:val="20"/>
                <w:color w:val="auto"/>
              </w:rPr>
            </w:pPr>
            <w:r>
              <w:rPr>
                <w:rFonts w:ascii="Arial" w:cs="Arial" w:eastAsia="Arial" w:hAnsi="Arial"/>
                <w:sz w:val="13"/>
                <w:szCs w:val="13"/>
                <w:b w:val="1"/>
                <w:bCs w:val="1"/>
                <w:color w:val="auto"/>
              </w:rPr>
              <w:t>2014</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243"/>
              <w:spacing w:after="0"/>
              <w:rPr>
                <w:sz w:val="20"/>
                <w:szCs w:val="20"/>
                <w:color w:val="auto"/>
              </w:rPr>
            </w:pPr>
            <w:r>
              <w:rPr>
                <w:rFonts w:ascii="Arial" w:cs="Arial" w:eastAsia="Arial" w:hAnsi="Arial"/>
                <w:sz w:val="13"/>
                <w:szCs w:val="13"/>
                <w:i w:val="1"/>
                <w:iCs w:val="1"/>
                <w:color w:val="auto"/>
              </w:rPr>
              <w:t>(percent)</w:t>
            </w: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260" w:type="dxa"/>
            <w:vAlign w:val="bottom"/>
          </w:tcPr>
          <w:p>
            <w:pPr>
              <w:spacing w:after="0"/>
              <w:rPr>
                <w:sz w:val="20"/>
                <w:szCs w:val="20"/>
                <w:color w:val="auto"/>
              </w:rPr>
            </w:pPr>
            <w:r>
              <w:rPr>
                <w:rFonts w:ascii="Arial" w:cs="Arial" w:eastAsia="Arial" w:hAnsi="Arial"/>
                <w:sz w:val="16"/>
                <w:szCs w:val="16"/>
                <w:color w:val="auto"/>
              </w:rPr>
              <w:t>Weighted-average assumptions used to determine</w:t>
            </w: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tcPr>
          <w:p>
            <w:pPr>
              <w:ind w:left="240"/>
              <w:spacing w:after="0"/>
              <w:rPr>
                <w:sz w:val="20"/>
                <w:szCs w:val="20"/>
                <w:color w:val="auto"/>
              </w:rPr>
            </w:pPr>
            <w:r>
              <w:rPr>
                <w:rFonts w:ascii="Arial" w:cs="Arial" w:eastAsia="Arial" w:hAnsi="Arial"/>
                <w:sz w:val="16"/>
                <w:szCs w:val="16"/>
                <w:color w:val="auto"/>
              </w:rPr>
              <w:t>benefit obligations at December 31</w:t>
            </w: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tcPr>
          <w:p>
            <w:pPr>
              <w:ind w:left="240"/>
              <w:spacing w:after="0"/>
              <w:rPr>
                <w:sz w:val="20"/>
                <w:szCs w:val="20"/>
                <w:color w:val="auto"/>
              </w:rPr>
            </w:pPr>
            <w:r>
              <w:rPr>
                <w:rFonts w:ascii="Arial" w:cs="Arial" w:eastAsia="Arial" w:hAnsi="Arial"/>
                <w:sz w:val="16"/>
                <w:szCs w:val="16"/>
                <w:color w:val="auto"/>
              </w:rPr>
              <w:t>Discount rate</w:t>
            </w:r>
          </w:p>
        </w:tc>
        <w:tc>
          <w:tcPr>
            <w:tcW w:w="1420" w:type="dxa"/>
            <w:vAlign w:val="bottom"/>
          </w:tcPr>
          <w:p>
            <w:pPr>
              <w:jc w:val="right"/>
              <w:ind w:right="481"/>
              <w:spacing w:after="0"/>
              <w:rPr>
                <w:sz w:val="20"/>
                <w:szCs w:val="20"/>
                <w:color w:val="auto"/>
              </w:rPr>
            </w:pPr>
            <w:r>
              <w:rPr>
                <w:rFonts w:ascii="Arial" w:cs="Arial" w:eastAsia="Arial" w:hAnsi="Arial"/>
                <w:sz w:val="16"/>
                <w:szCs w:val="16"/>
                <w:color w:val="auto"/>
              </w:rPr>
              <w:t>4.00</w:t>
            </w:r>
          </w:p>
        </w:tc>
        <w:tc>
          <w:tcPr>
            <w:tcW w:w="760" w:type="dxa"/>
            <w:vAlign w:val="bottom"/>
          </w:tcPr>
          <w:p>
            <w:pPr>
              <w:jc w:val="right"/>
              <w:spacing w:after="0"/>
              <w:rPr>
                <w:sz w:val="20"/>
                <w:szCs w:val="20"/>
                <w:color w:val="auto"/>
              </w:rPr>
            </w:pPr>
            <w:r>
              <w:rPr>
                <w:rFonts w:ascii="Arial" w:cs="Arial" w:eastAsia="Arial" w:hAnsi="Arial"/>
                <w:sz w:val="16"/>
                <w:szCs w:val="16"/>
                <w:color w:val="auto"/>
              </w:rPr>
              <w:t>5.00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683"/>
              <w:spacing w:after="0"/>
              <w:rPr>
                <w:sz w:val="20"/>
                <w:szCs w:val="20"/>
                <w:color w:val="auto"/>
              </w:rPr>
            </w:pPr>
            <w:r>
              <w:rPr>
                <w:rFonts w:ascii="Arial" w:cs="Arial" w:eastAsia="Arial" w:hAnsi="Arial"/>
                <w:sz w:val="16"/>
                <w:szCs w:val="16"/>
                <w:color w:val="auto"/>
              </w:rPr>
              <w:t>3.10</w:t>
            </w:r>
          </w:p>
        </w:tc>
        <w:tc>
          <w:tcPr>
            <w:tcW w:w="540" w:type="dxa"/>
            <w:vAlign w:val="bottom"/>
          </w:tcPr>
          <w:p>
            <w:pPr>
              <w:jc w:val="right"/>
              <w:spacing w:after="0"/>
              <w:rPr>
                <w:sz w:val="20"/>
                <w:szCs w:val="20"/>
                <w:color w:val="auto"/>
              </w:rPr>
            </w:pPr>
            <w:r>
              <w:rPr>
                <w:rFonts w:ascii="Arial" w:cs="Arial" w:eastAsia="Arial" w:hAnsi="Arial"/>
                <w:sz w:val="16"/>
                <w:szCs w:val="16"/>
                <w:color w:val="auto"/>
              </w:rPr>
              <w:t>4.30</w:t>
            </w:r>
          </w:p>
        </w:tc>
        <w:tc>
          <w:tcPr>
            <w:tcW w:w="460" w:type="dxa"/>
            <w:vAlign w:val="bottom"/>
          </w:tcPr>
          <w:p>
            <w:pPr>
              <w:spacing w:after="0"/>
              <w:rPr>
                <w:sz w:val="18"/>
                <w:szCs w:val="18"/>
                <w:color w:val="auto"/>
              </w:rPr>
            </w:pPr>
          </w:p>
        </w:tc>
        <w:tc>
          <w:tcPr>
            <w:tcW w:w="1540" w:type="dxa"/>
            <w:vAlign w:val="bottom"/>
          </w:tcPr>
          <w:p>
            <w:pPr>
              <w:jc w:val="right"/>
              <w:ind w:right="722"/>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08"/>
        </w:trPr>
        <w:tc>
          <w:tcPr>
            <w:tcW w:w="4260" w:type="dxa"/>
            <w:vAlign w:val="bottom"/>
          </w:tcPr>
          <w:p>
            <w:pPr>
              <w:ind w:left="240"/>
              <w:spacing w:after="0"/>
              <w:rPr>
                <w:sz w:val="20"/>
                <w:szCs w:val="20"/>
                <w:color w:val="auto"/>
              </w:rPr>
            </w:pPr>
            <w:r>
              <w:rPr>
                <w:rFonts w:ascii="Arial" w:cs="Arial" w:eastAsia="Arial" w:hAnsi="Arial"/>
                <w:sz w:val="16"/>
                <w:szCs w:val="16"/>
                <w:color w:val="auto"/>
              </w:rPr>
              <w:t>Long-term rate of compensation increase</w:t>
            </w:r>
          </w:p>
        </w:tc>
        <w:tc>
          <w:tcPr>
            <w:tcW w:w="1420" w:type="dxa"/>
            <w:vAlign w:val="bottom"/>
          </w:tcPr>
          <w:p>
            <w:pPr>
              <w:jc w:val="right"/>
              <w:ind w:right="481"/>
              <w:spacing w:after="0"/>
              <w:rPr>
                <w:sz w:val="20"/>
                <w:szCs w:val="20"/>
                <w:color w:val="auto"/>
              </w:rPr>
            </w:pPr>
            <w:r>
              <w:rPr>
                <w:rFonts w:ascii="Arial" w:cs="Arial" w:eastAsia="Arial" w:hAnsi="Arial"/>
                <w:sz w:val="16"/>
                <w:szCs w:val="16"/>
                <w:color w:val="auto"/>
              </w:rPr>
              <w:t>5.75</w:t>
            </w:r>
          </w:p>
        </w:tc>
        <w:tc>
          <w:tcPr>
            <w:tcW w:w="760" w:type="dxa"/>
            <w:vAlign w:val="bottom"/>
          </w:tcPr>
          <w:p>
            <w:pPr>
              <w:jc w:val="right"/>
              <w:spacing w:after="0"/>
              <w:rPr>
                <w:sz w:val="20"/>
                <w:szCs w:val="20"/>
                <w:color w:val="auto"/>
              </w:rPr>
            </w:pPr>
            <w:r>
              <w:rPr>
                <w:rFonts w:ascii="Arial" w:cs="Arial" w:eastAsia="Arial" w:hAnsi="Arial"/>
                <w:sz w:val="16"/>
                <w:szCs w:val="16"/>
                <w:color w:val="auto"/>
              </w:rPr>
              <w:t>5.75</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683"/>
              <w:spacing w:after="0"/>
              <w:rPr>
                <w:sz w:val="20"/>
                <w:szCs w:val="20"/>
                <w:color w:val="auto"/>
              </w:rPr>
            </w:pPr>
            <w:r>
              <w:rPr>
                <w:rFonts w:ascii="Arial" w:cs="Arial" w:eastAsia="Arial" w:hAnsi="Arial"/>
                <w:sz w:val="16"/>
                <w:szCs w:val="16"/>
                <w:color w:val="auto"/>
              </w:rPr>
              <w:t>5.30</w:t>
            </w:r>
          </w:p>
        </w:tc>
        <w:tc>
          <w:tcPr>
            <w:tcW w:w="540" w:type="dxa"/>
            <w:vAlign w:val="bottom"/>
          </w:tcPr>
          <w:p>
            <w:pPr>
              <w:jc w:val="right"/>
              <w:spacing w:after="0"/>
              <w:rPr>
                <w:sz w:val="20"/>
                <w:szCs w:val="20"/>
                <w:color w:val="auto"/>
              </w:rPr>
            </w:pPr>
            <w:r>
              <w:rPr>
                <w:rFonts w:ascii="Arial" w:cs="Arial" w:eastAsia="Arial" w:hAnsi="Arial"/>
                <w:sz w:val="16"/>
                <w:szCs w:val="16"/>
                <w:color w:val="auto"/>
              </w:rPr>
              <w:t>5.40</w:t>
            </w:r>
          </w:p>
        </w:tc>
        <w:tc>
          <w:tcPr>
            <w:tcW w:w="460" w:type="dxa"/>
            <w:vAlign w:val="bottom"/>
          </w:tcPr>
          <w:p>
            <w:pPr>
              <w:spacing w:after="0"/>
              <w:rPr>
                <w:sz w:val="18"/>
                <w:szCs w:val="18"/>
                <w:color w:val="auto"/>
              </w:rPr>
            </w:pPr>
          </w:p>
        </w:tc>
        <w:tc>
          <w:tcPr>
            <w:tcW w:w="1540" w:type="dxa"/>
            <w:vAlign w:val="bottom"/>
          </w:tcPr>
          <w:p>
            <w:pPr>
              <w:jc w:val="right"/>
              <w:ind w:right="722"/>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382"/>
        </w:trPr>
        <w:tc>
          <w:tcPr>
            <w:tcW w:w="4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i w:val="1"/>
                <w:iCs w:val="1"/>
                <w:color w:val="auto"/>
              </w:rPr>
              <w:t>(millions of dollars)</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260" w:type="dxa"/>
            <w:vAlign w:val="bottom"/>
          </w:tcPr>
          <w:p>
            <w:pPr>
              <w:spacing w:after="0"/>
              <w:rPr>
                <w:sz w:val="20"/>
                <w:szCs w:val="20"/>
                <w:color w:val="auto"/>
              </w:rPr>
            </w:pPr>
            <w:r>
              <w:rPr>
                <w:rFonts w:ascii="Arial" w:cs="Arial" w:eastAsia="Arial" w:hAnsi="Arial"/>
                <w:sz w:val="16"/>
                <w:szCs w:val="16"/>
                <w:color w:val="auto"/>
              </w:rPr>
              <w:t>Change in benefit obligation</w:t>
            </w: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tcPr>
          <w:p>
            <w:pPr>
              <w:ind w:left="240"/>
              <w:spacing w:after="0"/>
              <w:rPr>
                <w:sz w:val="20"/>
                <w:szCs w:val="20"/>
                <w:color w:val="auto"/>
              </w:rPr>
            </w:pPr>
            <w:r>
              <w:rPr>
                <w:rFonts w:ascii="Arial" w:cs="Arial" w:eastAsia="Arial" w:hAnsi="Arial"/>
                <w:sz w:val="16"/>
                <w:szCs w:val="16"/>
                <w:color w:val="auto"/>
              </w:rPr>
              <w:t>Benefit obligation at January 1</w:t>
            </w:r>
          </w:p>
        </w:tc>
        <w:tc>
          <w:tcPr>
            <w:tcW w:w="1420" w:type="dxa"/>
            <w:vAlign w:val="bottom"/>
          </w:tcPr>
          <w:p>
            <w:pPr>
              <w:jc w:val="right"/>
              <w:ind w:right="481"/>
              <w:spacing w:after="0"/>
              <w:rPr>
                <w:sz w:val="20"/>
                <w:szCs w:val="20"/>
                <w:color w:val="auto"/>
              </w:rPr>
            </w:pPr>
            <w:r>
              <w:rPr>
                <w:rFonts w:ascii="Arial" w:cs="Arial" w:eastAsia="Arial" w:hAnsi="Arial"/>
                <w:sz w:val="16"/>
                <w:szCs w:val="16"/>
                <w:color w:val="auto"/>
              </w:rPr>
              <w:t>17,304</w:t>
            </w:r>
          </w:p>
        </w:tc>
        <w:tc>
          <w:tcPr>
            <w:tcW w:w="760" w:type="dxa"/>
            <w:vAlign w:val="bottom"/>
          </w:tcPr>
          <w:p>
            <w:pPr>
              <w:jc w:val="right"/>
              <w:spacing w:after="0"/>
              <w:rPr>
                <w:sz w:val="20"/>
                <w:szCs w:val="20"/>
                <w:color w:val="auto"/>
              </w:rPr>
            </w:pPr>
            <w:r>
              <w:rPr>
                <w:rFonts w:ascii="Arial" w:cs="Arial" w:eastAsia="Arial" w:hAnsi="Arial"/>
                <w:sz w:val="16"/>
                <w:szCs w:val="16"/>
                <w:color w:val="auto"/>
              </w:rPr>
              <w:t>19,779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683"/>
              <w:spacing w:after="0"/>
              <w:rPr>
                <w:sz w:val="20"/>
                <w:szCs w:val="20"/>
                <w:color w:val="auto"/>
              </w:rPr>
            </w:pPr>
            <w:r>
              <w:rPr>
                <w:rFonts w:ascii="Arial" w:cs="Arial" w:eastAsia="Arial" w:hAnsi="Arial"/>
                <w:sz w:val="16"/>
                <w:szCs w:val="16"/>
                <w:color w:val="auto"/>
              </w:rPr>
              <w:t>27,357</w:t>
            </w:r>
          </w:p>
        </w:tc>
        <w:tc>
          <w:tcPr>
            <w:tcW w:w="540" w:type="dxa"/>
            <w:vAlign w:val="bottom"/>
          </w:tcPr>
          <w:p>
            <w:pPr>
              <w:jc w:val="right"/>
              <w:spacing w:after="0"/>
              <w:rPr>
                <w:sz w:val="20"/>
                <w:szCs w:val="20"/>
                <w:color w:val="auto"/>
              </w:rPr>
            </w:pPr>
            <w:r>
              <w:rPr>
                <w:rFonts w:ascii="Arial" w:cs="Arial" w:eastAsia="Arial" w:hAnsi="Arial"/>
                <w:sz w:val="16"/>
                <w:szCs w:val="16"/>
                <w:color w:val="auto"/>
                <w:w w:val="93"/>
              </w:rPr>
              <w:t>28,670</w:t>
            </w:r>
          </w:p>
        </w:tc>
        <w:tc>
          <w:tcPr>
            <w:tcW w:w="460" w:type="dxa"/>
            <w:vAlign w:val="bottom"/>
          </w:tcPr>
          <w:p>
            <w:pPr>
              <w:spacing w:after="0"/>
              <w:rPr>
                <w:sz w:val="18"/>
                <w:szCs w:val="18"/>
                <w:color w:val="auto"/>
              </w:rPr>
            </w:pPr>
          </w:p>
        </w:tc>
        <w:tc>
          <w:tcPr>
            <w:tcW w:w="1540" w:type="dxa"/>
            <w:vAlign w:val="bottom"/>
          </w:tcPr>
          <w:p>
            <w:pPr>
              <w:jc w:val="right"/>
              <w:ind w:right="722"/>
              <w:spacing w:after="0"/>
              <w:rPr>
                <w:sz w:val="20"/>
                <w:szCs w:val="20"/>
                <w:color w:val="auto"/>
              </w:rPr>
            </w:pPr>
            <w:r>
              <w:rPr>
                <w:rFonts w:ascii="Arial" w:cs="Arial" w:eastAsia="Arial" w:hAnsi="Arial"/>
                <w:sz w:val="16"/>
                <w:szCs w:val="16"/>
                <w:color w:val="auto"/>
              </w:rPr>
              <w:t>7,868</w:t>
            </w:r>
          </w:p>
        </w:tc>
        <w:tc>
          <w:tcPr>
            <w:tcW w:w="0" w:type="dxa"/>
            <w:vAlign w:val="bottom"/>
          </w:tcPr>
          <w:p>
            <w:pPr>
              <w:spacing w:after="0"/>
              <w:rPr>
                <w:sz w:val="1"/>
                <w:szCs w:val="1"/>
                <w:color w:val="auto"/>
              </w:rPr>
            </w:pPr>
          </w:p>
        </w:tc>
      </w:tr>
      <w:tr>
        <w:trPr>
          <w:trHeight w:val="208"/>
        </w:trPr>
        <w:tc>
          <w:tcPr>
            <w:tcW w:w="4260" w:type="dxa"/>
            <w:vAlign w:val="bottom"/>
          </w:tcPr>
          <w:p>
            <w:pPr>
              <w:ind w:left="240"/>
              <w:spacing w:after="0"/>
              <w:rPr>
                <w:sz w:val="20"/>
                <w:szCs w:val="20"/>
                <w:color w:val="auto"/>
              </w:rPr>
            </w:pPr>
            <w:r>
              <w:rPr>
                <w:rFonts w:ascii="Arial" w:cs="Arial" w:eastAsia="Arial" w:hAnsi="Arial"/>
                <w:sz w:val="16"/>
                <w:szCs w:val="16"/>
                <w:color w:val="auto"/>
              </w:rPr>
              <w:t>Service cost</w:t>
            </w:r>
          </w:p>
        </w:tc>
        <w:tc>
          <w:tcPr>
            <w:tcW w:w="1420" w:type="dxa"/>
            <w:vAlign w:val="bottom"/>
          </w:tcPr>
          <w:p>
            <w:pPr>
              <w:jc w:val="right"/>
              <w:ind w:right="481"/>
              <w:spacing w:after="0"/>
              <w:rPr>
                <w:sz w:val="20"/>
                <w:szCs w:val="20"/>
                <w:color w:val="auto"/>
              </w:rPr>
            </w:pPr>
            <w:r>
              <w:rPr>
                <w:rFonts w:ascii="Arial" w:cs="Arial" w:eastAsia="Arial" w:hAnsi="Arial"/>
                <w:sz w:val="16"/>
                <w:szCs w:val="16"/>
                <w:color w:val="auto"/>
              </w:rPr>
              <w:t>677</w:t>
            </w:r>
          </w:p>
        </w:tc>
        <w:tc>
          <w:tcPr>
            <w:tcW w:w="760" w:type="dxa"/>
            <w:vAlign w:val="bottom"/>
          </w:tcPr>
          <w:p>
            <w:pPr>
              <w:jc w:val="right"/>
              <w:spacing w:after="0"/>
              <w:rPr>
                <w:sz w:val="20"/>
                <w:szCs w:val="20"/>
                <w:color w:val="auto"/>
              </w:rPr>
            </w:pPr>
            <w:r>
              <w:rPr>
                <w:rFonts w:ascii="Arial" w:cs="Arial" w:eastAsia="Arial" w:hAnsi="Arial"/>
                <w:sz w:val="16"/>
                <w:szCs w:val="16"/>
                <w:color w:val="auto"/>
              </w:rPr>
              <w:t>801</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683"/>
              <w:spacing w:after="0"/>
              <w:rPr>
                <w:sz w:val="20"/>
                <w:szCs w:val="20"/>
                <w:color w:val="auto"/>
              </w:rPr>
            </w:pPr>
            <w:r>
              <w:rPr>
                <w:rFonts w:ascii="Arial" w:cs="Arial" w:eastAsia="Arial" w:hAnsi="Arial"/>
                <w:sz w:val="16"/>
                <w:szCs w:val="16"/>
                <w:color w:val="auto"/>
              </w:rPr>
              <w:t>590</w:t>
            </w:r>
          </w:p>
        </w:tc>
        <w:tc>
          <w:tcPr>
            <w:tcW w:w="540" w:type="dxa"/>
            <w:vAlign w:val="bottom"/>
          </w:tcPr>
          <w:p>
            <w:pPr>
              <w:jc w:val="right"/>
              <w:spacing w:after="0"/>
              <w:rPr>
                <w:sz w:val="20"/>
                <w:szCs w:val="20"/>
                <w:color w:val="auto"/>
              </w:rPr>
            </w:pPr>
            <w:r>
              <w:rPr>
                <w:rFonts w:ascii="Arial" w:cs="Arial" w:eastAsia="Arial" w:hAnsi="Arial"/>
                <w:sz w:val="16"/>
                <w:szCs w:val="16"/>
                <w:color w:val="auto"/>
              </w:rPr>
              <w:t>697</w:t>
            </w:r>
          </w:p>
        </w:tc>
        <w:tc>
          <w:tcPr>
            <w:tcW w:w="460" w:type="dxa"/>
            <w:vAlign w:val="bottom"/>
          </w:tcPr>
          <w:p>
            <w:pPr>
              <w:spacing w:after="0"/>
              <w:rPr>
                <w:sz w:val="18"/>
                <w:szCs w:val="18"/>
                <w:color w:val="auto"/>
              </w:rPr>
            </w:pPr>
          </w:p>
        </w:tc>
        <w:tc>
          <w:tcPr>
            <w:tcW w:w="1540" w:type="dxa"/>
            <w:vAlign w:val="bottom"/>
          </w:tcPr>
          <w:p>
            <w:pPr>
              <w:jc w:val="right"/>
              <w:ind w:right="722"/>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8"/>
        </w:trPr>
        <w:tc>
          <w:tcPr>
            <w:tcW w:w="4260" w:type="dxa"/>
            <w:vAlign w:val="bottom"/>
          </w:tcPr>
          <w:p>
            <w:pPr>
              <w:ind w:left="240"/>
              <w:spacing w:after="0"/>
              <w:rPr>
                <w:sz w:val="20"/>
                <w:szCs w:val="20"/>
                <w:color w:val="auto"/>
              </w:rPr>
            </w:pPr>
            <w:r>
              <w:rPr>
                <w:rFonts w:ascii="Arial" w:cs="Arial" w:eastAsia="Arial" w:hAnsi="Arial"/>
                <w:sz w:val="16"/>
                <w:szCs w:val="16"/>
                <w:color w:val="auto"/>
              </w:rPr>
              <w:t>Interest cost</w:t>
            </w:r>
          </w:p>
        </w:tc>
        <w:tc>
          <w:tcPr>
            <w:tcW w:w="1420" w:type="dxa"/>
            <w:vAlign w:val="bottom"/>
          </w:tcPr>
          <w:p>
            <w:pPr>
              <w:jc w:val="right"/>
              <w:ind w:right="481"/>
              <w:spacing w:after="0"/>
              <w:rPr>
                <w:sz w:val="20"/>
                <w:szCs w:val="20"/>
                <w:color w:val="auto"/>
              </w:rPr>
            </w:pPr>
            <w:r>
              <w:rPr>
                <w:rFonts w:ascii="Arial" w:cs="Arial" w:eastAsia="Arial" w:hAnsi="Arial"/>
                <w:sz w:val="16"/>
                <w:szCs w:val="16"/>
                <w:color w:val="auto"/>
              </w:rPr>
              <w:t>807</w:t>
            </w:r>
          </w:p>
        </w:tc>
        <w:tc>
          <w:tcPr>
            <w:tcW w:w="760" w:type="dxa"/>
            <w:vAlign w:val="bottom"/>
          </w:tcPr>
          <w:p>
            <w:pPr>
              <w:jc w:val="right"/>
              <w:spacing w:after="0"/>
              <w:rPr>
                <w:sz w:val="20"/>
                <w:szCs w:val="20"/>
                <w:color w:val="auto"/>
              </w:rPr>
            </w:pPr>
            <w:r>
              <w:rPr>
                <w:rFonts w:ascii="Arial" w:cs="Arial" w:eastAsia="Arial" w:hAnsi="Arial"/>
                <w:sz w:val="16"/>
                <w:szCs w:val="16"/>
                <w:color w:val="auto"/>
              </w:rPr>
              <w:t>749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683"/>
              <w:spacing w:after="0"/>
              <w:rPr>
                <w:sz w:val="20"/>
                <w:szCs w:val="20"/>
                <w:color w:val="auto"/>
              </w:rPr>
            </w:pPr>
            <w:r>
              <w:rPr>
                <w:rFonts w:ascii="Arial" w:cs="Arial" w:eastAsia="Arial" w:hAnsi="Arial"/>
                <w:sz w:val="16"/>
                <w:szCs w:val="16"/>
                <w:color w:val="auto"/>
              </w:rPr>
              <w:t>1,138</w:t>
            </w:r>
          </w:p>
        </w:tc>
        <w:tc>
          <w:tcPr>
            <w:tcW w:w="540" w:type="dxa"/>
            <w:vAlign w:val="bottom"/>
          </w:tcPr>
          <w:p>
            <w:pPr>
              <w:jc w:val="right"/>
              <w:spacing w:after="0"/>
              <w:rPr>
                <w:sz w:val="20"/>
                <w:szCs w:val="20"/>
                <w:color w:val="auto"/>
              </w:rPr>
            </w:pPr>
            <w:r>
              <w:rPr>
                <w:rFonts w:ascii="Arial" w:cs="Arial" w:eastAsia="Arial" w:hAnsi="Arial"/>
                <w:sz w:val="16"/>
                <w:szCs w:val="16"/>
                <w:color w:val="auto"/>
              </w:rPr>
              <w:t>1,076</w:t>
            </w:r>
          </w:p>
        </w:tc>
        <w:tc>
          <w:tcPr>
            <w:tcW w:w="460" w:type="dxa"/>
            <w:vAlign w:val="bottom"/>
          </w:tcPr>
          <w:p>
            <w:pPr>
              <w:spacing w:after="0"/>
              <w:rPr>
                <w:sz w:val="18"/>
                <w:szCs w:val="18"/>
                <w:color w:val="auto"/>
              </w:rPr>
            </w:pPr>
          </w:p>
        </w:tc>
        <w:tc>
          <w:tcPr>
            <w:tcW w:w="1540" w:type="dxa"/>
            <w:vAlign w:val="bottom"/>
          </w:tcPr>
          <w:p>
            <w:pPr>
              <w:jc w:val="right"/>
              <w:ind w:right="722"/>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08"/>
        </w:trPr>
        <w:tc>
          <w:tcPr>
            <w:tcW w:w="4260" w:type="dxa"/>
            <w:vAlign w:val="bottom"/>
          </w:tcPr>
          <w:p>
            <w:pPr>
              <w:ind w:left="240"/>
              <w:spacing w:after="0"/>
              <w:rPr>
                <w:sz w:val="20"/>
                <w:szCs w:val="20"/>
                <w:color w:val="auto"/>
              </w:rPr>
            </w:pPr>
            <w:r>
              <w:rPr>
                <w:rFonts w:ascii="Arial" w:cs="Arial" w:eastAsia="Arial" w:hAnsi="Arial"/>
                <w:sz w:val="16"/>
                <w:szCs w:val="16"/>
                <w:color w:val="auto"/>
              </w:rPr>
              <w:t>Actuarial loss/(gain)</w:t>
            </w:r>
          </w:p>
        </w:tc>
        <w:tc>
          <w:tcPr>
            <w:tcW w:w="1420" w:type="dxa"/>
            <w:vAlign w:val="bottom"/>
          </w:tcPr>
          <w:p>
            <w:pPr>
              <w:jc w:val="right"/>
              <w:ind w:right="481"/>
              <w:spacing w:after="0"/>
              <w:rPr>
                <w:sz w:val="20"/>
                <w:szCs w:val="20"/>
                <w:color w:val="auto"/>
              </w:rPr>
            </w:pPr>
            <w:r>
              <w:rPr>
                <w:rFonts w:ascii="Arial" w:cs="Arial" w:eastAsia="Arial" w:hAnsi="Arial"/>
                <w:sz w:val="16"/>
                <w:szCs w:val="16"/>
                <w:color w:val="auto"/>
              </w:rPr>
              <w:t>3,192</w:t>
            </w:r>
          </w:p>
        </w:tc>
        <w:tc>
          <w:tcPr>
            <w:tcW w:w="1220" w:type="dxa"/>
            <w:vAlign w:val="bottom"/>
            <w:gridSpan w:val="2"/>
          </w:tcPr>
          <w:p>
            <w:pPr>
              <w:jc w:val="right"/>
              <w:ind w:right="460"/>
              <w:spacing w:after="0"/>
              <w:rPr>
                <w:sz w:val="20"/>
                <w:szCs w:val="20"/>
                <w:color w:val="auto"/>
              </w:rPr>
            </w:pPr>
            <w:r>
              <w:rPr>
                <w:rFonts w:ascii="Arial" w:cs="Arial" w:eastAsia="Arial" w:hAnsi="Arial"/>
                <w:sz w:val="16"/>
                <w:szCs w:val="16"/>
                <w:color w:val="auto"/>
              </w:rPr>
              <w:t>(1,520)</w:t>
            </w:r>
          </w:p>
        </w:tc>
        <w:tc>
          <w:tcPr>
            <w:tcW w:w="200" w:type="dxa"/>
            <w:vAlign w:val="bottom"/>
          </w:tcPr>
          <w:p>
            <w:pPr>
              <w:spacing w:after="0"/>
              <w:rPr>
                <w:sz w:val="18"/>
                <w:szCs w:val="18"/>
                <w:color w:val="auto"/>
              </w:rPr>
            </w:pPr>
          </w:p>
        </w:tc>
        <w:tc>
          <w:tcPr>
            <w:tcW w:w="1300" w:type="dxa"/>
            <w:vAlign w:val="bottom"/>
          </w:tcPr>
          <w:p>
            <w:pPr>
              <w:jc w:val="right"/>
              <w:ind w:right="683"/>
              <w:spacing w:after="0"/>
              <w:rPr>
                <w:sz w:val="20"/>
                <w:szCs w:val="20"/>
                <w:color w:val="auto"/>
              </w:rPr>
            </w:pPr>
            <w:r>
              <w:rPr>
                <w:rFonts w:ascii="Arial" w:cs="Arial" w:eastAsia="Arial" w:hAnsi="Arial"/>
                <w:sz w:val="16"/>
                <w:szCs w:val="16"/>
                <w:color w:val="auto"/>
              </w:rPr>
              <w:t>4,929</w:t>
            </w:r>
          </w:p>
        </w:tc>
        <w:tc>
          <w:tcPr>
            <w:tcW w:w="1000" w:type="dxa"/>
            <w:vAlign w:val="bottom"/>
            <w:gridSpan w:val="2"/>
          </w:tcPr>
          <w:p>
            <w:pPr>
              <w:jc w:val="right"/>
              <w:ind w:right="460"/>
              <w:spacing w:after="0"/>
              <w:rPr>
                <w:sz w:val="20"/>
                <w:szCs w:val="20"/>
                <w:color w:val="auto"/>
              </w:rPr>
            </w:pPr>
            <w:r>
              <w:rPr>
                <w:rFonts w:ascii="Arial" w:cs="Arial" w:eastAsia="Arial" w:hAnsi="Arial"/>
                <w:sz w:val="16"/>
                <w:szCs w:val="16"/>
                <w:color w:val="auto"/>
              </w:rPr>
              <w:t>(1,454)</w:t>
            </w:r>
          </w:p>
        </w:tc>
        <w:tc>
          <w:tcPr>
            <w:tcW w:w="1540" w:type="dxa"/>
            <w:vAlign w:val="bottom"/>
          </w:tcPr>
          <w:p>
            <w:pPr>
              <w:jc w:val="right"/>
              <w:ind w:right="722"/>
              <w:spacing w:after="0"/>
              <w:rPr>
                <w:sz w:val="20"/>
                <w:szCs w:val="20"/>
                <w:color w:val="auto"/>
              </w:rPr>
            </w:pPr>
            <w:r>
              <w:rPr>
                <w:rFonts w:ascii="Arial" w:cs="Arial" w:eastAsia="Arial" w:hAnsi="Arial"/>
                <w:sz w:val="16"/>
                <w:szCs w:val="16"/>
                <w:color w:val="auto"/>
              </w:rPr>
              <w:t>1,522</w:t>
            </w:r>
          </w:p>
        </w:tc>
        <w:tc>
          <w:tcPr>
            <w:tcW w:w="0" w:type="dxa"/>
            <w:vAlign w:val="bottom"/>
          </w:tcPr>
          <w:p>
            <w:pPr>
              <w:spacing w:after="0"/>
              <w:rPr>
                <w:sz w:val="1"/>
                <w:szCs w:val="1"/>
                <w:color w:val="auto"/>
              </w:rPr>
            </w:pPr>
          </w:p>
        </w:tc>
      </w:tr>
      <w:tr>
        <w:trPr>
          <w:trHeight w:val="208"/>
        </w:trPr>
        <w:tc>
          <w:tcPr>
            <w:tcW w:w="4260" w:type="dxa"/>
            <w:vAlign w:val="bottom"/>
          </w:tcPr>
          <w:p>
            <w:pPr>
              <w:ind w:left="240"/>
              <w:spacing w:after="0"/>
              <w:rPr>
                <w:sz w:val="20"/>
                <w:szCs w:val="20"/>
                <w:color w:val="auto"/>
              </w:rPr>
            </w:pPr>
            <w:r>
              <w:rPr>
                <w:rFonts w:ascii="Arial" w:cs="Arial" w:eastAsia="Arial" w:hAnsi="Arial"/>
                <w:sz w:val="16"/>
                <w:szCs w:val="16"/>
                <w:color w:val="auto"/>
              </w:rPr>
              <w:t xml:space="preserve">Benefits paid </w:t>
            </w:r>
            <w:r>
              <w:rPr>
                <w:rFonts w:ascii="Arial" w:cs="Arial" w:eastAsia="Arial" w:hAnsi="Arial"/>
                <w:sz w:val="14"/>
                <w:szCs w:val="14"/>
                <w:i w:val="1"/>
                <w:iCs w:val="1"/>
                <w:color w:val="auto"/>
              </w:rPr>
              <w:t>(1) (2)</w:t>
            </w:r>
          </w:p>
        </w:tc>
        <w:tc>
          <w:tcPr>
            <w:tcW w:w="1420" w:type="dxa"/>
            <w:vAlign w:val="bottom"/>
          </w:tcPr>
          <w:p>
            <w:pPr>
              <w:jc w:val="right"/>
              <w:ind w:right="421"/>
              <w:spacing w:after="0"/>
              <w:rPr>
                <w:sz w:val="20"/>
                <w:szCs w:val="20"/>
                <w:color w:val="auto"/>
              </w:rPr>
            </w:pPr>
            <w:r>
              <w:rPr>
                <w:rFonts w:ascii="Arial" w:cs="Arial" w:eastAsia="Arial" w:hAnsi="Arial"/>
                <w:sz w:val="16"/>
                <w:szCs w:val="16"/>
                <w:color w:val="auto"/>
              </w:rPr>
              <w:t>(1,427)</w:t>
            </w:r>
          </w:p>
        </w:tc>
        <w:tc>
          <w:tcPr>
            <w:tcW w:w="1220" w:type="dxa"/>
            <w:vAlign w:val="bottom"/>
            <w:gridSpan w:val="2"/>
          </w:tcPr>
          <w:p>
            <w:pPr>
              <w:jc w:val="right"/>
              <w:ind w:right="460"/>
              <w:spacing w:after="0"/>
              <w:rPr>
                <w:sz w:val="20"/>
                <w:szCs w:val="20"/>
                <w:color w:val="auto"/>
              </w:rPr>
            </w:pPr>
            <w:r>
              <w:rPr>
                <w:rFonts w:ascii="Arial" w:cs="Arial" w:eastAsia="Arial" w:hAnsi="Arial"/>
                <w:sz w:val="16"/>
                <w:szCs w:val="16"/>
                <w:color w:val="auto"/>
              </w:rPr>
              <w:t>(2,520)</w:t>
            </w:r>
          </w:p>
        </w:tc>
        <w:tc>
          <w:tcPr>
            <w:tcW w:w="200" w:type="dxa"/>
            <w:vAlign w:val="bottom"/>
          </w:tcPr>
          <w:p>
            <w:pPr>
              <w:spacing w:after="0"/>
              <w:rPr>
                <w:sz w:val="18"/>
                <w:szCs w:val="18"/>
                <w:color w:val="auto"/>
              </w:rPr>
            </w:pPr>
          </w:p>
        </w:tc>
        <w:tc>
          <w:tcPr>
            <w:tcW w:w="1300" w:type="dxa"/>
            <w:vAlign w:val="bottom"/>
          </w:tcPr>
          <w:p>
            <w:pPr>
              <w:jc w:val="right"/>
              <w:ind w:right="643"/>
              <w:spacing w:after="0"/>
              <w:rPr>
                <w:sz w:val="20"/>
                <w:szCs w:val="20"/>
                <w:color w:val="auto"/>
              </w:rPr>
            </w:pPr>
            <w:r>
              <w:rPr>
                <w:rFonts w:ascii="Arial" w:cs="Arial" w:eastAsia="Arial" w:hAnsi="Arial"/>
                <w:sz w:val="16"/>
                <w:szCs w:val="16"/>
                <w:color w:val="auto"/>
              </w:rPr>
              <w:t>(1,366)</w:t>
            </w:r>
          </w:p>
        </w:tc>
        <w:tc>
          <w:tcPr>
            <w:tcW w:w="1000" w:type="dxa"/>
            <w:vAlign w:val="bottom"/>
            <w:gridSpan w:val="2"/>
          </w:tcPr>
          <w:p>
            <w:pPr>
              <w:jc w:val="right"/>
              <w:ind w:right="460"/>
              <w:spacing w:after="0"/>
              <w:rPr>
                <w:sz w:val="20"/>
                <w:szCs w:val="20"/>
                <w:color w:val="auto"/>
              </w:rPr>
            </w:pPr>
            <w:r>
              <w:rPr>
                <w:rFonts w:ascii="Arial" w:cs="Arial" w:eastAsia="Arial" w:hAnsi="Arial"/>
                <w:sz w:val="16"/>
                <w:szCs w:val="16"/>
                <w:color w:val="auto"/>
              </w:rPr>
              <w:t>(1,311)</w:t>
            </w:r>
          </w:p>
        </w:tc>
        <w:tc>
          <w:tcPr>
            <w:tcW w:w="1540" w:type="dxa"/>
            <w:vAlign w:val="bottom"/>
          </w:tcPr>
          <w:p>
            <w:pPr>
              <w:jc w:val="right"/>
              <w:ind w:right="682"/>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08"/>
        </w:trPr>
        <w:tc>
          <w:tcPr>
            <w:tcW w:w="4260" w:type="dxa"/>
            <w:vAlign w:val="bottom"/>
          </w:tcPr>
          <w:p>
            <w:pPr>
              <w:ind w:left="240"/>
              <w:spacing w:after="0"/>
              <w:rPr>
                <w:sz w:val="20"/>
                <w:szCs w:val="20"/>
                <w:color w:val="auto"/>
              </w:rPr>
            </w:pPr>
            <w:r>
              <w:rPr>
                <w:rFonts w:ascii="Arial" w:cs="Arial" w:eastAsia="Arial" w:hAnsi="Arial"/>
                <w:sz w:val="16"/>
                <w:szCs w:val="16"/>
                <w:color w:val="auto"/>
              </w:rPr>
              <w:t>Foreign exchange rate changes</w:t>
            </w:r>
          </w:p>
        </w:tc>
        <w:tc>
          <w:tcPr>
            <w:tcW w:w="1420" w:type="dxa"/>
            <w:vAlign w:val="bottom"/>
          </w:tcPr>
          <w:p>
            <w:pPr>
              <w:jc w:val="right"/>
              <w:ind w:right="56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643"/>
              <w:spacing w:after="0"/>
              <w:rPr>
                <w:sz w:val="20"/>
                <w:szCs w:val="20"/>
                <w:color w:val="auto"/>
              </w:rPr>
            </w:pPr>
            <w:r>
              <w:rPr>
                <w:rFonts w:ascii="Arial" w:cs="Arial" w:eastAsia="Arial" w:hAnsi="Arial"/>
                <w:sz w:val="16"/>
                <w:szCs w:val="16"/>
                <w:color w:val="auto"/>
              </w:rPr>
              <w:t>(2,540)</w:t>
            </w:r>
          </w:p>
        </w:tc>
        <w:tc>
          <w:tcPr>
            <w:tcW w:w="1000" w:type="dxa"/>
            <w:vAlign w:val="bottom"/>
            <w:gridSpan w:val="2"/>
          </w:tcPr>
          <w:p>
            <w:pPr>
              <w:jc w:val="right"/>
              <w:ind w:right="460"/>
              <w:spacing w:after="0"/>
              <w:rPr>
                <w:sz w:val="20"/>
                <w:szCs w:val="20"/>
                <w:color w:val="auto"/>
              </w:rPr>
            </w:pPr>
            <w:r>
              <w:rPr>
                <w:rFonts w:ascii="Arial" w:cs="Arial" w:eastAsia="Arial" w:hAnsi="Arial"/>
                <w:sz w:val="16"/>
                <w:szCs w:val="16"/>
                <w:color w:val="auto"/>
              </w:rPr>
              <w:t>(284)</w:t>
            </w:r>
          </w:p>
        </w:tc>
        <w:tc>
          <w:tcPr>
            <w:tcW w:w="1540" w:type="dxa"/>
            <w:vAlign w:val="bottom"/>
          </w:tcPr>
          <w:p>
            <w:pPr>
              <w:jc w:val="right"/>
              <w:ind w:right="682"/>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4"/>
        </w:trPr>
        <w:tc>
          <w:tcPr>
            <w:tcW w:w="4260" w:type="dxa"/>
            <w:vAlign w:val="bottom"/>
          </w:tcPr>
          <w:p>
            <w:pPr>
              <w:ind w:left="240"/>
              <w:spacing w:after="0"/>
              <w:rPr>
                <w:sz w:val="20"/>
                <w:szCs w:val="20"/>
                <w:color w:val="auto"/>
              </w:rPr>
            </w:pPr>
            <w:r>
              <w:rPr>
                <w:rFonts w:ascii="Arial" w:cs="Arial" w:eastAsia="Arial" w:hAnsi="Arial"/>
                <w:sz w:val="16"/>
                <w:szCs w:val="16"/>
                <w:color w:val="auto"/>
              </w:rPr>
              <w:t>Amendments, divestments and other</w:t>
            </w:r>
          </w:p>
        </w:tc>
        <w:tc>
          <w:tcPr>
            <w:tcW w:w="14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(24)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4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43"/>
              <w:spacing w:after="0"/>
              <w:rPr>
                <w:sz w:val="20"/>
                <w:szCs w:val="20"/>
                <w:color w:val="auto"/>
              </w:rPr>
            </w:pPr>
            <w:r>
              <w:rPr>
                <w:rFonts w:ascii="Arial" w:cs="Arial" w:eastAsia="Arial" w:hAnsi="Arial"/>
                <w:sz w:val="16"/>
                <w:szCs w:val="16"/>
                <w:color w:val="auto"/>
              </w:rPr>
              <w:t>(61)</w:t>
            </w:r>
          </w:p>
        </w:tc>
        <w:tc>
          <w:tcPr>
            <w:tcW w:w="10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6"/>
                <w:szCs w:val="16"/>
                <w:color w:val="auto"/>
              </w:rPr>
              <w:t>(37)</w:t>
            </w:r>
          </w:p>
        </w:tc>
        <w:tc>
          <w:tcPr>
            <w:tcW w:w="154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96"/>
        </w:trPr>
        <w:tc>
          <w:tcPr>
            <w:tcW w:w="4260" w:type="dxa"/>
            <w:vAlign w:val="bottom"/>
          </w:tcPr>
          <w:p>
            <w:pPr>
              <w:spacing w:after="0" w:line="183" w:lineRule="exact"/>
              <w:rPr>
                <w:sz w:val="20"/>
                <w:szCs w:val="20"/>
                <w:color w:val="auto"/>
              </w:rPr>
            </w:pPr>
            <w:r>
              <w:rPr>
                <w:rFonts w:ascii="Arial" w:cs="Arial" w:eastAsia="Arial" w:hAnsi="Arial"/>
                <w:sz w:val="16"/>
                <w:szCs w:val="16"/>
                <w:color w:val="auto"/>
              </w:rPr>
              <w:t>Benefit obligation at December 31</w:t>
            </w:r>
          </w:p>
        </w:tc>
        <w:tc>
          <w:tcPr>
            <w:tcW w:w="142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color w:val="auto"/>
              </w:rPr>
              <w:t>20,529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17,304</w:t>
            </w: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83"/>
              <w:spacing w:after="0"/>
              <w:rPr>
                <w:sz w:val="20"/>
                <w:szCs w:val="20"/>
                <w:color w:val="auto"/>
              </w:rPr>
            </w:pPr>
            <w:r>
              <w:rPr>
                <w:rFonts w:ascii="Arial" w:cs="Arial" w:eastAsia="Arial" w:hAnsi="Arial"/>
                <w:sz w:val="16"/>
                <w:szCs w:val="16"/>
                <w:color w:val="auto"/>
              </w:rPr>
              <w:t>30,047</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27,357</w:t>
            </w: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color w:val="auto"/>
              </w:rPr>
              <w:t>9,436</w:t>
            </w:r>
          </w:p>
        </w:tc>
        <w:tc>
          <w:tcPr>
            <w:tcW w:w="0" w:type="dxa"/>
            <w:vAlign w:val="bottom"/>
          </w:tcPr>
          <w:p>
            <w:pPr>
              <w:spacing w:after="0"/>
              <w:rPr>
                <w:sz w:val="1"/>
                <w:szCs w:val="1"/>
                <w:color w:val="auto"/>
              </w:rPr>
            </w:pPr>
          </w:p>
        </w:tc>
      </w:tr>
      <w:tr>
        <w:trPr>
          <w:trHeight w:val="200"/>
        </w:trPr>
        <w:tc>
          <w:tcPr>
            <w:tcW w:w="4260" w:type="dxa"/>
            <w:vAlign w:val="bottom"/>
          </w:tcPr>
          <w:p>
            <w:pPr>
              <w:spacing w:after="0"/>
              <w:rPr>
                <w:sz w:val="20"/>
                <w:szCs w:val="20"/>
                <w:color w:val="auto"/>
              </w:rPr>
            </w:pPr>
            <w:r>
              <w:rPr>
                <w:rFonts w:ascii="Arial" w:cs="Arial" w:eastAsia="Arial" w:hAnsi="Arial"/>
                <w:sz w:val="16"/>
                <w:szCs w:val="16"/>
                <w:color w:val="auto"/>
              </w:rPr>
              <w:t>Accumulated benefit obligation at December 31</w:t>
            </w:r>
          </w:p>
        </w:tc>
        <w:tc>
          <w:tcPr>
            <w:tcW w:w="1420" w:type="dxa"/>
            <w:vAlign w:val="bottom"/>
          </w:tcPr>
          <w:p>
            <w:pPr>
              <w:jc w:val="right"/>
              <w:ind w:right="481"/>
              <w:spacing w:after="0"/>
              <w:rPr>
                <w:sz w:val="20"/>
                <w:szCs w:val="20"/>
                <w:color w:val="auto"/>
              </w:rPr>
            </w:pPr>
            <w:r>
              <w:rPr>
                <w:rFonts w:ascii="Arial" w:cs="Arial" w:eastAsia="Arial" w:hAnsi="Arial"/>
                <w:sz w:val="16"/>
                <w:szCs w:val="16"/>
                <w:color w:val="auto"/>
              </w:rPr>
              <w:t>16,385</w:t>
            </w:r>
          </w:p>
        </w:tc>
        <w:tc>
          <w:tcPr>
            <w:tcW w:w="760" w:type="dxa"/>
            <w:vAlign w:val="bottom"/>
          </w:tcPr>
          <w:p>
            <w:pPr>
              <w:jc w:val="right"/>
              <w:spacing w:after="0"/>
              <w:rPr>
                <w:sz w:val="20"/>
                <w:szCs w:val="20"/>
                <w:color w:val="auto"/>
              </w:rPr>
            </w:pPr>
            <w:r>
              <w:rPr>
                <w:rFonts w:ascii="Arial" w:cs="Arial" w:eastAsia="Arial" w:hAnsi="Arial"/>
                <w:sz w:val="16"/>
                <w:szCs w:val="16"/>
                <w:color w:val="auto"/>
              </w:rPr>
              <w:t>13,989</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683"/>
              <w:spacing w:after="0"/>
              <w:rPr>
                <w:sz w:val="20"/>
                <w:szCs w:val="20"/>
                <w:color w:val="auto"/>
              </w:rPr>
            </w:pPr>
            <w:r>
              <w:rPr>
                <w:rFonts w:ascii="Arial" w:cs="Arial" w:eastAsia="Arial" w:hAnsi="Arial"/>
                <w:sz w:val="16"/>
                <w:szCs w:val="16"/>
                <w:color w:val="auto"/>
              </w:rPr>
              <w:t>26,318</w:t>
            </w:r>
          </w:p>
        </w:tc>
        <w:tc>
          <w:tcPr>
            <w:tcW w:w="540" w:type="dxa"/>
            <w:vAlign w:val="bottom"/>
          </w:tcPr>
          <w:p>
            <w:pPr>
              <w:jc w:val="right"/>
              <w:spacing w:after="0"/>
              <w:rPr>
                <w:sz w:val="20"/>
                <w:szCs w:val="20"/>
                <w:color w:val="auto"/>
              </w:rPr>
            </w:pPr>
            <w:r>
              <w:rPr>
                <w:rFonts w:ascii="Arial" w:cs="Arial" w:eastAsia="Arial" w:hAnsi="Arial"/>
                <w:sz w:val="16"/>
                <w:szCs w:val="16"/>
                <w:color w:val="auto"/>
                <w:w w:val="93"/>
              </w:rPr>
              <w:t>23,949</w:t>
            </w:r>
          </w:p>
        </w:tc>
        <w:tc>
          <w:tcPr>
            <w:tcW w:w="460" w:type="dxa"/>
            <w:vAlign w:val="bottom"/>
          </w:tcPr>
          <w:p>
            <w:pPr>
              <w:spacing w:after="0"/>
              <w:rPr>
                <w:sz w:val="17"/>
                <w:szCs w:val="17"/>
                <w:color w:val="auto"/>
              </w:rPr>
            </w:pPr>
          </w:p>
        </w:tc>
        <w:tc>
          <w:tcPr>
            <w:tcW w:w="1540" w:type="dxa"/>
            <w:vAlign w:val="bottom"/>
          </w:tcPr>
          <w:p>
            <w:pPr>
              <w:jc w:val="right"/>
              <w:ind w:right="8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20" w:hanging="314"/>
        <w:spacing w:after="0"/>
        <w:tabs>
          <w:tab w:leader="none" w:pos="32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Benefit payments for funded and unfunded plans.</w:t>
      </w:r>
    </w:p>
    <w:p>
      <w:pPr>
        <w:spacing w:after="0" w:line="61" w:lineRule="exact"/>
        <w:rPr>
          <w:rFonts w:ascii="Arial" w:cs="Arial" w:eastAsia="Arial" w:hAnsi="Arial"/>
          <w:sz w:val="16"/>
          <w:szCs w:val="16"/>
          <w:i w:val="1"/>
          <w:iCs w:val="1"/>
          <w:color w:val="auto"/>
        </w:rPr>
      </w:pPr>
    </w:p>
    <w:p>
      <w:pPr>
        <w:ind w:left="320" w:hanging="314"/>
        <w:spacing w:after="0"/>
        <w:tabs>
          <w:tab w:leader="none" w:pos="32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For 2014 and 2013, other postretirement benefits paid are net of $21 million and $20 million of Medicare subsidy receipts, respectively.</w:t>
      </w:r>
    </w:p>
    <w:p>
      <w:pPr>
        <w:spacing w:after="0" w:line="20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For selection of the discount rate for U.S. plans, several sources of information are considered, including interest rate market indicators and the discount rate determ use of a yield curve based on high-quality, noncallable bonds with cash flows that match estimated outflows for benefit payments. For major non-U.S. plans, the disco is determined by using bond portfolios with an average maturity approximating that of the liabilities or spot yield curves, both of which are constructed using high-local-currency-denominated bonds.</w:t>
      </w:r>
    </w:p>
    <w:p>
      <w:pPr>
        <w:spacing w:after="0" w:line="45" w:lineRule="exact"/>
        <w:rPr>
          <w:sz w:val="20"/>
          <w:szCs w:val="20"/>
          <w:color w:val="auto"/>
        </w:rPr>
      </w:pPr>
    </w:p>
    <w:p>
      <w:pPr>
        <w:jc w:val="both"/>
        <w:ind w:firstLine="200"/>
        <w:spacing w:after="0" w:line="265" w:lineRule="auto"/>
        <w:rPr>
          <w:sz w:val="20"/>
          <w:szCs w:val="20"/>
          <w:color w:val="auto"/>
        </w:rPr>
      </w:pPr>
      <w:r>
        <w:rPr>
          <w:rFonts w:ascii="Arial" w:cs="Arial" w:eastAsia="Arial" w:hAnsi="Arial"/>
          <w:sz w:val="16"/>
          <w:szCs w:val="16"/>
          <w:color w:val="auto"/>
        </w:rPr>
        <w:t>The measurement of the accumulated postretirement benefit obligation assumes a health care cost trend rate of 4.5 percent in 2016 and subsequent years. percentage-point increase in the health care cost trend rate would increase service and interest cost by $91 million and the postretirement benefit obligation by $1,070 A one-percentage-point decrease in the health care cost trend rate would decrease service and interest cost by $69 million and the postretirement benefit obligation b million.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80" w:type="dxa"/>
            <w:vAlign w:val="bottom"/>
            <w:gridSpan w:val="3"/>
          </w:tcPr>
          <w:p>
            <w:pPr>
              <w:ind w:left="540"/>
              <w:spacing w:after="0"/>
              <w:rPr>
                <w:sz w:val="20"/>
                <w:szCs w:val="20"/>
                <w:color w:val="auto"/>
              </w:rPr>
            </w:pPr>
            <w:r>
              <w:rPr>
                <w:rFonts w:ascii="Arial" w:cs="Arial" w:eastAsia="Arial" w:hAnsi="Arial"/>
                <w:sz w:val="13"/>
                <w:szCs w:val="13"/>
                <w:b w:val="1"/>
                <w:bCs w:val="1"/>
                <w:color w:val="auto"/>
                <w:w w:val="87"/>
              </w:rPr>
              <w:t>Pension Benefits</w:t>
            </w: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b w:val="1"/>
                <w:bCs w:val="1"/>
                <w:color w:val="auto"/>
              </w:rPr>
              <w:t>Other Postretiremen</w:t>
            </w: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vMerge w:val="restart"/>
          </w:tcPr>
          <w:p>
            <w:pPr>
              <w:jc w:val="right"/>
              <w:ind w:right="223"/>
              <w:spacing w:after="0"/>
              <w:rPr>
                <w:sz w:val="20"/>
                <w:szCs w:val="20"/>
                <w:color w:val="auto"/>
              </w:rPr>
            </w:pPr>
            <w:r>
              <w:rPr>
                <w:rFonts w:ascii="Arial" w:cs="Arial" w:eastAsia="Arial" w:hAnsi="Arial"/>
                <w:sz w:val="13"/>
                <w:szCs w:val="13"/>
                <w:b w:val="1"/>
                <w:bCs w:val="1"/>
                <w:color w:val="auto"/>
              </w:rPr>
              <w:t>Benefits</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1340" w:type="dxa"/>
            <w:vAlign w:val="bottom"/>
            <w:tcBorders>
              <w:bottom w:val="single" w:sz="8" w:color="auto"/>
            </w:tcBorders>
          </w:tcPr>
          <w:p>
            <w:pPr>
              <w:jc w:val="right"/>
              <w:ind w:right="122"/>
              <w:spacing w:after="0"/>
              <w:rPr>
                <w:sz w:val="20"/>
                <w:szCs w:val="20"/>
                <w:color w:val="auto"/>
              </w:rPr>
            </w:pPr>
            <w:r>
              <w:rPr>
                <w:rFonts w:ascii="Arial" w:cs="Arial" w:eastAsia="Arial" w:hAnsi="Arial"/>
                <w:sz w:val="13"/>
                <w:szCs w:val="13"/>
                <w:b w:val="1"/>
                <w:bCs w:val="1"/>
                <w:color w:val="auto"/>
              </w:rPr>
              <w:t>U.S.</w:t>
            </w:r>
          </w:p>
        </w:tc>
        <w:tc>
          <w:tcPr>
            <w:tcW w:w="7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203"/>
              <w:spacing w:after="0"/>
              <w:rPr>
                <w:sz w:val="20"/>
                <w:szCs w:val="20"/>
                <w:color w:val="auto"/>
              </w:rPr>
            </w:pPr>
            <w:r>
              <w:rPr>
                <w:rFonts w:ascii="Arial" w:cs="Arial" w:eastAsia="Arial" w:hAnsi="Arial"/>
                <w:sz w:val="13"/>
                <w:szCs w:val="13"/>
                <w:b w:val="1"/>
                <w:bCs w:val="1"/>
                <w:color w:val="auto"/>
              </w:rPr>
              <w:t>Non-U.S.</w:t>
            </w:r>
          </w:p>
        </w:tc>
        <w:tc>
          <w:tcPr>
            <w:tcW w:w="5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22"/>
              <w:spacing w:after="0"/>
              <w:rPr>
                <w:sz w:val="20"/>
                <w:szCs w:val="20"/>
                <w:color w:val="auto"/>
              </w:rPr>
            </w:pPr>
            <w:r>
              <w:rPr>
                <w:rFonts w:ascii="Arial" w:cs="Arial" w:eastAsia="Arial" w:hAnsi="Arial"/>
                <w:sz w:val="13"/>
                <w:szCs w:val="13"/>
                <w:b w:val="1"/>
                <w:bCs w:val="1"/>
                <w:color w:val="auto"/>
              </w:rPr>
              <w:t>2014</w:t>
            </w:r>
          </w:p>
        </w:tc>
        <w:tc>
          <w:tcPr>
            <w:tcW w:w="72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rPr>
              <w:t>2013</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963"/>
              <w:spacing w:after="0"/>
              <w:rPr>
                <w:sz w:val="20"/>
                <w:szCs w:val="20"/>
                <w:color w:val="auto"/>
              </w:rPr>
            </w:pPr>
            <w:r>
              <w:rPr>
                <w:rFonts w:ascii="Arial" w:cs="Arial" w:eastAsia="Arial" w:hAnsi="Arial"/>
                <w:sz w:val="13"/>
                <w:szCs w:val="13"/>
                <w:b w:val="1"/>
                <w:bCs w:val="1"/>
                <w:color w:val="auto"/>
                <w:w w:val="89"/>
              </w:rPr>
              <w:t>2014</w:t>
            </w:r>
          </w:p>
        </w:tc>
        <w:tc>
          <w:tcPr>
            <w:tcW w:w="54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w w:val="89"/>
              </w:rPr>
              <w:t>2013</w:t>
            </w:r>
          </w:p>
        </w:tc>
        <w:tc>
          <w:tcPr>
            <w:tcW w:w="4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943"/>
              <w:spacing w:after="0"/>
              <w:rPr>
                <w:sz w:val="20"/>
                <w:szCs w:val="20"/>
                <w:color w:val="auto"/>
              </w:rPr>
            </w:pPr>
            <w:r>
              <w:rPr>
                <w:rFonts w:ascii="Arial" w:cs="Arial" w:eastAsia="Arial" w:hAnsi="Arial"/>
                <w:sz w:val="13"/>
                <w:szCs w:val="13"/>
                <w:b w:val="1"/>
                <w:bCs w:val="1"/>
                <w:color w:val="auto"/>
              </w:rPr>
              <w:t>2014</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i w:val="1"/>
                <w:iCs w:val="1"/>
                <w:color w:val="auto"/>
              </w:rPr>
              <w:t>(millions of dollars)</w:t>
            </w: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260" w:type="dxa"/>
            <w:vAlign w:val="bottom"/>
          </w:tcPr>
          <w:p>
            <w:pPr>
              <w:spacing w:after="0"/>
              <w:rPr>
                <w:sz w:val="20"/>
                <w:szCs w:val="20"/>
                <w:color w:val="auto"/>
              </w:rPr>
            </w:pPr>
            <w:r>
              <w:rPr>
                <w:rFonts w:ascii="Arial" w:cs="Arial" w:eastAsia="Arial" w:hAnsi="Arial"/>
                <w:sz w:val="16"/>
                <w:szCs w:val="16"/>
                <w:color w:val="auto"/>
              </w:rPr>
              <w:t>Change in plan assets</w:t>
            </w: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tcPr>
          <w:p>
            <w:pPr>
              <w:ind w:left="240"/>
              <w:spacing w:after="0"/>
              <w:rPr>
                <w:sz w:val="20"/>
                <w:szCs w:val="20"/>
                <w:color w:val="auto"/>
              </w:rPr>
            </w:pPr>
            <w:r>
              <w:rPr>
                <w:rFonts w:ascii="Arial" w:cs="Arial" w:eastAsia="Arial" w:hAnsi="Arial"/>
                <w:sz w:val="16"/>
                <w:szCs w:val="16"/>
                <w:color w:val="auto"/>
              </w:rPr>
              <w:t>Fair value at January 1</w:t>
            </w:r>
          </w:p>
        </w:tc>
        <w:tc>
          <w:tcPr>
            <w:tcW w:w="1340" w:type="dxa"/>
            <w:vAlign w:val="bottom"/>
          </w:tcPr>
          <w:p>
            <w:pPr>
              <w:jc w:val="right"/>
              <w:ind w:right="502"/>
              <w:spacing w:after="0"/>
              <w:rPr>
                <w:sz w:val="20"/>
                <w:szCs w:val="20"/>
                <w:color w:val="auto"/>
              </w:rPr>
            </w:pPr>
            <w:r>
              <w:rPr>
                <w:rFonts w:ascii="Arial" w:cs="Arial" w:eastAsia="Arial" w:hAnsi="Arial"/>
                <w:sz w:val="16"/>
                <w:szCs w:val="16"/>
                <w:color w:val="auto"/>
              </w:rPr>
              <w:t>11,190</w:t>
            </w:r>
          </w:p>
        </w:tc>
        <w:tc>
          <w:tcPr>
            <w:tcW w:w="720" w:type="dxa"/>
            <w:vAlign w:val="bottom"/>
          </w:tcPr>
          <w:p>
            <w:pPr>
              <w:jc w:val="right"/>
              <w:spacing w:after="0"/>
              <w:rPr>
                <w:sz w:val="20"/>
                <w:szCs w:val="20"/>
                <w:color w:val="auto"/>
              </w:rPr>
            </w:pPr>
            <w:r>
              <w:rPr>
                <w:rFonts w:ascii="Arial" w:cs="Arial" w:eastAsia="Arial" w:hAnsi="Arial"/>
                <w:sz w:val="16"/>
                <w:szCs w:val="16"/>
                <w:color w:val="auto"/>
              </w:rPr>
              <w:t>12,632</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683"/>
              <w:spacing w:after="0"/>
              <w:rPr>
                <w:sz w:val="20"/>
                <w:szCs w:val="20"/>
                <w:color w:val="auto"/>
              </w:rPr>
            </w:pPr>
            <w:r>
              <w:rPr>
                <w:rFonts w:ascii="Arial" w:cs="Arial" w:eastAsia="Arial" w:hAnsi="Arial"/>
                <w:sz w:val="16"/>
                <w:szCs w:val="16"/>
                <w:color w:val="auto"/>
              </w:rPr>
              <w:t>19,283</w:t>
            </w: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18,090</w:t>
            </w:r>
          </w:p>
        </w:tc>
        <w:tc>
          <w:tcPr>
            <w:tcW w:w="460" w:type="dxa"/>
            <w:vAlign w:val="bottom"/>
          </w:tcPr>
          <w:p>
            <w:pPr>
              <w:spacing w:after="0"/>
              <w:rPr>
                <w:sz w:val="18"/>
                <w:szCs w:val="18"/>
                <w:color w:val="auto"/>
              </w:rPr>
            </w:pPr>
          </w:p>
        </w:tc>
        <w:tc>
          <w:tcPr>
            <w:tcW w:w="1540" w:type="dxa"/>
            <w:vAlign w:val="bottom"/>
          </w:tcPr>
          <w:p>
            <w:pPr>
              <w:jc w:val="right"/>
              <w:ind w:right="723"/>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208"/>
        </w:trPr>
        <w:tc>
          <w:tcPr>
            <w:tcW w:w="4260" w:type="dxa"/>
            <w:vAlign w:val="bottom"/>
          </w:tcPr>
          <w:p>
            <w:pPr>
              <w:ind w:left="240"/>
              <w:spacing w:after="0"/>
              <w:rPr>
                <w:sz w:val="20"/>
                <w:szCs w:val="20"/>
                <w:color w:val="auto"/>
              </w:rPr>
            </w:pPr>
            <w:r>
              <w:rPr>
                <w:rFonts w:ascii="Arial" w:cs="Arial" w:eastAsia="Arial" w:hAnsi="Arial"/>
                <w:sz w:val="16"/>
                <w:szCs w:val="16"/>
                <w:color w:val="auto"/>
              </w:rPr>
              <w:t>Actual return on plan assets</w:t>
            </w:r>
          </w:p>
        </w:tc>
        <w:tc>
          <w:tcPr>
            <w:tcW w:w="1340" w:type="dxa"/>
            <w:vAlign w:val="bottom"/>
          </w:tcPr>
          <w:p>
            <w:pPr>
              <w:jc w:val="right"/>
              <w:ind w:right="502"/>
              <w:spacing w:after="0"/>
              <w:rPr>
                <w:sz w:val="20"/>
                <w:szCs w:val="20"/>
                <w:color w:val="auto"/>
              </w:rPr>
            </w:pPr>
            <w:r>
              <w:rPr>
                <w:rFonts w:ascii="Arial" w:cs="Arial" w:eastAsia="Arial" w:hAnsi="Arial"/>
                <w:sz w:val="16"/>
                <w:szCs w:val="16"/>
                <w:color w:val="auto"/>
              </w:rPr>
              <w:t>1,497</w:t>
            </w:r>
          </w:p>
        </w:tc>
        <w:tc>
          <w:tcPr>
            <w:tcW w:w="720" w:type="dxa"/>
            <w:vAlign w:val="bottom"/>
          </w:tcPr>
          <w:p>
            <w:pPr>
              <w:jc w:val="right"/>
              <w:spacing w:after="0"/>
              <w:rPr>
                <w:sz w:val="20"/>
                <w:szCs w:val="20"/>
                <w:color w:val="auto"/>
              </w:rPr>
            </w:pPr>
            <w:r>
              <w:rPr>
                <w:rFonts w:ascii="Arial" w:cs="Arial" w:eastAsia="Arial" w:hAnsi="Arial"/>
                <w:sz w:val="16"/>
                <w:szCs w:val="16"/>
                <w:color w:val="auto"/>
              </w:rPr>
              <w:t>617</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683"/>
              <w:spacing w:after="0"/>
              <w:rPr>
                <w:sz w:val="20"/>
                <w:szCs w:val="20"/>
                <w:color w:val="auto"/>
              </w:rPr>
            </w:pPr>
            <w:r>
              <w:rPr>
                <w:rFonts w:ascii="Arial" w:cs="Arial" w:eastAsia="Arial" w:hAnsi="Arial"/>
                <w:sz w:val="16"/>
                <w:szCs w:val="16"/>
                <w:color w:val="auto"/>
              </w:rPr>
              <w:t>3,153</w:t>
            </w:r>
          </w:p>
        </w:tc>
        <w:tc>
          <w:tcPr>
            <w:tcW w:w="540" w:type="dxa"/>
            <w:vAlign w:val="bottom"/>
          </w:tcPr>
          <w:p>
            <w:pPr>
              <w:jc w:val="right"/>
              <w:spacing w:after="0"/>
              <w:rPr>
                <w:sz w:val="20"/>
                <w:szCs w:val="20"/>
                <w:color w:val="auto"/>
              </w:rPr>
            </w:pPr>
            <w:r>
              <w:rPr>
                <w:rFonts w:ascii="Arial" w:cs="Arial" w:eastAsia="Arial" w:hAnsi="Arial"/>
                <w:sz w:val="16"/>
                <w:szCs w:val="16"/>
                <w:color w:val="auto"/>
              </w:rPr>
              <w:t>1,604</w:t>
            </w:r>
          </w:p>
        </w:tc>
        <w:tc>
          <w:tcPr>
            <w:tcW w:w="460" w:type="dxa"/>
            <w:vAlign w:val="bottom"/>
          </w:tcPr>
          <w:p>
            <w:pPr>
              <w:spacing w:after="0"/>
              <w:rPr>
                <w:sz w:val="18"/>
                <w:szCs w:val="18"/>
                <w:color w:val="auto"/>
              </w:rPr>
            </w:pPr>
          </w:p>
        </w:tc>
        <w:tc>
          <w:tcPr>
            <w:tcW w:w="1540" w:type="dxa"/>
            <w:vAlign w:val="bottom"/>
          </w:tcPr>
          <w:p>
            <w:pPr>
              <w:jc w:val="right"/>
              <w:ind w:right="723"/>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8"/>
        </w:trPr>
        <w:tc>
          <w:tcPr>
            <w:tcW w:w="4260" w:type="dxa"/>
            <w:vAlign w:val="bottom"/>
          </w:tcPr>
          <w:p>
            <w:pPr>
              <w:ind w:left="240"/>
              <w:spacing w:after="0"/>
              <w:rPr>
                <w:sz w:val="20"/>
                <w:szCs w:val="20"/>
                <w:color w:val="auto"/>
              </w:rPr>
            </w:pPr>
            <w:r>
              <w:rPr>
                <w:rFonts w:ascii="Arial" w:cs="Arial" w:eastAsia="Arial" w:hAnsi="Arial"/>
                <w:sz w:val="16"/>
                <w:szCs w:val="16"/>
                <w:color w:val="auto"/>
              </w:rPr>
              <w:t>Foreign exchange rate changes</w:t>
            </w:r>
          </w:p>
        </w:tc>
        <w:tc>
          <w:tcPr>
            <w:tcW w:w="1340" w:type="dxa"/>
            <w:vAlign w:val="bottom"/>
          </w:tcPr>
          <w:p>
            <w:pPr>
              <w:jc w:val="right"/>
              <w:ind w:right="582"/>
              <w:spacing w:after="0"/>
              <w:rPr>
                <w:sz w:val="20"/>
                <w:szCs w:val="20"/>
                <w:color w:val="auto"/>
              </w:rPr>
            </w:pPr>
            <w:r>
              <w:rPr>
                <w:rFonts w:ascii="Arial" w:cs="Arial" w:eastAsia="Arial" w:hAnsi="Arial"/>
                <w:sz w:val="16"/>
                <w:szCs w:val="16"/>
                <w:color w:val="auto"/>
              </w:rPr>
              <w:t>-</w:t>
            </w:r>
          </w:p>
        </w:tc>
        <w:tc>
          <w:tcPr>
            <w:tcW w:w="720" w:type="dxa"/>
            <w:vAlign w:val="bottom"/>
          </w:tcPr>
          <w:p>
            <w:pPr>
              <w:ind w:left="5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643"/>
              <w:spacing w:after="0"/>
              <w:rPr>
                <w:sz w:val="20"/>
                <w:szCs w:val="20"/>
                <w:color w:val="auto"/>
              </w:rPr>
            </w:pPr>
            <w:r>
              <w:rPr>
                <w:rFonts w:ascii="Arial" w:cs="Arial" w:eastAsia="Arial" w:hAnsi="Arial"/>
                <w:sz w:val="16"/>
                <w:szCs w:val="16"/>
                <w:color w:val="auto"/>
              </w:rPr>
              <w:t>(1,738)</w:t>
            </w:r>
          </w:p>
        </w:tc>
        <w:tc>
          <w:tcPr>
            <w:tcW w:w="1000" w:type="dxa"/>
            <w:vAlign w:val="bottom"/>
            <w:gridSpan w:val="2"/>
          </w:tcPr>
          <w:p>
            <w:pPr>
              <w:jc w:val="right"/>
              <w:ind w:right="460"/>
              <w:spacing w:after="0"/>
              <w:rPr>
                <w:sz w:val="20"/>
                <w:szCs w:val="20"/>
                <w:color w:val="auto"/>
              </w:rPr>
            </w:pPr>
            <w:r>
              <w:rPr>
                <w:rFonts w:ascii="Arial" w:cs="Arial" w:eastAsia="Arial" w:hAnsi="Arial"/>
                <w:sz w:val="16"/>
                <w:szCs w:val="16"/>
                <w:color w:val="auto"/>
              </w:rPr>
              <w:t>(270)</w:t>
            </w:r>
          </w:p>
        </w:tc>
        <w:tc>
          <w:tcPr>
            <w:tcW w:w="1540" w:type="dxa"/>
            <w:vAlign w:val="bottom"/>
          </w:tcPr>
          <w:p>
            <w:pPr>
              <w:jc w:val="right"/>
              <w:ind w:right="8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260" w:type="dxa"/>
            <w:vAlign w:val="bottom"/>
          </w:tcPr>
          <w:p>
            <w:pPr>
              <w:ind w:left="240"/>
              <w:spacing w:after="0"/>
              <w:rPr>
                <w:sz w:val="20"/>
                <w:szCs w:val="20"/>
                <w:color w:val="auto"/>
              </w:rPr>
            </w:pPr>
            <w:r>
              <w:rPr>
                <w:rFonts w:ascii="Arial" w:cs="Arial" w:eastAsia="Arial" w:hAnsi="Arial"/>
                <w:sz w:val="16"/>
                <w:szCs w:val="16"/>
                <w:color w:val="auto"/>
              </w:rPr>
              <w:t>Company contribution</w:t>
            </w:r>
          </w:p>
        </w:tc>
        <w:tc>
          <w:tcPr>
            <w:tcW w:w="1340" w:type="dxa"/>
            <w:vAlign w:val="bottom"/>
          </w:tcPr>
          <w:p>
            <w:pPr>
              <w:jc w:val="right"/>
              <w:ind w:right="502"/>
              <w:spacing w:after="0"/>
              <w:rPr>
                <w:sz w:val="20"/>
                <w:szCs w:val="20"/>
                <w:color w:val="auto"/>
              </w:rPr>
            </w:pPr>
            <w:r>
              <w:rPr>
                <w:rFonts w:ascii="Arial" w:cs="Arial" w:eastAsia="Arial" w:hAnsi="Arial"/>
                <w:sz w:val="16"/>
                <w:szCs w:val="16"/>
                <w:color w:val="auto"/>
              </w:rPr>
              <w:t>1,476</w:t>
            </w:r>
          </w:p>
        </w:tc>
        <w:tc>
          <w:tcPr>
            <w:tcW w:w="720" w:type="dxa"/>
            <w:vAlign w:val="bottom"/>
          </w:tcPr>
          <w:p>
            <w:pPr>
              <w:jc w:val="right"/>
              <w:spacing w:after="0"/>
              <w:rPr>
                <w:sz w:val="20"/>
                <w:szCs w:val="20"/>
                <w:color w:val="auto"/>
              </w:rPr>
            </w:pPr>
            <w:r>
              <w:rPr>
                <w:rFonts w:ascii="Arial" w:cs="Arial" w:eastAsia="Arial" w:hAnsi="Arial"/>
                <w:sz w:val="16"/>
                <w:szCs w:val="16"/>
                <w:color w:val="auto"/>
              </w:rPr>
              <w:t>101</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683"/>
              <w:spacing w:after="0"/>
              <w:rPr>
                <w:sz w:val="20"/>
                <w:szCs w:val="20"/>
                <w:color w:val="auto"/>
              </w:rPr>
            </w:pPr>
            <w:r>
              <w:rPr>
                <w:rFonts w:ascii="Arial" w:cs="Arial" w:eastAsia="Arial" w:hAnsi="Arial"/>
                <w:sz w:val="16"/>
                <w:szCs w:val="16"/>
                <w:color w:val="auto"/>
              </w:rPr>
              <w:t>554</w:t>
            </w:r>
          </w:p>
        </w:tc>
        <w:tc>
          <w:tcPr>
            <w:tcW w:w="540" w:type="dxa"/>
            <w:vAlign w:val="bottom"/>
          </w:tcPr>
          <w:p>
            <w:pPr>
              <w:jc w:val="right"/>
              <w:spacing w:after="0"/>
              <w:rPr>
                <w:sz w:val="20"/>
                <w:szCs w:val="20"/>
                <w:color w:val="auto"/>
              </w:rPr>
            </w:pPr>
            <w:r>
              <w:rPr>
                <w:rFonts w:ascii="Arial" w:cs="Arial" w:eastAsia="Arial" w:hAnsi="Arial"/>
                <w:sz w:val="16"/>
                <w:szCs w:val="16"/>
                <w:color w:val="auto"/>
              </w:rPr>
              <w:t>919</w:t>
            </w:r>
          </w:p>
        </w:tc>
        <w:tc>
          <w:tcPr>
            <w:tcW w:w="460" w:type="dxa"/>
            <w:vAlign w:val="bottom"/>
          </w:tcPr>
          <w:p>
            <w:pPr>
              <w:spacing w:after="0"/>
              <w:rPr>
                <w:sz w:val="18"/>
                <w:szCs w:val="18"/>
                <w:color w:val="auto"/>
              </w:rPr>
            </w:pPr>
          </w:p>
        </w:tc>
        <w:tc>
          <w:tcPr>
            <w:tcW w:w="1540" w:type="dxa"/>
            <w:vAlign w:val="bottom"/>
          </w:tcPr>
          <w:p>
            <w:pPr>
              <w:jc w:val="right"/>
              <w:ind w:right="723"/>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8"/>
        </w:trPr>
        <w:tc>
          <w:tcPr>
            <w:tcW w:w="4260" w:type="dxa"/>
            <w:vAlign w:val="bottom"/>
          </w:tcPr>
          <w:p>
            <w:pPr>
              <w:ind w:left="240"/>
              <w:spacing w:after="0"/>
              <w:rPr>
                <w:sz w:val="20"/>
                <w:szCs w:val="20"/>
                <w:color w:val="auto"/>
              </w:rPr>
            </w:pPr>
            <w:r>
              <w:rPr>
                <w:rFonts w:ascii="Arial" w:cs="Arial" w:eastAsia="Arial" w:hAnsi="Arial"/>
                <w:sz w:val="16"/>
                <w:szCs w:val="16"/>
                <w:color w:val="auto"/>
              </w:rPr>
              <w:t xml:space="preserve">Benefits paid </w:t>
            </w:r>
            <w:r>
              <w:rPr>
                <w:rFonts w:ascii="Arial" w:cs="Arial" w:eastAsia="Arial" w:hAnsi="Arial"/>
                <w:sz w:val="14"/>
                <w:szCs w:val="14"/>
                <w:i w:val="1"/>
                <w:iCs w:val="1"/>
                <w:color w:val="auto"/>
              </w:rPr>
              <w:t>(1)</w:t>
            </w:r>
          </w:p>
        </w:tc>
        <w:tc>
          <w:tcPr>
            <w:tcW w:w="1340" w:type="dxa"/>
            <w:vAlign w:val="bottom"/>
          </w:tcPr>
          <w:p>
            <w:pPr>
              <w:jc w:val="right"/>
              <w:ind w:right="462"/>
              <w:spacing w:after="0"/>
              <w:rPr>
                <w:sz w:val="20"/>
                <w:szCs w:val="20"/>
                <w:color w:val="auto"/>
              </w:rPr>
            </w:pPr>
            <w:r>
              <w:rPr>
                <w:rFonts w:ascii="Arial" w:cs="Arial" w:eastAsia="Arial" w:hAnsi="Arial"/>
                <w:sz w:val="16"/>
                <w:szCs w:val="16"/>
                <w:color w:val="auto"/>
              </w:rPr>
              <w:t>(1,248)</w:t>
            </w:r>
          </w:p>
        </w:tc>
        <w:tc>
          <w:tcPr>
            <w:tcW w:w="1180" w:type="dxa"/>
            <w:vAlign w:val="bottom"/>
            <w:gridSpan w:val="2"/>
          </w:tcPr>
          <w:p>
            <w:pPr>
              <w:jc w:val="right"/>
              <w:ind w:right="460"/>
              <w:spacing w:after="0"/>
              <w:rPr>
                <w:sz w:val="20"/>
                <w:szCs w:val="20"/>
                <w:color w:val="auto"/>
              </w:rPr>
            </w:pPr>
            <w:r>
              <w:rPr>
                <w:rFonts w:ascii="Arial" w:cs="Arial" w:eastAsia="Arial" w:hAnsi="Arial"/>
                <w:sz w:val="16"/>
                <w:szCs w:val="16"/>
                <w:color w:val="auto"/>
              </w:rPr>
              <w:t>(2,171)</w:t>
            </w:r>
          </w:p>
        </w:tc>
        <w:tc>
          <w:tcPr>
            <w:tcW w:w="300" w:type="dxa"/>
            <w:vAlign w:val="bottom"/>
          </w:tcPr>
          <w:p>
            <w:pPr>
              <w:spacing w:after="0"/>
              <w:rPr>
                <w:sz w:val="18"/>
                <w:szCs w:val="18"/>
                <w:color w:val="auto"/>
              </w:rPr>
            </w:pPr>
          </w:p>
        </w:tc>
        <w:tc>
          <w:tcPr>
            <w:tcW w:w="1320" w:type="dxa"/>
            <w:vAlign w:val="bottom"/>
          </w:tcPr>
          <w:p>
            <w:pPr>
              <w:jc w:val="right"/>
              <w:ind w:right="643"/>
              <w:spacing w:after="0"/>
              <w:rPr>
                <w:sz w:val="20"/>
                <w:szCs w:val="20"/>
                <w:color w:val="auto"/>
              </w:rPr>
            </w:pPr>
            <w:r>
              <w:rPr>
                <w:rFonts w:ascii="Arial" w:cs="Arial" w:eastAsia="Arial" w:hAnsi="Arial"/>
                <w:sz w:val="16"/>
                <w:szCs w:val="16"/>
                <w:color w:val="auto"/>
              </w:rPr>
              <w:t>(912)</w:t>
            </w:r>
          </w:p>
        </w:tc>
        <w:tc>
          <w:tcPr>
            <w:tcW w:w="1000" w:type="dxa"/>
            <w:vAlign w:val="bottom"/>
            <w:gridSpan w:val="2"/>
          </w:tcPr>
          <w:p>
            <w:pPr>
              <w:jc w:val="right"/>
              <w:ind w:right="460"/>
              <w:spacing w:after="0"/>
              <w:rPr>
                <w:sz w:val="20"/>
                <w:szCs w:val="20"/>
                <w:color w:val="auto"/>
              </w:rPr>
            </w:pPr>
            <w:r>
              <w:rPr>
                <w:rFonts w:ascii="Arial" w:cs="Arial" w:eastAsia="Arial" w:hAnsi="Arial"/>
                <w:sz w:val="16"/>
                <w:szCs w:val="16"/>
                <w:color w:val="auto"/>
              </w:rPr>
              <w:t>(869)</w:t>
            </w:r>
          </w:p>
        </w:tc>
        <w:tc>
          <w:tcPr>
            <w:tcW w:w="1540" w:type="dxa"/>
            <w:vAlign w:val="bottom"/>
          </w:tcPr>
          <w:p>
            <w:pPr>
              <w:jc w:val="right"/>
              <w:ind w:right="683"/>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14"/>
        </w:trPr>
        <w:tc>
          <w:tcPr>
            <w:tcW w:w="4260" w:type="dxa"/>
            <w:vAlign w:val="bottom"/>
          </w:tcPr>
          <w:p>
            <w:pPr>
              <w:ind w:left="240"/>
              <w:spacing w:after="0"/>
              <w:rPr>
                <w:sz w:val="20"/>
                <w:szCs w:val="20"/>
                <w:color w:val="auto"/>
              </w:rPr>
            </w:pPr>
            <w:r>
              <w:rPr>
                <w:rFonts w:ascii="Arial" w:cs="Arial" w:eastAsia="Arial" w:hAnsi="Arial"/>
                <w:sz w:val="16"/>
                <w:szCs w:val="16"/>
                <w:color w:val="auto"/>
              </w:rPr>
              <w:t>Other</w:t>
            </w:r>
          </w:p>
        </w:tc>
        <w:tc>
          <w:tcPr>
            <w:tcW w:w="1340" w:type="dxa"/>
            <w:vAlign w:val="bottom"/>
            <w:tcBorders>
              <w:bottom w:val="single" w:sz="8" w:color="auto"/>
            </w:tcBorders>
          </w:tcPr>
          <w:p>
            <w:pPr>
              <w:jc w:val="right"/>
              <w:ind w:right="58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4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43"/>
              <w:spacing w:after="0"/>
              <w:rPr>
                <w:sz w:val="20"/>
                <w:szCs w:val="20"/>
                <w:color w:val="auto"/>
              </w:rPr>
            </w:pPr>
            <w:r>
              <w:rPr>
                <w:rFonts w:ascii="Arial" w:cs="Arial" w:eastAsia="Arial" w:hAnsi="Arial"/>
                <w:sz w:val="16"/>
                <w:szCs w:val="16"/>
                <w:color w:val="auto"/>
              </w:rPr>
              <w:t>(245)</w:t>
            </w:r>
          </w:p>
        </w:tc>
        <w:tc>
          <w:tcPr>
            <w:tcW w:w="10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6"/>
                <w:szCs w:val="16"/>
                <w:color w:val="auto"/>
              </w:rPr>
              <w:t>(191)</w:t>
            </w:r>
          </w:p>
        </w:tc>
        <w:tc>
          <w:tcPr>
            <w:tcW w:w="1540" w:type="dxa"/>
            <w:vAlign w:val="bottom"/>
            <w:tcBorders>
              <w:bottom w:val="single" w:sz="8" w:color="auto"/>
            </w:tcBorders>
          </w:tcPr>
          <w:p>
            <w:pPr>
              <w:jc w:val="right"/>
              <w:ind w:right="8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260" w:type="dxa"/>
            <w:vAlign w:val="bottom"/>
          </w:tcPr>
          <w:p>
            <w:pPr>
              <w:spacing w:after="0" w:line="183" w:lineRule="exact"/>
              <w:rPr>
                <w:sz w:val="20"/>
                <w:szCs w:val="20"/>
                <w:color w:val="auto"/>
              </w:rPr>
            </w:pPr>
            <w:r>
              <w:rPr>
                <w:rFonts w:ascii="Arial" w:cs="Arial" w:eastAsia="Arial" w:hAnsi="Arial"/>
                <w:sz w:val="16"/>
                <w:szCs w:val="16"/>
                <w:color w:val="auto"/>
              </w:rPr>
              <w:t>Fair value at December 31</w:t>
            </w:r>
          </w:p>
        </w:tc>
        <w:tc>
          <w:tcPr>
            <w:tcW w:w="13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color w:val="auto"/>
              </w:rPr>
              <w:t>12,915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11,190</w:t>
            </w:r>
          </w:p>
        </w:tc>
        <w:tc>
          <w:tcPr>
            <w:tcW w:w="4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83"/>
              <w:spacing w:after="0"/>
              <w:rPr>
                <w:sz w:val="20"/>
                <w:szCs w:val="20"/>
                <w:color w:val="auto"/>
              </w:rPr>
            </w:pPr>
            <w:r>
              <w:rPr>
                <w:rFonts w:ascii="Arial" w:cs="Arial" w:eastAsia="Arial" w:hAnsi="Arial"/>
                <w:sz w:val="16"/>
                <w:szCs w:val="16"/>
                <w:color w:val="auto"/>
              </w:rPr>
              <w:t>20,095</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19,283</w:t>
            </w: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723"/>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(1)  Benefit payments for funded plans.</w:t>
      </w:r>
    </w:p>
    <w:p>
      <w:pPr>
        <w:spacing w:after="0" w:line="110"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funding levels of all qualified pension plans are in compliance with standards set by applicable law or regulation. As shown in the table below, certain small pension plans and a number of non-U.S. pension plans are not funded because local tax conventions and regulatory practices do not encourage funding of these pl defined benefit pension obligations, regardless of the funding status of the underlying plans, are fully supported by the financial strength of the Corporation or the res sponsoring affiliate.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gridSpan w:val="3"/>
          </w:tcPr>
          <w:p>
            <w:pPr>
              <w:ind w:left="480"/>
              <w:spacing w:after="0"/>
              <w:rPr>
                <w:sz w:val="20"/>
                <w:szCs w:val="20"/>
                <w:color w:val="auto"/>
              </w:rPr>
            </w:pPr>
            <w:r>
              <w:rPr>
                <w:rFonts w:ascii="Arial" w:cs="Arial" w:eastAsia="Arial" w:hAnsi="Arial"/>
                <w:sz w:val="13"/>
                <w:szCs w:val="13"/>
                <w:b w:val="1"/>
                <w:bCs w:val="1"/>
                <w:color w:val="auto"/>
                <w:w w:val="87"/>
              </w:rPr>
              <w:t>Pension Benefits</w:t>
            </w:r>
          </w:p>
        </w:tc>
        <w:tc>
          <w:tcPr>
            <w:tcW w:w="1300" w:type="dxa"/>
            <w:vAlign w:val="bottom"/>
          </w:tcPr>
          <w:p>
            <w:pPr>
              <w:spacing w:after="0"/>
              <w:rPr>
                <w:sz w:val="14"/>
                <w:szCs w:val="14"/>
                <w:color w:val="auto"/>
              </w:rPr>
            </w:pPr>
          </w:p>
        </w:tc>
      </w:tr>
      <w:tr>
        <w:trPr>
          <w:trHeight w:val="23"/>
        </w:trPr>
        <w:tc>
          <w:tcPr>
            <w:tcW w:w="68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5"/>
        </w:trPr>
        <w:tc>
          <w:tcPr>
            <w:tcW w:w="6880" w:type="dxa"/>
            <w:vAlign w:val="bottom"/>
          </w:tcPr>
          <w:p>
            <w:pPr>
              <w:spacing w:after="0"/>
              <w:rPr>
                <w:sz w:val="14"/>
                <w:szCs w:val="14"/>
                <w:color w:val="auto"/>
              </w:rPr>
            </w:pPr>
          </w:p>
        </w:tc>
        <w:tc>
          <w:tcPr>
            <w:tcW w:w="1340" w:type="dxa"/>
            <w:vAlign w:val="bottom"/>
          </w:tcPr>
          <w:p>
            <w:pPr>
              <w:jc w:val="right"/>
              <w:ind w:right="125"/>
              <w:spacing w:after="0"/>
              <w:rPr>
                <w:sz w:val="20"/>
                <w:szCs w:val="20"/>
                <w:color w:val="auto"/>
              </w:rPr>
            </w:pPr>
            <w:r>
              <w:rPr>
                <w:rFonts w:ascii="Arial" w:cs="Arial" w:eastAsia="Arial" w:hAnsi="Arial"/>
                <w:sz w:val="13"/>
                <w:szCs w:val="13"/>
                <w:b w:val="1"/>
                <w:bCs w:val="1"/>
                <w:color w:val="auto"/>
              </w:rPr>
              <w:t>U.S.</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ind w:right="205"/>
              <w:spacing w:after="0"/>
              <w:rPr>
                <w:sz w:val="20"/>
                <w:szCs w:val="20"/>
                <w:color w:val="auto"/>
              </w:rPr>
            </w:pPr>
            <w:r>
              <w:rPr>
                <w:rFonts w:ascii="Arial" w:cs="Arial" w:eastAsia="Arial" w:hAnsi="Arial"/>
                <w:sz w:val="13"/>
                <w:szCs w:val="13"/>
                <w:b w:val="1"/>
                <w:bCs w:val="1"/>
                <w:color w:val="auto"/>
              </w:rPr>
              <w:t>Non-U.S.</w:t>
            </w:r>
          </w:p>
        </w:tc>
      </w:tr>
      <w:tr>
        <w:trPr>
          <w:trHeight w:val="23"/>
        </w:trPr>
        <w:tc>
          <w:tcPr>
            <w:tcW w:w="68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5"/>
        </w:trPr>
        <w:tc>
          <w:tcPr>
            <w:tcW w:w="6880" w:type="dxa"/>
            <w:vAlign w:val="bottom"/>
          </w:tcPr>
          <w:p>
            <w:pPr>
              <w:spacing w:after="0"/>
              <w:rPr>
                <w:sz w:val="14"/>
                <w:szCs w:val="14"/>
                <w:color w:val="auto"/>
              </w:rPr>
            </w:pPr>
          </w:p>
        </w:tc>
        <w:tc>
          <w:tcPr>
            <w:tcW w:w="1340" w:type="dxa"/>
            <w:vAlign w:val="bottom"/>
          </w:tcPr>
          <w:p>
            <w:pPr>
              <w:jc w:val="right"/>
              <w:ind w:right="725"/>
              <w:spacing w:after="0"/>
              <w:rPr>
                <w:sz w:val="20"/>
                <w:szCs w:val="20"/>
                <w:color w:val="auto"/>
              </w:rPr>
            </w:pPr>
            <w:r>
              <w:rPr>
                <w:rFonts w:ascii="Arial" w:cs="Arial" w:eastAsia="Arial" w:hAnsi="Arial"/>
                <w:sz w:val="13"/>
                <w:szCs w:val="13"/>
                <w:b w:val="1"/>
                <w:bCs w:val="1"/>
                <w:color w:val="auto"/>
              </w:rPr>
              <w:t>2014</w:t>
            </w:r>
          </w:p>
        </w:tc>
        <w:tc>
          <w:tcPr>
            <w:tcW w:w="720" w:type="dxa"/>
            <w:vAlign w:val="bottom"/>
          </w:tcPr>
          <w:p>
            <w:pPr>
              <w:jc w:val="right"/>
              <w:ind w:right="187"/>
              <w:spacing w:after="0"/>
              <w:rPr>
                <w:sz w:val="20"/>
                <w:szCs w:val="20"/>
                <w:color w:val="auto"/>
              </w:rPr>
            </w:pPr>
            <w:r>
              <w:rPr>
                <w:rFonts w:ascii="Arial" w:cs="Arial" w:eastAsia="Arial" w:hAnsi="Arial"/>
                <w:sz w:val="13"/>
                <w:szCs w:val="13"/>
                <w:b w:val="1"/>
                <w:bCs w:val="1"/>
                <w:color w:val="auto"/>
              </w:rPr>
              <w:t>2013</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ind w:right="945"/>
              <w:spacing w:after="0"/>
              <w:rPr>
                <w:sz w:val="20"/>
                <w:szCs w:val="20"/>
                <w:color w:val="auto"/>
              </w:rPr>
            </w:pPr>
            <w:r>
              <w:rPr>
                <w:rFonts w:ascii="Arial" w:cs="Arial" w:eastAsia="Arial" w:hAnsi="Arial"/>
                <w:sz w:val="13"/>
                <w:szCs w:val="13"/>
                <w:b w:val="1"/>
                <w:bCs w:val="1"/>
                <w:color w:val="auto"/>
                <w:w w:val="89"/>
              </w:rPr>
              <w:t>2014</w:t>
            </w:r>
          </w:p>
        </w:tc>
      </w:tr>
      <w:tr>
        <w:trPr>
          <w:trHeight w:val="23"/>
        </w:trPr>
        <w:tc>
          <w:tcPr>
            <w:tcW w:w="6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r>
      <w:tr>
        <w:trPr>
          <w:trHeight w:val="165"/>
        </w:trPr>
        <w:tc>
          <w:tcPr>
            <w:tcW w:w="6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720" w:type="dxa"/>
            <w:vAlign w:val="bottom"/>
            <w:gridSpan w:val="4"/>
          </w:tcPr>
          <w:p>
            <w:pPr>
              <w:jc w:val="right"/>
              <w:ind w:right="1185"/>
              <w:spacing w:after="0"/>
              <w:rPr>
                <w:sz w:val="20"/>
                <w:szCs w:val="20"/>
                <w:color w:val="auto"/>
              </w:rPr>
            </w:pPr>
            <w:r>
              <w:rPr>
                <w:rFonts w:ascii="Arial" w:cs="Arial" w:eastAsia="Arial" w:hAnsi="Arial"/>
                <w:sz w:val="13"/>
                <w:szCs w:val="13"/>
                <w:i w:val="1"/>
                <w:iCs w:val="1"/>
                <w:color w:val="auto"/>
              </w:rPr>
              <w:t>(millions of dollars)</w:t>
            </w:r>
          </w:p>
        </w:tc>
      </w:tr>
      <w:tr>
        <w:trPr>
          <w:trHeight w:val="218"/>
        </w:trPr>
        <w:tc>
          <w:tcPr>
            <w:tcW w:w="6880" w:type="dxa"/>
            <w:vAlign w:val="bottom"/>
          </w:tcPr>
          <w:p>
            <w:pPr>
              <w:spacing w:after="0"/>
              <w:rPr>
                <w:sz w:val="20"/>
                <w:szCs w:val="20"/>
                <w:color w:val="auto"/>
              </w:rPr>
            </w:pPr>
            <w:r>
              <w:rPr>
                <w:rFonts w:ascii="Arial" w:cs="Arial" w:eastAsia="Arial" w:hAnsi="Arial"/>
                <w:sz w:val="16"/>
                <w:szCs w:val="16"/>
                <w:color w:val="auto"/>
              </w:rPr>
              <w:t>Assets in excess of/(less than) benefit obligation</w:t>
            </w: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8"/>
        </w:trPr>
        <w:tc>
          <w:tcPr>
            <w:tcW w:w="6880" w:type="dxa"/>
            <w:vAlign w:val="bottom"/>
          </w:tcPr>
          <w:p>
            <w:pPr>
              <w:ind w:left="240"/>
              <w:spacing w:after="0"/>
              <w:rPr>
                <w:sz w:val="20"/>
                <w:szCs w:val="20"/>
                <w:color w:val="auto"/>
              </w:rPr>
            </w:pPr>
            <w:r>
              <w:rPr>
                <w:rFonts w:ascii="Arial" w:cs="Arial" w:eastAsia="Arial" w:hAnsi="Arial"/>
                <w:sz w:val="16"/>
                <w:szCs w:val="16"/>
                <w:color w:val="auto"/>
              </w:rPr>
              <w:t>Balance at December 31</w:t>
            </w: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8"/>
        </w:trPr>
        <w:tc>
          <w:tcPr>
            <w:tcW w:w="6880" w:type="dxa"/>
            <w:vAlign w:val="bottom"/>
          </w:tcPr>
          <w:p>
            <w:pPr>
              <w:ind w:left="240"/>
              <w:spacing w:after="0"/>
              <w:rPr>
                <w:sz w:val="20"/>
                <w:szCs w:val="20"/>
                <w:color w:val="auto"/>
              </w:rPr>
            </w:pPr>
            <w:r>
              <w:rPr>
                <w:rFonts w:ascii="Arial" w:cs="Arial" w:eastAsia="Arial" w:hAnsi="Arial"/>
                <w:sz w:val="16"/>
                <w:szCs w:val="16"/>
                <w:color w:val="auto"/>
              </w:rPr>
              <w:t>Funded plans</w:t>
            </w:r>
          </w:p>
        </w:tc>
        <w:tc>
          <w:tcPr>
            <w:tcW w:w="1340" w:type="dxa"/>
            <w:vAlign w:val="bottom"/>
          </w:tcPr>
          <w:p>
            <w:pPr>
              <w:jc w:val="right"/>
              <w:ind w:right="465"/>
              <w:spacing w:after="0"/>
              <w:rPr>
                <w:sz w:val="20"/>
                <w:szCs w:val="20"/>
                <w:color w:val="auto"/>
              </w:rPr>
            </w:pPr>
            <w:r>
              <w:rPr>
                <w:rFonts w:ascii="Arial" w:cs="Arial" w:eastAsia="Arial" w:hAnsi="Arial"/>
                <w:sz w:val="16"/>
                <w:szCs w:val="16"/>
                <w:color w:val="auto"/>
              </w:rPr>
              <w:t>(4,590)</w:t>
            </w:r>
          </w:p>
        </w:tc>
        <w:tc>
          <w:tcPr>
            <w:tcW w:w="1180" w:type="dxa"/>
            <w:vAlign w:val="bottom"/>
            <w:gridSpan w:val="2"/>
          </w:tcPr>
          <w:p>
            <w:pPr>
              <w:jc w:val="right"/>
              <w:ind w:right="460"/>
              <w:spacing w:after="0"/>
              <w:rPr>
                <w:sz w:val="20"/>
                <w:szCs w:val="20"/>
                <w:color w:val="auto"/>
              </w:rPr>
            </w:pPr>
            <w:r>
              <w:rPr>
                <w:rFonts w:ascii="Arial" w:cs="Arial" w:eastAsia="Arial" w:hAnsi="Arial"/>
                <w:sz w:val="16"/>
                <w:szCs w:val="16"/>
                <w:color w:val="auto"/>
              </w:rPr>
              <w:t>(3,547)</w:t>
            </w:r>
          </w:p>
        </w:tc>
        <w:tc>
          <w:tcPr>
            <w:tcW w:w="240" w:type="dxa"/>
            <w:vAlign w:val="bottom"/>
          </w:tcPr>
          <w:p>
            <w:pPr>
              <w:spacing w:after="0"/>
              <w:rPr>
                <w:sz w:val="18"/>
                <w:szCs w:val="18"/>
                <w:color w:val="auto"/>
              </w:rPr>
            </w:pPr>
          </w:p>
        </w:tc>
        <w:tc>
          <w:tcPr>
            <w:tcW w:w="1300" w:type="dxa"/>
            <w:vAlign w:val="bottom"/>
          </w:tcPr>
          <w:p>
            <w:pPr>
              <w:jc w:val="right"/>
              <w:ind w:right="685"/>
              <w:spacing w:after="0"/>
              <w:rPr>
                <w:sz w:val="20"/>
                <w:szCs w:val="20"/>
                <w:color w:val="auto"/>
              </w:rPr>
            </w:pPr>
            <w:r>
              <w:rPr>
                <w:rFonts w:ascii="Arial" w:cs="Arial" w:eastAsia="Arial" w:hAnsi="Arial"/>
                <w:sz w:val="16"/>
                <w:szCs w:val="16"/>
                <w:color w:val="auto"/>
              </w:rPr>
              <w:t>(2,113)</w:t>
            </w:r>
          </w:p>
        </w:tc>
      </w:tr>
      <w:tr>
        <w:trPr>
          <w:trHeight w:val="214"/>
        </w:trPr>
        <w:tc>
          <w:tcPr>
            <w:tcW w:w="6880" w:type="dxa"/>
            <w:vAlign w:val="bottom"/>
          </w:tcPr>
          <w:p>
            <w:pPr>
              <w:ind w:left="240"/>
              <w:spacing w:after="0"/>
              <w:rPr>
                <w:sz w:val="20"/>
                <w:szCs w:val="20"/>
                <w:color w:val="auto"/>
              </w:rPr>
            </w:pPr>
            <w:r>
              <w:rPr>
                <w:rFonts w:ascii="Arial" w:cs="Arial" w:eastAsia="Arial" w:hAnsi="Arial"/>
                <w:sz w:val="16"/>
                <w:szCs w:val="16"/>
                <w:color w:val="auto"/>
              </w:rPr>
              <w:t>Unfunded plans</w:t>
            </w:r>
          </w:p>
        </w:tc>
        <w:tc>
          <w:tcPr>
            <w:tcW w:w="1340" w:type="dxa"/>
            <w:vAlign w:val="bottom"/>
            <w:tcBorders>
              <w:bottom w:val="single" w:sz="8" w:color="auto"/>
            </w:tcBorders>
          </w:tcPr>
          <w:p>
            <w:pPr>
              <w:jc w:val="right"/>
              <w:ind w:right="465"/>
              <w:spacing w:after="0"/>
              <w:rPr>
                <w:sz w:val="20"/>
                <w:szCs w:val="20"/>
                <w:color w:val="auto"/>
              </w:rPr>
            </w:pPr>
            <w:r>
              <w:rPr>
                <w:rFonts w:ascii="Arial" w:cs="Arial" w:eastAsia="Arial" w:hAnsi="Arial"/>
                <w:sz w:val="16"/>
                <w:szCs w:val="16"/>
                <w:color w:val="auto"/>
              </w:rPr>
              <w:t>(3,024)</w:t>
            </w:r>
          </w:p>
        </w:tc>
        <w:tc>
          <w:tcPr>
            <w:tcW w:w="11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6"/>
                <w:szCs w:val="16"/>
                <w:color w:val="auto"/>
              </w:rPr>
              <w:t>(2,567)</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85"/>
              <w:spacing w:after="0"/>
              <w:rPr>
                <w:sz w:val="20"/>
                <w:szCs w:val="20"/>
                <w:color w:val="auto"/>
              </w:rPr>
            </w:pPr>
            <w:r>
              <w:rPr>
                <w:rFonts w:ascii="Arial" w:cs="Arial" w:eastAsia="Arial" w:hAnsi="Arial"/>
                <w:sz w:val="16"/>
                <w:szCs w:val="16"/>
                <w:color w:val="auto"/>
              </w:rPr>
              <w:t>(7,839)</w:t>
            </w:r>
          </w:p>
        </w:tc>
      </w:tr>
      <w:tr>
        <w:trPr>
          <w:trHeight w:val="196"/>
        </w:trPr>
        <w:tc>
          <w:tcPr>
            <w:tcW w:w="6880" w:type="dxa"/>
            <w:vAlign w:val="bottom"/>
          </w:tcPr>
          <w:p>
            <w:pPr>
              <w:spacing w:after="0" w:line="183" w:lineRule="exact"/>
              <w:rPr>
                <w:sz w:val="20"/>
                <w:szCs w:val="20"/>
                <w:color w:val="auto"/>
              </w:rPr>
            </w:pPr>
            <w:r>
              <w:rPr>
                <w:rFonts w:ascii="Arial" w:cs="Arial" w:eastAsia="Arial" w:hAnsi="Arial"/>
                <w:sz w:val="16"/>
                <w:szCs w:val="16"/>
                <w:color w:val="auto"/>
              </w:rPr>
              <w:t>Total</w:t>
            </w:r>
          </w:p>
        </w:tc>
        <w:tc>
          <w:tcPr>
            <w:tcW w:w="1340" w:type="dxa"/>
            <w:vAlign w:val="bottom"/>
            <w:tcBorders>
              <w:bottom w:val="single" w:sz="8" w:color="auto"/>
            </w:tcBorders>
          </w:tcPr>
          <w:p>
            <w:pPr>
              <w:jc w:val="right"/>
              <w:ind w:right="465"/>
              <w:spacing w:after="0"/>
              <w:rPr>
                <w:sz w:val="20"/>
                <w:szCs w:val="20"/>
                <w:color w:val="auto"/>
              </w:rPr>
            </w:pPr>
            <w:r>
              <w:rPr>
                <w:rFonts w:ascii="Arial" w:cs="Arial" w:eastAsia="Arial" w:hAnsi="Arial"/>
                <w:sz w:val="16"/>
                <w:szCs w:val="16"/>
                <w:color w:val="auto"/>
              </w:rPr>
              <w:t>(7,614)</w:t>
            </w:r>
          </w:p>
        </w:tc>
        <w:tc>
          <w:tcPr>
            <w:tcW w:w="11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6"/>
                <w:szCs w:val="16"/>
                <w:color w:val="auto"/>
              </w:rPr>
              <w:t>(6,114)</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85"/>
              <w:spacing w:after="0"/>
              <w:rPr>
                <w:sz w:val="20"/>
                <w:szCs w:val="20"/>
                <w:color w:val="auto"/>
              </w:rPr>
            </w:pPr>
            <w:r>
              <w:rPr>
                <w:rFonts w:ascii="Arial" w:cs="Arial" w:eastAsia="Arial" w:hAnsi="Arial"/>
                <w:sz w:val="16"/>
                <w:szCs w:val="16"/>
                <w:color w:val="auto"/>
              </w:rPr>
              <w:t>(9,952)</w:t>
            </w:r>
          </w:p>
        </w:tc>
      </w:tr>
    </w:tbl>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authoritative guidance for defined benefit pension and other postretirement plans requires an employer to recognize the overfunded or underfunded status of a benefit postretirement plan as an asset or liability in its statement of financial position and to recognize changes in that funded status in the year in which the change through other comprehensive income.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gridSpan w:val="3"/>
          </w:tcPr>
          <w:p>
            <w:pPr>
              <w:ind w:left="460"/>
              <w:spacing w:after="0"/>
              <w:rPr>
                <w:sz w:val="20"/>
                <w:szCs w:val="20"/>
                <w:color w:val="auto"/>
              </w:rPr>
            </w:pPr>
            <w:r>
              <w:rPr>
                <w:rFonts w:ascii="Arial" w:cs="Arial" w:eastAsia="Arial" w:hAnsi="Arial"/>
                <w:sz w:val="13"/>
                <w:szCs w:val="13"/>
                <w:b w:val="1"/>
                <w:bCs w:val="1"/>
                <w:color w:val="auto"/>
                <w:w w:val="89"/>
              </w:rPr>
              <w:t>Pension Benefits</w:t>
            </w: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b w:val="1"/>
                <w:bCs w:val="1"/>
                <w:color w:val="auto"/>
              </w:rPr>
              <w:t>Other Postretiremen</w:t>
            </w:r>
          </w:p>
        </w:tc>
      </w:tr>
      <w:tr>
        <w:trPr>
          <w:trHeight w:val="23"/>
        </w:trPr>
        <w:tc>
          <w:tcPr>
            <w:tcW w:w="42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65"/>
        </w:trPr>
        <w:tc>
          <w:tcPr>
            <w:tcW w:w="4240" w:type="dxa"/>
            <w:vAlign w:val="bottom"/>
          </w:tcPr>
          <w:p>
            <w:pPr>
              <w:spacing w:after="0"/>
              <w:rPr>
                <w:sz w:val="14"/>
                <w:szCs w:val="14"/>
                <w:color w:val="auto"/>
              </w:rPr>
            </w:pPr>
          </w:p>
        </w:tc>
        <w:tc>
          <w:tcPr>
            <w:tcW w:w="1440" w:type="dxa"/>
            <w:vAlign w:val="bottom"/>
          </w:tcPr>
          <w:p>
            <w:pPr>
              <w:jc w:val="right"/>
              <w:ind w:right="142"/>
              <w:spacing w:after="0"/>
              <w:rPr>
                <w:sz w:val="20"/>
                <w:szCs w:val="20"/>
                <w:color w:val="auto"/>
              </w:rPr>
            </w:pPr>
            <w:r>
              <w:rPr>
                <w:rFonts w:ascii="Arial" w:cs="Arial" w:eastAsia="Arial" w:hAnsi="Arial"/>
                <w:sz w:val="13"/>
                <w:szCs w:val="13"/>
                <w:b w:val="1"/>
                <w:bCs w:val="1"/>
                <w:color w:val="auto"/>
              </w:rPr>
              <w:t>U.S.</w:t>
            </w: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143"/>
              <w:spacing w:after="0"/>
              <w:rPr>
                <w:sz w:val="20"/>
                <w:szCs w:val="20"/>
                <w:color w:val="auto"/>
              </w:rPr>
            </w:pPr>
            <w:r>
              <w:rPr>
                <w:rFonts w:ascii="Arial" w:cs="Arial" w:eastAsia="Arial" w:hAnsi="Arial"/>
                <w:sz w:val="13"/>
                <w:szCs w:val="13"/>
                <w:b w:val="1"/>
                <w:bCs w:val="1"/>
                <w:color w:val="auto"/>
              </w:rPr>
              <w:t>Non-U.S.</w:t>
            </w: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jc w:val="right"/>
              <w:ind w:right="223"/>
              <w:spacing w:after="0"/>
              <w:rPr>
                <w:sz w:val="20"/>
                <w:szCs w:val="20"/>
                <w:color w:val="auto"/>
              </w:rPr>
            </w:pPr>
            <w:r>
              <w:rPr>
                <w:rFonts w:ascii="Arial" w:cs="Arial" w:eastAsia="Arial" w:hAnsi="Arial"/>
                <w:sz w:val="13"/>
                <w:szCs w:val="13"/>
                <w:b w:val="1"/>
                <w:bCs w:val="1"/>
                <w:color w:val="auto"/>
              </w:rPr>
              <w:t>Benefits</w:t>
            </w:r>
          </w:p>
        </w:tc>
      </w:tr>
      <w:tr>
        <w:trPr>
          <w:trHeight w:val="23"/>
        </w:trPr>
        <w:tc>
          <w:tcPr>
            <w:tcW w:w="42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65"/>
        </w:trPr>
        <w:tc>
          <w:tcPr>
            <w:tcW w:w="4240" w:type="dxa"/>
            <w:vAlign w:val="bottom"/>
          </w:tcPr>
          <w:p>
            <w:pPr>
              <w:spacing w:after="0"/>
              <w:rPr>
                <w:sz w:val="14"/>
                <w:szCs w:val="14"/>
                <w:color w:val="auto"/>
              </w:rPr>
            </w:pPr>
          </w:p>
        </w:tc>
        <w:tc>
          <w:tcPr>
            <w:tcW w:w="1440" w:type="dxa"/>
            <w:vAlign w:val="bottom"/>
          </w:tcPr>
          <w:p>
            <w:pPr>
              <w:jc w:val="right"/>
              <w:ind w:right="762"/>
              <w:spacing w:after="0"/>
              <w:rPr>
                <w:sz w:val="20"/>
                <w:szCs w:val="20"/>
                <w:color w:val="auto"/>
              </w:rPr>
            </w:pPr>
            <w:r>
              <w:rPr>
                <w:rFonts w:ascii="Arial" w:cs="Arial" w:eastAsia="Arial" w:hAnsi="Arial"/>
                <w:sz w:val="13"/>
                <w:szCs w:val="13"/>
                <w:b w:val="1"/>
                <w:bCs w:val="1"/>
                <w:color w:val="auto"/>
              </w:rPr>
              <w:t>2014</w:t>
            </w:r>
          </w:p>
        </w:tc>
        <w:tc>
          <w:tcPr>
            <w:tcW w:w="760" w:type="dxa"/>
            <w:vAlign w:val="bottom"/>
          </w:tcPr>
          <w:p>
            <w:pPr>
              <w:jc w:val="right"/>
              <w:ind w:right="202"/>
              <w:spacing w:after="0"/>
              <w:rPr>
                <w:sz w:val="20"/>
                <w:szCs w:val="20"/>
                <w:color w:val="auto"/>
              </w:rPr>
            </w:pPr>
            <w:r>
              <w:rPr>
                <w:rFonts w:ascii="Arial" w:cs="Arial" w:eastAsia="Arial" w:hAnsi="Arial"/>
                <w:sz w:val="13"/>
                <w:szCs w:val="13"/>
                <w:b w:val="1"/>
                <w:bCs w:val="1"/>
                <w:color w:val="auto"/>
              </w:rPr>
              <w:t>2013</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883"/>
              <w:spacing w:after="0"/>
              <w:rPr>
                <w:sz w:val="20"/>
                <w:szCs w:val="20"/>
                <w:color w:val="auto"/>
              </w:rPr>
            </w:pPr>
            <w:r>
              <w:rPr>
                <w:rFonts w:ascii="Arial" w:cs="Arial" w:eastAsia="Arial" w:hAnsi="Arial"/>
                <w:sz w:val="13"/>
                <w:szCs w:val="13"/>
                <w:b w:val="1"/>
                <w:bCs w:val="1"/>
                <w:color w:val="auto"/>
              </w:rPr>
              <w:t>2014</w:t>
            </w:r>
          </w:p>
        </w:tc>
        <w:tc>
          <w:tcPr>
            <w:tcW w:w="560" w:type="dxa"/>
            <w:vAlign w:val="bottom"/>
          </w:tcPr>
          <w:p>
            <w:pPr>
              <w:jc w:val="right"/>
              <w:ind w:right="180"/>
              <w:spacing w:after="0"/>
              <w:rPr>
                <w:sz w:val="20"/>
                <w:szCs w:val="20"/>
                <w:color w:val="auto"/>
              </w:rPr>
            </w:pPr>
            <w:r>
              <w:rPr>
                <w:rFonts w:ascii="Arial" w:cs="Arial" w:eastAsia="Arial" w:hAnsi="Arial"/>
                <w:sz w:val="13"/>
                <w:szCs w:val="13"/>
                <w:b w:val="1"/>
                <w:bCs w:val="1"/>
                <w:color w:val="auto"/>
                <w:w w:val="96"/>
              </w:rPr>
              <w:t>2013</w:t>
            </w:r>
          </w:p>
        </w:tc>
        <w:tc>
          <w:tcPr>
            <w:tcW w:w="460" w:type="dxa"/>
            <w:vAlign w:val="bottom"/>
          </w:tcPr>
          <w:p>
            <w:pPr>
              <w:spacing w:after="0"/>
              <w:rPr>
                <w:sz w:val="14"/>
                <w:szCs w:val="14"/>
                <w:color w:val="auto"/>
              </w:rPr>
            </w:pPr>
          </w:p>
        </w:tc>
        <w:tc>
          <w:tcPr>
            <w:tcW w:w="1540" w:type="dxa"/>
            <w:vAlign w:val="bottom"/>
          </w:tcPr>
          <w:p>
            <w:pPr>
              <w:jc w:val="right"/>
              <w:ind w:right="943"/>
              <w:spacing w:after="0"/>
              <w:rPr>
                <w:sz w:val="20"/>
                <w:szCs w:val="20"/>
                <w:color w:val="auto"/>
              </w:rPr>
            </w:pPr>
            <w:r>
              <w:rPr>
                <w:rFonts w:ascii="Arial" w:cs="Arial" w:eastAsia="Arial" w:hAnsi="Arial"/>
                <w:sz w:val="13"/>
                <w:szCs w:val="13"/>
                <w:b w:val="1"/>
                <w:bCs w:val="1"/>
                <w:color w:val="auto"/>
              </w:rPr>
              <w:t>2014</w:t>
            </w:r>
          </w:p>
        </w:tc>
      </w:tr>
      <w:tr>
        <w:trPr>
          <w:trHeight w:val="23"/>
        </w:trPr>
        <w:tc>
          <w:tcPr>
            <w:tcW w:w="4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65"/>
        </w:trPr>
        <w:tc>
          <w:tcPr>
            <w:tcW w:w="4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i w:val="1"/>
                <w:iCs w:val="1"/>
                <w:color w:val="auto"/>
              </w:rPr>
              <w:t>(millions of dollars)</w:t>
            </w: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18"/>
        </w:trPr>
        <w:tc>
          <w:tcPr>
            <w:tcW w:w="4240" w:type="dxa"/>
            <w:vAlign w:val="bottom"/>
          </w:tcPr>
          <w:p>
            <w:pPr>
              <w:spacing w:after="0"/>
              <w:rPr>
                <w:sz w:val="20"/>
                <w:szCs w:val="20"/>
                <w:color w:val="auto"/>
              </w:rPr>
            </w:pPr>
            <w:r>
              <w:rPr>
                <w:rFonts w:ascii="Arial" w:cs="Arial" w:eastAsia="Arial" w:hAnsi="Arial"/>
                <w:sz w:val="16"/>
                <w:szCs w:val="16"/>
                <w:color w:val="auto"/>
              </w:rPr>
              <w:t>Assets in excess of/(less than) benefit obligation</w:t>
            </w: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4"/>
        </w:trPr>
        <w:tc>
          <w:tcPr>
            <w:tcW w:w="4240" w:type="dxa"/>
            <w:vAlign w:val="bottom"/>
          </w:tcPr>
          <w:p>
            <w:pPr>
              <w:ind w:left="240"/>
              <w:spacing w:after="0"/>
              <w:rPr>
                <w:sz w:val="20"/>
                <w:szCs w:val="20"/>
                <w:color w:val="auto"/>
              </w:rPr>
            </w:pPr>
            <w:r>
              <w:rPr>
                <w:rFonts w:ascii="Arial" w:cs="Arial" w:eastAsia="Arial" w:hAnsi="Arial"/>
                <w:sz w:val="16"/>
                <w:szCs w:val="16"/>
                <w:color w:val="auto"/>
              </w:rPr>
              <w:t xml:space="preserve">Balance at December 31 </w:t>
            </w:r>
            <w:r>
              <w:rPr>
                <w:rFonts w:ascii="Arial" w:cs="Arial" w:eastAsia="Arial" w:hAnsi="Arial"/>
                <w:sz w:val="14"/>
                <w:szCs w:val="14"/>
                <w:i w:val="1"/>
                <w:iCs w:val="1"/>
                <w:color w:val="auto"/>
              </w:rPr>
              <w:t>(1)</w:t>
            </w:r>
          </w:p>
        </w:tc>
        <w:tc>
          <w:tcPr>
            <w:tcW w:w="14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color w:val="auto"/>
              </w:rPr>
              <w:t>(7,614)</w:t>
            </w:r>
          </w:p>
        </w:tc>
        <w:tc>
          <w:tcPr>
            <w:tcW w:w="12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6"/>
                <w:szCs w:val="16"/>
                <w:color w:val="auto"/>
              </w:rPr>
              <w:t>(6,114)</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23"/>
              <w:spacing w:after="0"/>
              <w:rPr>
                <w:sz w:val="20"/>
                <w:szCs w:val="20"/>
                <w:color w:val="auto"/>
              </w:rPr>
            </w:pPr>
            <w:r>
              <w:rPr>
                <w:rFonts w:ascii="Arial" w:cs="Arial" w:eastAsia="Arial" w:hAnsi="Arial"/>
                <w:sz w:val="16"/>
                <w:szCs w:val="16"/>
                <w:color w:val="auto"/>
              </w:rPr>
              <w:t>(9,952)</w:t>
            </w:r>
          </w:p>
        </w:tc>
        <w:tc>
          <w:tcPr>
            <w:tcW w:w="10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6"/>
                <w:szCs w:val="16"/>
                <w:color w:val="auto"/>
              </w:rPr>
              <w:t>(8,074)</w:t>
            </w:r>
          </w:p>
        </w:tc>
        <w:tc>
          <w:tcPr>
            <w:tcW w:w="1540" w:type="dxa"/>
            <w:vAlign w:val="bottom"/>
            <w:tcBorders>
              <w:bottom w:val="single" w:sz="8" w:color="auto"/>
            </w:tcBorders>
          </w:tcPr>
          <w:p>
            <w:pPr>
              <w:jc w:val="right"/>
              <w:ind w:right="683"/>
              <w:spacing w:after="0"/>
              <w:rPr>
                <w:sz w:val="20"/>
                <w:szCs w:val="20"/>
                <w:color w:val="auto"/>
              </w:rPr>
            </w:pPr>
            <w:r>
              <w:rPr>
                <w:rFonts w:ascii="Arial" w:cs="Arial" w:eastAsia="Arial" w:hAnsi="Arial"/>
                <w:sz w:val="16"/>
                <w:szCs w:val="16"/>
                <w:color w:val="auto"/>
              </w:rPr>
              <w:t>(8,968)</w:t>
            </w:r>
          </w:p>
        </w:tc>
      </w:tr>
      <w:tr>
        <w:trPr>
          <w:trHeight w:val="391"/>
        </w:trPr>
        <w:tc>
          <w:tcPr>
            <w:tcW w:w="4240" w:type="dxa"/>
            <w:vAlign w:val="bottom"/>
          </w:tcPr>
          <w:p>
            <w:pPr>
              <w:spacing w:after="0"/>
              <w:rPr>
                <w:sz w:val="20"/>
                <w:szCs w:val="20"/>
                <w:color w:val="auto"/>
              </w:rPr>
            </w:pPr>
            <w:r>
              <w:rPr>
                <w:rFonts w:ascii="Arial" w:cs="Arial" w:eastAsia="Arial" w:hAnsi="Arial"/>
                <w:sz w:val="16"/>
                <w:szCs w:val="16"/>
                <w:color w:val="auto"/>
              </w:rPr>
              <w:t>Amounts recorded in the consolidated balance</w:t>
            </w: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8"/>
        </w:trPr>
        <w:tc>
          <w:tcPr>
            <w:tcW w:w="4240" w:type="dxa"/>
            <w:vAlign w:val="bottom"/>
          </w:tcPr>
          <w:p>
            <w:pPr>
              <w:ind w:left="240"/>
              <w:spacing w:after="0"/>
              <w:rPr>
                <w:sz w:val="20"/>
                <w:szCs w:val="20"/>
                <w:color w:val="auto"/>
              </w:rPr>
            </w:pPr>
            <w:r>
              <w:rPr>
                <w:rFonts w:ascii="Arial" w:cs="Arial" w:eastAsia="Arial" w:hAnsi="Arial"/>
                <w:sz w:val="16"/>
                <w:szCs w:val="16"/>
                <w:color w:val="auto"/>
              </w:rPr>
              <w:t>sheet consist of:</w:t>
            </w: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8"/>
        </w:trPr>
        <w:tc>
          <w:tcPr>
            <w:tcW w:w="4240" w:type="dxa"/>
            <w:vAlign w:val="bottom"/>
          </w:tcPr>
          <w:p>
            <w:pPr>
              <w:ind w:left="240"/>
              <w:spacing w:after="0"/>
              <w:rPr>
                <w:sz w:val="20"/>
                <w:szCs w:val="20"/>
                <w:color w:val="auto"/>
              </w:rPr>
            </w:pPr>
            <w:r>
              <w:rPr>
                <w:rFonts w:ascii="Arial" w:cs="Arial" w:eastAsia="Arial" w:hAnsi="Arial"/>
                <w:sz w:val="16"/>
                <w:szCs w:val="16"/>
                <w:color w:val="auto"/>
              </w:rPr>
              <w:t>Other assets</w:t>
            </w:r>
          </w:p>
        </w:tc>
        <w:tc>
          <w:tcPr>
            <w:tcW w:w="1440" w:type="dxa"/>
            <w:vAlign w:val="bottom"/>
          </w:tcPr>
          <w:p>
            <w:pPr>
              <w:jc w:val="right"/>
              <w:ind w:right="56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663"/>
              <w:spacing w:after="0"/>
              <w:rPr>
                <w:sz w:val="20"/>
                <w:szCs w:val="20"/>
                <w:color w:val="auto"/>
              </w:rPr>
            </w:pPr>
            <w:r>
              <w:rPr>
                <w:rFonts w:ascii="Arial" w:cs="Arial" w:eastAsia="Arial" w:hAnsi="Arial"/>
                <w:sz w:val="16"/>
                <w:szCs w:val="16"/>
                <w:color w:val="auto"/>
              </w:rPr>
              <w:t>302</w:t>
            </w:r>
          </w:p>
        </w:tc>
        <w:tc>
          <w:tcPr>
            <w:tcW w:w="560" w:type="dxa"/>
            <w:vAlign w:val="bottom"/>
          </w:tcPr>
          <w:p>
            <w:pPr>
              <w:jc w:val="right"/>
              <w:spacing w:after="0"/>
              <w:rPr>
                <w:sz w:val="20"/>
                <w:szCs w:val="20"/>
                <w:color w:val="auto"/>
              </w:rPr>
            </w:pPr>
            <w:r>
              <w:rPr>
                <w:rFonts w:ascii="Arial" w:cs="Arial" w:eastAsia="Arial" w:hAnsi="Arial"/>
                <w:sz w:val="16"/>
                <w:szCs w:val="16"/>
                <w:color w:val="auto"/>
              </w:rPr>
              <w:t>201</w:t>
            </w:r>
          </w:p>
        </w:tc>
        <w:tc>
          <w:tcPr>
            <w:tcW w:w="460" w:type="dxa"/>
            <w:vAlign w:val="bottom"/>
          </w:tcPr>
          <w:p>
            <w:pPr>
              <w:spacing w:after="0"/>
              <w:rPr>
                <w:sz w:val="18"/>
                <w:szCs w:val="18"/>
                <w:color w:val="auto"/>
              </w:rPr>
            </w:pPr>
          </w:p>
        </w:tc>
        <w:tc>
          <w:tcPr>
            <w:tcW w:w="1540" w:type="dxa"/>
            <w:vAlign w:val="bottom"/>
          </w:tcPr>
          <w:p>
            <w:pPr>
              <w:jc w:val="right"/>
              <w:ind w:right="803"/>
              <w:spacing w:after="0"/>
              <w:rPr>
                <w:sz w:val="20"/>
                <w:szCs w:val="20"/>
                <w:color w:val="auto"/>
              </w:rPr>
            </w:pPr>
            <w:r>
              <w:rPr>
                <w:rFonts w:ascii="Arial" w:cs="Arial" w:eastAsia="Arial" w:hAnsi="Arial"/>
                <w:sz w:val="16"/>
                <w:szCs w:val="16"/>
                <w:color w:val="auto"/>
              </w:rPr>
              <w:t>-</w:t>
            </w:r>
          </w:p>
        </w:tc>
      </w:tr>
      <w:tr>
        <w:trPr>
          <w:trHeight w:val="208"/>
        </w:trPr>
        <w:tc>
          <w:tcPr>
            <w:tcW w:w="4240" w:type="dxa"/>
            <w:vAlign w:val="bottom"/>
          </w:tcPr>
          <w:p>
            <w:pPr>
              <w:ind w:left="240"/>
              <w:spacing w:after="0"/>
              <w:rPr>
                <w:sz w:val="20"/>
                <w:szCs w:val="20"/>
                <w:color w:val="auto"/>
              </w:rPr>
            </w:pPr>
            <w:r>
              <w:rPr>
                <w:rFonts w:ascii="Arial" w:cs="Arial" w:eastAsia="Arial" w:hAnsi="Arial"/>
                <w:sz w:val="16"/>
                <w:szCs w:val="16"/>
                <w:color w:val="auto"/>
              </w:rPr>
              <w:t>Current liabilities</w:t>
            </w:r>
          </w:p>
        </w:tc>
        <w:tc>
          <w:tcPr>
            <w:tcW w:w="1440" w:type="dxa"/>
            <w:vAlign w:val="bottom"/>
          </w:tcPr>
          <w:p>
            <w:pPr>
              <w:jc w:val="right"/>
              <w:ind w:right="442"/>
              <w:spacing w:after="0"/>
              <w:rPr>
                <w:sz w:val="20"/>
                <w:szCs w:val="20"/>
                <w:color w:val="auto"/>
              </w:rPr>
            </w:pPr>
            <w:r>
              <w:rPr>
                <w:rFonts w:ascii="Arial" w:cs="Arial" w:eastAsia="Arial" w:hAnsi="Arial"/>
                <w:sz w:val="16"/>
                <w:szCs w:val="16"/>
                <w:color w:val="auto"/>
              </w:rPr>
              <w:t>(340)</w:t>
            </w:r>
          </w:p>
        </w:tc>
        <w:tc>
          <w:tcPr>
            <w:tcW w:w="1220" w:type="dxa"/>
            <w:vAlign w:val="bottom"/>
            <w:gridSpan w:val="2"/>
          </w:tcPr>
          <w:p>
            <w:pPr>
              <w:jc w:val="right"/>
              <w:ind w:right="460"/>
              <w:spacing w:after="0"/>
              <w:rPr>
                <w:sz w:val="20"/>
                <w:szCs w:val="20"/>
                <w:color w:val="auto"/>
              </w:rPr>
            </w:pPr>
            <w:r>
              <w:rPr>
                <w:rFonts w:ascii="Arial" w:cs="Arial" w:eastAsia="Arial" w:hAnsi="Arial"/>
                <w:sz w:val="16"/>
                <w:szCs w:val="16"/>
                <w:color w:val="auto"/>
              </w:rPr>
              <w:t>(275)</w:t>
            </w:r>
          </w:p>
        </w:tc>
        <w:tc>
          <w:tcPr>
            <w:tcW w:w="200" w:type="dxa"/>
            <w:vAlign w:val="bottom"/>
          </w:tcPr>
          <w:p>
            <w:pPr>
              <w:spacing w:after="0"/>
              <w:rPr>
                <w:sz w:val="18"/>
                <w:szCs w:val="18"/>
                <w:color w:val="auto"/>
              </w:rPr>
            </w:pPr>
          </w:p>
        </w:tc>
        <w:tc>
          <w:tcPr>
            <w:tcW w:w="1280" w:type="dxa"/>
            <w:vAlign w:val="bottom"/>
          </w:tcPr>
          <w:p>
            <w:pPr>
              <w:jc w:val="right"/>
              <w:ind w:right="623"/>
              <w:spacing w:after="0"/>
              <w:rPr>
                <w:sz w:val="20"/>
                <w:szCs w:val="20"/>
                <w:color w:val="auto"/>
              </w:rPr>
            </w:pPr>
            <w:r>
              <w:rPr>
                <w:rFonts w:ascii="Arial" w:cs="Arial" w:eastAsia="Arial" w:hAnsi="Arial"/>
                <w:sz w:val="16"/>
                <w:szCs w:val="16"/>
                <w:color w:val="auto"/>
              </w:rPr>
              <w:t>(325)</w:t>
            </w:r>
          </w:p>
        </w:tc>
        <w:tc>
          <w:tcPr>
            <w:tcW w:w="1020" w:type="dxa"/>
            <w:vAlign w:val="bottom"/>
            <w:gridSpan w:val="2"/>
          </w:tcPr>
          <w:p>
            <w:pPr>
              <w:jc w:val="right"/>
              <w:ind w:right="460"/>
              <w:spacing w:after="0"/>
              <w:rPr>
                <w:sz w:val="20"/>
                <w:szCs w:val="20"/>
                <w:color w:val="auto"/>
              </w:rPr>
            </w:pPr>
            <w:r>
              <w:rPr>
                <w:rFonts w:ascii="Arial" w:cs="Arial" w:eastAsia="Arial" w:hAnsi="Arial"/>
                <w:sz w:val="16"/>
                <w:szCs w:val="16"/>
                <w:color w:val="auto"/>
              </w:rPr>
              <w:t>(358)</w:t>
            </w:r>
          </w:p>
        </w:tc>
        <w:tc>
          <w:tcPr>
            <w:tcW w:w="1540" w:type="dxa"/>
            <w:vAlign w:val="bottom"/>
          </w:tcPr>
          <w:p>
            <w:pPr>
              <w:jc w:val="right"/>
              <w:ind w:right="683"/>
              <w:spacing w:after="0"/>
              <w:rPr>
                <w:sz w:val="20"/>
                <w:szCs w:val="20"/>
                <w:color w:val="auto"/>
              </w:rPr>
            </w:pPr>
            <w:r>
              <w:rPr>
                <w:rFonts w:ascii="Arial" w:cs="Arial" w:eastAsia="Arial" w:hAnsi="Arial"/>
                <w:sz w:val="16"/>
                <w:szCs w:val="16"/>
                <w:color w:val="auto"/>
              </w:rPr>
              <w:t>(369)</w:t>
            </w:r>
          </w:p>
        </w:tc>
      </w:tr>
      <w:tr>
        <w:trPr>
          <w:trHeight w:val="214"/>
        </w:trPr>
        <w:tc>
          <w:tcPr>
            <w:tcW w:w="4240" w:type="dxa"/>
            <w:vAlign w:val="bottom"/>
          </w:tcPr>
          <w:p>
            <w:pPr>
              <w:ind w:left="240"/>
              <w:spacing w:after="0"/>
              <w:rPr>
                <w:sz w:val="20"/>
                <w:szCs w:val="20"/>
                <w:color w:val="auto"/>
              </w:rPr>
            </w:pPr>
            <w:r>
              <w:rPr>
                <w:rFonts w:ascii="Arial" w:cs="Arial" w:eastAsia="Arial" w:hAnsi="Arial"/>
                <w:sz w:val="16"/>
                <w:szCs w:val="16"/>
                <w:color w:val="auto"/>
              </w:rPr>
              <w:t>Postretirement benefits reserves</w:t>
            </w:r>
          </w:p>
        </w:tc>
        <w:tc>
          <w:tcPr>
            <w:tcW w:w="14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color w:val="auto"/>
              </w:rPr>
              <w:t>(7,274)</w:t>
            </w:r>
          </w:p>
        </w:tc>
        <w:tc>
          <w:tcPr>
            <w:tcW w:w="12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6"/>
                <w:szCs w:val="16"/>
                <w:color w:val="auto"/>
              </w:rPr>
              <w:t>(5,840)</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23"/>
              <w:spacing w:after="0"/>
              <w:rPr>
                <w:sz w:val="20"/>
                <w:szCs w:val="20"/>
                <w:color w:val="auto"/>
              </w:rPr>
            </w:pPr>
            <w:r>
              <w:rPr>
                <w:rFonts w:ascii="Arial" w:cs="Arial" w:eastAsia="Arial" w:hAnsi="Arial"/>
                <w:sz w:val="16"/>
                <w:szCs w:val="16"/>
                <w:color w:val="auto"/>
              </w:rPr>
              <w:t>(9,929)</w:t>
            </w:r>
          </w:p>
        </w:tc>
        <w:tc>
          <w:tcPr>
            <w:tcW w:w="10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6"/>
                <w:szCs w:val="16"/>
                <w:color w:val="auto"/>
              </w:rPr>
              <w:t>(7,917)</w:t>
            </w:r>
          </w:p>
        </w:tc>
        <w:tc>
          <w:tcPr>
            <w:tcW w:w="1540" w:type="dxa"/>
            <w:vAlign w:val="bottom"/>
            <w:tcBorders>
              <w:bottom w:val="single" w:sz="8" w:color="auto"/>
            </w:tcBorders>
          </w:tcPr>
          <w:p>
            <w:pPr>
              <w:jc w:val="right"/>
              <w:ind w:right="683"/>
              <w:spacing w:after="0"/>
              <w:rPr>
                <w:sz w:val="20"/>
                <w:szCs w:val="20"/>
                <w:color w:val="auto"/>
              </w:rPr>
            </w:pPr>
            <w:r>
              <w:rPr>
                <w:rFonts w:ascii="Arial" w:cs="Arial" w:eastAsia="Arial" w:hAnsi="Arial"/>
                <w:sz w:val="16"/>
                <w:szCs w:val="16"/>
                <w:color w:val="auto"/>
              </w:rPr>
              <w:t>(8,599)</w:t>
            </w:r>
          </w:p>
        </w:tc>
      </w:tr>
      <w:tr>
        <w:trPr>
          <w:trHeight w:val="196"/>
        </w:trPr>
        <w:tc>
          <w:tcPr>
            <w:tcW w:w="4240" w:type="dxa"/>
            <w:vAlign w:val="bottom"/>
          </w:tcPr>
          <w:p>
            <w:pPr>
              <w:spacing w:after="0" w:line="183" w:lineRule="exact"/>
              <w:rPr>
                <w:sz w:val="20"/>
                <w:szCs w:val="20"/>
                <w:color w:val="auto"/>
              </w:rPr>
            </w:pPr>
            <w:r>
              <w:rPr>
                <w:rFonts w:ascii="Arial" w:cs="Arial" w:eastAsia="Arial" w:hAnsi="Arial"/>
                <w:sz w:val="16"/>
                <w:szCs w:val="16"/>
                <w:color w:val="auto"/>
              </w:rPr>
              <w:t>Total recorded</w:t>
            </w:r>
          </w:p>
        </w:tc>
        <w:tc>
          <w:tcPr>
            <w:tcW w:w="14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color w:val="auto"/>
              </w:rPr>
              <w:t>(7,614)</w:t>
            </w:r>
          </w:p>
        </w:tc>
        <w:tc>
          <w:tcPr>
            <w:tcW w:w="12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6"/>
                <w:szCs w:val="16"/>
                <w:color w:val="auto"/>
              </w:rPr>
              <w:t>(6,114)</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3"/>
              <w:spacing w:after="0"/>
              <w:rPr>
                <w:sz w:val="20"/>
                <w:szCs w:val="20"/>
                <w:color w:val="auto"/>
              </w:rPr>
            </w:pPr>
            <w:r>
              <w:rPr>
                <w:rFonts w:ascii="Arial" w:cs="Arial" w:eastAsia="Arial" w:hAnsi="Arial"/>
                <w:sz w:val="16"/>
                <w:szCs w:val="16"/>
                <w:color w:val="auto"/>
              </w:rPr>
              <w:t>(9,952)</w:t>
            </w:r>
          </w:p>
        </w:tc>
        <w:tc>
          <w:tcPr>
            <w:tcW w:w="10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6"/>
                <w:szCs w:val="16"/>
                <w:color w:val="auto"/>
              </w:rPr>
              <w:t>(8,074)</w:t>
            </w:r>
          </w:p>
        </w:tc>
        <w:tc>
          <w:tcPr>
            <w:tcW w:w="1540" w:type="dxa"/>
            <w:vAlign w:val="bottom"/>
            <w:tcBorders>
              <w:bottom w:val="single" w:sz="8" w:color="auto"/>
            </w:tcBorders>
          </w:tcPr>
          <w:p>
            <w:pPr>
              <w:jc w:val="right"/>
              <w:ind w:right="683"/>
              <w:spacing w:after="0"/>
              <w:rPr>
                <w:sz w:val="20"/>
                <w:szCs w:val="20"/>
                <w:color w:val="auto"/>
              </w:rPr>
            </w:pPr>
            <w:r>
              <w:rPr>
                <w:rFonts w:ascii="Arial" w:cs="Arial" w:eastAsia="Arial" w:hAnsi="Arial"/>
                <w:sz w:val="16"/>
                <w:szCs w:val="16"/>
                <w:color w:val="auto"/>
              </w:rPr>
              <w:t>(8,968)</w:t>
            </w:r>
          </w:p>
        </w:tc>
      </w:tr>
      <w:tr>
        <w:trPr>
          <w:trHeight w:val="383"/>
        </w:trPr>
        <w:tc>
          <w:tcPr>
            <w:tcW w:w="4240" w:type="dxa"/>
            <w:vAlign w:val="bottom"/>
          </w:tcPr>
          <w:p>
            <w:pPr>
              <w:spacing w:after="0"/>
              <w:rPr>
                <w:sz w:val="20"/>
                <w:szCs w:val="20"/>
                <w:color w:val="auto"/>
              </w:rPr>
            </w:pPr>
            <w:r>
              <w:rPr>
                <w:rFonts w:ascii="Arial" w:cs="Arial" w:eastAsia="Arial" w:hAnsi="Arial"/>
                <w:sz w:val="16"/>
                <w:szCs w:val="16"/>
                <w:color w:val="auto"/>
              </w:rPr>
              <w:t>Amounts recorded in accumulated other</w:t>
            </w: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8"/>
        </w:trPr>
        <w:tc>
          <w:tcPr>
            <w:tcW w:w="4240" w:type="dxa"/>
            <w:vAlign w:val="bottom"/>
          </w:tcPr>
          <w:p>
            <w:pPr>
              <w:ind w:left="240"/>
              <w:spacing w:after="0"/>
              <w:rPr>
                <w:sz w:val="20"/>
                <w:szCs w:val="20"/>
                <w:color w:val="auto"/>
              </w:rPr>
            </w:pPr>
            <w:r>
              <w:rPr>
                <w:rFonts w:ascii="Arial" w:cs="Arial" w:eastAsia="Arial" w:hAnsi="Arial"/>
                <w:sz w:val="16"/>
                <w:szCs w:val="16"/>
                <w:color w:val="auto"/>
              </w:rPr>
              <w:t>comprehensive income consist of:</w:t>
            </w: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8"/>
        </w:trPr>
        <w:tc>
          <w:tcPr>
            <w:tcW w:w="4240" w:type="dxa"/>
            <w:vAlign w:val="bottom"/>
          </w:tcPr>
          <w:p>
            <w:pPr>
              <w:ind w:left="240"/>
              <w:spacing w:after="0"/>
              <w:rPr>
                <w:sz w:val="20"/>
                <w:szCs w:val="20"/>
                <w:color w:val="auto"/>
              </w:rPr>
            </w:pPr>
            <w:r>
              <w:rPr>
                <w:rFonts w:ascii="Arial" w:cs="Arial" w:eastAsia="Arial" w:hAnsi="Arial"/>
                <w:sz w:val="16"/>
                <w:szCs w:val="16"/>
                <w:color w:val="auto"/>
              </w:rPr>
              <w:t>Net actuarial loss/(gain)</w:t>
            </w:r>
          </w:p>
        </w:tc>
        <w:tc>
          <w:tcPr>
            <w:tcW w:w="1440" w:type="dxa"/>
            <w:vAlign w:val="bottom"/>
          </w:tcPr>
          <w:p>
            <w:pPr>
              <w:jc w:val="right"/>
              <w:ind w:right="482"/>
              <w:spacing w:after="0"/>
              <w:rPr>
                <w:sz w:val="20"/>
                <w:szCs w:val="20"/>
                <w:color w:val="auto"/>
              </w:rPr>
            </w:pPr>
            <w:r>
              <w:rPr>
                <w:rFonts w:ascii="Arial" w:cs="Arial" w:eastAsia="Arial" w:hAnsi="Arial"/>
                <w:sz w:val="16"/>
                <w:szCs w:val="16"/>
                <w:color w:val="auto"/>
              </w:rPr>
              <w:t>6,589</w:t>
            </w:r>
          </w:p>
        </w:tc>
        <w:tc>
          <w:tcPr>
            <w:tcW w:w="760" w:type="dxa"/>
            <w:vAlign w:val="bottom"/>
          </w:tcPr>
          <w:p>
            <w:pPr>
              <w:jc w:val="right"/>
              <w:spacing w:after="0"/>
              <w:rPr>
                <w:sz w:val="20"/>
                <w:szCs w:val="20"/>
                <w:color w:val="auto"/>
              </w:rPr>
            </w:pPr>
            <w:r>
              <w:rPr>
                <w:rFonts w:ascii="Arial" w:cs="Arial" w:eastAsia="Arial" w:hAnsi="Arial"/>
                <w:sz w:val="16"/>
                <w:szCs w:val="16"/>
                <w:color w:val="auto"/>
              </w:rPr>
              <w:t>4,780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663"/>
              <w:spacing w:after="0"/>
              <w:rPr>
                <w:sz w:val="20"/>
                <w:szCs w:val="20"/>
                <w:color w:val="auto"/>
              </w:rPr>
            </w:pPr>
            <w:r>
              <w:rPr>
                <w:rFonts w:ascii="Arial" w:cs="Arial" w:eastAsia="Arial" w:hAnsi="Arial"/>
                <w:sz w:val="16"/>
                <w:szCs w:val="16"/>
                <w:color w:val="auto"/>
              </w:rPr>
              <w:t>9,642</w:t>
            </w:r>
          </w:p>
        </w:tc>
        <w:tc>
          <w:tcPr>
            <w:tcW w:w="560" w:type="dxa"/>
            <w:vAlign w:val="bottom"/>
          </w:tcPr>
          <w:p>
            <w:pPr>
              <w:jc w:val="right"/>
              <w:spacing w:after="0"/>
              <w:rPr>
                <w:sz w:val="20"/>
                <w:szCs w:val="20"/>
                <w:color w:val="auto"/>
              </w:rPr>
            </w:pPr>
            <w:r>
              <w:rPr>
                <w:rFonts w:ascii="Arial" w:cs="Arial" w:eastAsia="Arial" w:hAnsi="Arial"/>
                <w:sz w:val="16"/>
                <w:szCs w:val="16"/>
                <w:color w:val="auto"/>
              </w:rPr>
              <w:t>7,943</w:t>
            </w:r>
          </w:p>
        </w:tc>
        <w:tc>
          <w:tcPr>
            <w:tcW w:w="460" w:type="dxa"/>
            <w:vAlign w:val="bottom"/>
          </w:tcPr>
          <w:p>
            <w:pPr>
              <w:spacing w:after="0"/>
              <w:rPr>
                <w:sz w:val="18"/>
                <w:szCs w:val="18"/>
                <w:color w:val="auto"/>
              </w:rPr>
            </w:pPr>
          </w:p>
        </w:tc>
        <w:tc>
          <w:tcPr>
            <w:tcW w:w="1540" w:type="dxa"/>
            <w:vAlign w:val="bottom"/>
          </w:tcPr>
          <w:p>
            <w:pPr>
              <w:jc w:val="right"/>
              <w:ind w:right="723"/>
              <w:spacing w:after="0"/>
              <w:rPr>
                <w:sz w:val="20"/>
                <w:szCs w:val="20"/>
                <w:color w:val="auto"/>
              </w:rPr>
            </w:pPr>
            <w:r>
              <w:rPr>
                <w:rFonts w:ascii="Arial" w:cs="Arial" w:eastAsia="Arial" w:hAnsi="Arial"/>
                <w:sz w:val="16"/>
                <w:szCs w:val="16"/>
                <w:color w:val="auto"/>
              </w:rPr>
              <w:t>2,997</w:t>
            </w:r>
          </w:p>
        </w:tc>
      </w:tr>
      <w:tr>
        <w:trPr>
          <w:trHeight w:val="214"/>
        </w:trPr>
        <w:tc>
          <w:tcPr>
            <w:tcW w:w="4240" w:type="dxa"/>
            <w:vAlign w:val="bottom"/>
          </w:tcPr>
          <w:p>
            <w:pPr>
              <w:ind w:left="240"/>
              <w:spacing w:after="0"/>
              <w:rPr>
                <w:sz w:val="20"/>
                <w:szCs w:val="20"/>
                <w:color w:val="auto"/>
              </w:rPr>
            </w:pPr>
            <w:r>
              <w:rPr>
                <w:rFonts w:ascii="Arial" w:cs="Arial" w:eastAsia="Arial" w:hAnsi="Arial"/>
                <w:sz w:val="16"/>
                <w:szCs w:val="16"/>
                <w:color w:val="auto"/>
              </w:rPr>
              <w:t>Prior service cost</w:t>
            </w: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color w:val="auto"/>
              </w:rPr>
              <w:t>27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4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63"/>
              <w:spacing w:after="0"/>
              <w:rPr>
                <w:sz w:val="20"/>
                <w:szCs w:val="20"/>
                <w:color w:val="auto"/>
              </w:rPr>
            </w:pPr>
            <w:r>
              <w:rPr>
                <w:rFonts w:ascii="Arial" w:cs="Arial" w:eastAsia="Arial" w:hAnsi="Arial"/>
                <w:sz w:val="16"/>
                <w:szCs w:val="16"/>
                <w:color w:val="auto"/>
              </w:rPr>
              <w:t>429</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w:t>
            </w: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23"/>
              <w:spacing w:after="0"/>
              <w:rPr>
                <w:sz w:val="20"/>
                <w:szCs w:val="20"/>
                <w:color w:val="auto"/>
              </w:rPr>
            </w:pPr>
            <w:r>
              <w:rPr>
                <w:rFonts w:ascii="Arial" w:cs="Arial" w:eastAsia="Arial" w:hAnsi="Arial"/>
                <w:sz w:val="16"/>
                <w:szCs w:val="16"/>
                <w:color w:val="auto"/>
              </w:rPr>
              <w:t>51</w:t>
            </w:r>
          </w:p>
        </w:tc>
      </w:tr>
      <w:tr>
        <w:trPr>
          <w:trHeight w:val="183"/>
        </w:trPr>
        <w:tc>
          <w:tcPr>
            <w:tcW w:w="4240" w:type="dxa"/>
            <w:vAlign w:val="bottom"/>
          </w:tcPr>
          <w:p>
            <w:pPr>
              <w:spacing w:after="0" w:line="183" w:lineRule="exact"/>
              <w:rPr>
                <w:sz w:val="20"/>
                <w:szCs w:val="20"/>
                <w:color w:val="auto"/>
              </w:rPr>
            </w:pPr>
            <w:r>
              <w:rPr>
                <w:rFonts w:ascii="Arial" w:cs="Arial" w:eastAsia="Arial" w:hAnsi="Arial"/>
                <w:sz w:val="16"/>
                <w:szCs w:val="16"/>
                <w:color w:val="auto"/>
              </w:rPr>
              <w:t>Total recorded in accumulated other</w:t>
            </w:r>
          </w:p>
        </w:tc>
        <w:tc>
          <w:tcPr>
            <w:tcW w:w="1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15"/>
        </w:trPr>
        <w:tc>
          <w:tcPr>
            <w:tcW w:w="4240" w:type="dxa"/>
            <w:vAlign w:val="bottom"/>
          </w:tcPr>
          <w:p>
            <w:pPr>
              <w:ind w:left="240"/>
              <w:spacing w:after="0"/>
              <w:rPr>
                <w:sz w:val="20"/>
                <w:szCs w:val="20"/>
                <w:color w:val="auto"/>
              </w:rPr>
            </w:pPr>
            <w:r>
              <w:rPr>
                <w:rFonts w:ascii="Arial" w:cs="Arial" w:eastAsia="Arial" w:hAnsi="Arial"/>
                <w:sz w:val="16"/>
                <w:szCs w:val="16"/>
                <w:color w:val="auto"/>
              </w:rPr>
              <w:t>comprehensive income</w:t>
            </w: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color w:val="auto"/>
              </w:rPr>
              <w:t>6,616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4,840</w:t>
            </w:r>
          </w:p>
        </w:tc>
        <w:tc>
          <w:tcPr>
            <w:tcW w:w="4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63"/>
              <w:spacing w:after="0"/>
              <w:rPr>
                <w:sz w:val="20"/>
                <w:szCs w:val="20"/>
                <w:color w:val="auto"/>
              </w:rPr>
            </w:pPr>
            <w:r>
              <w:rPr>
                <w:rFonts w:ascii="Arial" w:cs="Arial" w:eastAsia="Arial" w:hAnsi="Arial"/>
                <w:sz w:val="16"/>
                <w:szCs w:val="16"/>
                <w:color w:val="auto"/>
              </w:rPr>
              <w:t>10,071</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8,608</w:t>
            </w: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23"/>
              <w:spacing w:after="0"/>
              <w:rPr>
                <w:sz w:val="20"/>
                <w:szCs w:val="20"/>
                <w:color w:val="auto"/>
              </w:rPr>
            </w:pPr>
            <w:r>
              <w:rPr>
                <w:rFonts w:ascii="Arial" w:cs="Arial" w:eastAsia="Arial" w:hAnsi="Arial"/>
                <w:sz w:val="16"/>
                <w:szCs w:val="16"/>
                <w:color w:val="auto"/>
              </w:rPr>
              <w:t>3,048</w:t>
            </w:r>
          </w:p>
        </w:tc>
      </w:tr>
    </w:tbl>
    <w:p>
      <w:pPr>
        <w:spacing w:after="0" w:line="233" w:lineRule="exact"/>
        <w:rPr>
          <w:sz w:val="20"/>
          <w:szCs w:val="20"/>
          <w:color w:val="auto"/>
        </w:rPr>
      </w:pPr>
    </w:p>
    <w:p>
      <w:pPr>
        <w:ind w:left="400" w:hanging="394"/>
        <w:spacing w:after="0"/>
        <w:tabs>
          <w:tab w:leader="none" w:pos="40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Fair value of assets less benefit obligation shown on the preceding page.</w:t>
      </w:r>
    </w:p>
    <w:p>
      <w:pPr>
        <w:spacing w:after="0" w:line="355"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8" w:right="13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long-term expected rate of return on funded assets shown below is established for each benefit plan by developing a forward-looking, long-term return assump each asset class, taking into account factors such as the expected real return for the specific asset class and inflation. A single, long-term rate of return is then calculate weighted average of the target asset allocation percentages and the long-term return assumption for each asset class.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00" w:type="dxa"/>
            <w:vAlign w:val="bottom"/>
            <w:gridSpan w:val="3"/>
            <w:vMerge w:val="restart"/>
          </w:tcPr>
          <w:p>
            <w:pPr>
              <w:jc w:val="right"/>
              <w:ind w:right="281"/>
              <w:spacing w:after="0"/>
              <w:rPr>
                <w:sz w:val="20"/>
                <w:szCs w:val="20"/>
                <w:color w:val="auto"/>
              </w:rPr>
            </w:pPr>
            <w:r>
              <w:rPr>
                <w:rFonts w:ascii="Arial" w:cs="Arial" w:eastAsia="Arial" w:hAnsi="Arial"/>
                <w:sz w:val="13"/>
                <w:szCs w:val="13"/>
                <w:b w:val="1"/>
                <w:bCs w:val="1"/>
                <w:color w:val="auto"/>
              </w:rPr>
              <w:t>Pension Benefits</w:t>
            </w: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jc w:val="center"/>
              <w:ind w:right="103"/>
              <w:spacing w:after="0"/>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jc w:val="center"/>
              <w:ind w:right="103"/>
              <w:spacing w:after="0"/>
              <w:rPr>
                <w:sz w:val="20"/>
                <w:szCs w:val="20"/>
                <w:color w:val="auto"/>
              </w:rPr>
            </w:pPr>
            <w:r>
              <w:rPr>
                <w:rFonts w:ascii="Arial" w:cs="Arial" w:eastAsia="Arial" w:hAnsi="Arial"/>
                <w:sz w:val="13"/>
                <w:szCs w:val="13"/>
                <w:b w:val="1"/>
                <w:bCs w:val="1"/>
                <w:color w:val="auto"/>
                <w:w w:val="91"/>
              </w:rPr>
              <w:t>Postretirement</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U.S.</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42"/>
              <w:spacing w:after="0"/>
              <w:rPr>
                <w:sz w:val="20"/>
                <w:szCs w:val="20"/>
                <w:color w:val="auto"/>
              </w:rPr>
            </w:pPr>
            <w:r>
              <w:rPr>
                <w:rFonts w:ascii="Arial" w:cs="Arial" w:eastAsia="Arial" w:hAnsi="Arial"/>
                <w:sz w:val="13"/>
                <w:szCs w:val="13"/>
                <w:b w:val="1"/>
                <w:bCs w:val="1"/>
                <w:color w:val="auto"/>
              </w:rPr>
              <w:t>Non-U.S.</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3"/>
              <w:spacing w:after="0"/>
              <w:rPr>
                <w:sz w:val="20"/>
                <w:szCs w:val="20"/>
                <w:color w:val="auto"/>
              </w:rPr>
            </w:pPr>
            <w:r>
              <w:rPr>
                <w:rFonts w:ascii="Arial" w:cs="Arial" w:eastAsia="Arial" w:hAnsi="Arial"/>
                <w:sz w:val="13"/>
                <w:szCs w:val="13"/>
                <w:b w:val="1"/>
                <w:bCs w:val="1"/>
                <w:color w:val="auto"/>
                <w:w w:val="85"/>
              </w:rPr>
              <w:t>Benefits</w:t>
            </w:r>
          </w:p>
        </w:tc>
        <w:tc>
          <w:tcPr>
            <w:tcW w:w="0" w:type="dxa"/>
            <w:vAlign w:val="bottom"/>
          </w:tcPr>
          <w:p>
            <w:pPr>
              <w:spacing w:after="0"/>
              <w:rPr>
                <w:sz w:val="1"/>
                <w:szCs w:val="1"/>
                <w:color w:val="auto"/>
              </w:rPr>
            </w:pPr>
          </w:p>
        </w:tc>
      </w:tr>
      <w:tr>
        <w:trPr>
          <w:trHeight w:val="182"/>
        </w:trPr>
        <w:tc>
          <w:tcPr>
            <w:tcW w:w="4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2014</w:t>
            </w: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2013</w:t>
            </w:r>
          </w:p>
        </w:tc>
        <w:tc>
          <w:tcPr>
            <w:tcW w:w="64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2014</w:t>
            </w:r>
          </w:p>
        </w:tc>
        <w:tc>
          <w:tcPr>
            <w:tcW w:w="1020" w:type="dxa"/>
            <w:vAlign w:val="bottom"/>
            <w:tcBorders>
              <w:bottom w:val="single" w:sz="8" w:color="auto"/>
            </w:tcBorders>
          </w:tcPr>
          <w:p>
            <w:pPr>
              <w:jc w:val="right"/>
              <w:ind w:right="342"/>
              <w:spacing w:after="0"/>
              <w:rPr>
                <w:sz w:val="20"/>
                <w:szCs w:val="20"/>
                <w:color w:val="auto"/>
              </w:rPr>
            </w:pPr>
            <w:r>
              <w:rPr>
                <w:rFonts w:ascii="Arial" w:cs="Arial" w:eastAsia="Arial" w:hAnsi="Arial"/>
                <w:sz w:val="13"/>
                <w:szCs w:val="13"/>
                <w:b w:val="1"/>
                <w:bCs w:val="1"/>
                <w:color w:val="auto"/>
              </w:rPr>
              <w:t>2013</w:t>
            </w:r>
          </w:p>
        </w:tc>
        <w:tc>
          <w:tcPr>
            <w:tcW w:w="62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2014</w:t>
            </w:r>
          </w:p>
        </w:tc>
        <w:tc>
          <w:tcPr>
            <w:tcW w:w="1060" w:type="dxa"/>
            <w:vAlign w:val="bottom"/>
            <w:tcBorders>
              <w:bottom w:val="single" w:sz="8" w:color="auto"/>
            </w:tcBorders>
          </w:tcPr>
          <w:p>
            <w:pPr>
              <w:jc w:val="center"/>
              <w:ind w:right="123"/>
              <w:spacing w:after="0"/>
              <w:rPr>
                <w:sz w:val="20"/>
                <w:szCs w:val="20"/>
                <w:color w:val="auto"/>
              </w:rPr>
            </w:pPr>
            <w:r>
              <w:rPr>
                <w:rFonts w:ascii="Arial" w:cs="Arial" w:eastAsia="Arial" w:hAnsi="Arial"/>
                <w:sz w:val="13"/>
                <w:szCs w:val="13"/>
                <w:b w:val="1"/>
                <w:bCs w:val="1"/>
                <w:color w:val="auto"/>
                <w:w w:val="89"/>
              </w:rPr>
              <w:t>2013</w:t>
            </w:r>
          </w:p>
        </w:tc>
        <w:tc>
          <w:tcPr>
            <w:tcW w:w="0" w:type="dxa"/>
            <w:vAlign w:val="bottom"/>
          </w:tcPr>
          <w:p>
            <w:pPr>
              <w:spacing w:after="0"/>
              <w:rPr>
                <w:sz w:val="1"/>
                <w:szCs w:val="1"/>
                <w:color w:val="auto"/>
              </w:rPr>
            </w:pPr>
          </w:p>
        </w:tc>
      </w:tr>
      <w:tr>
        <w:trPr>
          <w:trHeight w:val="176"/>
        </w:trPr>
        <w:tc>
          <w:tcPr>
            <w:tcW w:w="4140" w:type="dxa"/>
            <w:vAlign w:val="bottom"/>
          </w:tcPr>
          <w:p>
            <w:pPr>
              <w:spacing w:after="0" w:line="176" w:lineRule="exact"/>
              <w:rPr>
                <w:sz w:val="20"/>
                <w:szCs w:val="20"/>
                <w:color w:val="auto"/>
              </w:rPr>
            </w:pPr>
            <w:r>
              <w:rPr>
                <w:rFonts w:ascii="Arial" w:cs="Arial" w:eastAsia="Arial" w:hAnsi="Arial"/>
                <w:sz w:val="16"/>
                <w:szCs w:val="16"/>
                <w:color w:val="auto"/>
              </w:rPr>
              <w:t>Weighted-average assumptions used to</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140" w:type="dxa"/>
            <w:vAlign w:val="bottom"/>
          </w:tcPr>
          <w:p>
            <w:pPr>
              <w:ind w:left="240"/>
              <w:spacing w:after="0"/>
              <w:rPr>
                <w:sz w:val="20"/>
                <w:szCs w:val="20"/>
                <w:color w:val="auto"/>
              </w:rPr>
            </w:pPr>
            <w:r>
              <w:rPr>
                <w:rFonts w:ascii="Arial" w:cs="Arial" w:eastAsia="Arial" w:hAnsi="Arial"/>
                <w:sz w:val="16"/>
                <w:szCs w:val="16"/>
                <w:color w:val="auto"/>
              </w:rPr>
              <w:t>determine net periodic benefit cost for</w:t>
            </w: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ind w:left="240"/>
              <w:spacing w:after="0"/>
              <w:rPr>
                <w:sz w:val="20"/>
                <w:szCs w:val="20"/>
                <w:color w:val="auto"/>
              </w:rPr>
            </w:pPr>
            <w:r>
              <w:rPr>
                <w:rFonts w:ascii="Arial" w:cs="Arial" w:eastAsia="Arial" w:hAnsi="Arial"/>
                <w:sz w:val="16"/>
                <w:szCs w:val="16"/>
                <w:color w:val="auto"/>
              </w:rPr>
              <w:t>years ended December 31</w:t>
            </w: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jc w:val="right"/>
              <w:ind w:right="422"/>
              <w:spacing w:after="0"/>
              <w:rPr>
                <w:sz w:val="20"/>
                <w:szCs w:val="20"/>
                <w:color w:val="auto"/>
              </w:rPr>
            </w:pPr>
            <w:r>
              <w:rPr>
                <w:rFonts w:ascii="Arial" w:cs="Arial" w:eastAsia="Arial" w:hAnsi="Arial"/>
                <w:sz w:val="13"/>
                <w:szCs w:val="13"/>
                <w:i w:val="1"/>
                <w:iCs w:val="1"/>
                <w:color w:val="auto"/>
                <w:w w:val="96"/>
              </w:rPr>
              <w:t>(percent)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40" w:type="dxa"/>
            <w:vAlign w:val="bottom"/>
          </w:tcPr>
          <w:p>
            <w:pPr>
              <w:ind w:left="240"/>
              <w:spacing w:after="0"/>
              <w:rPr>
                <w:sz w:val="20"/>
                <w:szCs w:val="20"/>
                <w:color w:val="auto"/>
              </w:rPr>
            </w:pPr>
            <w:r>
              <w:rPr>
                <w:rFonts w:ascii="Arial" w:cs="Arial" w:eastAsia="Arial" w:hAnsi="Arial"/>
                <w:sz w:val="16"/>
                <w:szCs w:val="16"/>
                <w:color w:val="auto"/>
              </w:rPr>
              <w:t>Discount rate</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5.00</w:t>
            </w:r>
          </w:p>
        </w:tc>
        <w:tc>
          <w:tcPr>
            <w:tcW w:w="840" w:type="dxa"/>
            <w:vAlign w:val="bottom"/>
          </w:tcPr>
          <w:p>
            <w:pPr>
              <w:jc w:val="right"/>
              <w:ind w:right="141"/>
              <w:spacing w:after="0"/>
              <w:rPr>
                <w:sz w:val="20"/>
                <w:szCs w:val="20"/>
                <w:color w:val="auto"/>
              </w:rPr>
            </w:pPr>
            <w:r>
              <w:rPr>
                <w:rFonts w:ascii="Arial" w:cs="Arial" w:eastAsia="Arial" w:hAnsi="Arial"/>
                <w:sz w:val="16"/>
                <w:szCs w:val="16"/>
                <w:color w:val="auto"/>
              </w:rPr>
              <w:t>4.00</w:t>
            </w:r>
          </w:p>
        </w:tc>
        <w:tc>
          <w:tcPr>
            <w:tcW w:w="64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4.30</w:t>
            </w: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3.80</w:t>
            </w:r>
          </w:p>
        </w:tc>
        <w:tc>
          <w:tcPr>
            <w:tcW w:w="62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5.00</w:t>
            </w:r>
          </w:p>
        </w:tc>
        <w:tc>
          <w:tcPr>
            <w:tcW w:w="1060" w:type="dxa"/>
            <w:vAlign w:val="bottom"/>
          </w:tcPr>
          <w:p>
            <w:pPr>
              <w:jc w:val="right"/>
              <w:ind w:right="263"/>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08"/>
        </w:trPr>
        <w:tc>
          <w:tcPr>
            <w:tcW w:w="4140" w:type="dxa"/>
            <w:vAlign w:val="bottom"/>
          </w:tcPr>
          <w:p>
            <w:pPr>
              <w:ind w:left="240"/>
              <w:spacing w:after="0"/>
              <w:rPr>
                <w:sz w:val="20"/>
                <w:szCs w:val="20"/>
                <w:color w:val="auto"/>
              </w:rPr>
            </w:pPr>
            <w:r>
              <w:rPr>
                <w:rFonts w:ascii="Arial" w:cs="Arial" w:eastAsia="Arial" w:hAnsi="Arial"/>
                <w:sz w:val="16"/>
                <w:szCs w:val="16"/>
                <w:color w:val="auto"/>
              </w:rPr>
              <w:t>Long-term rate of return on funded assets</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7.25</w:t>
            </w:r>
          </w:p>
        </w:tc>
        <w:tc>
          <w:tcPr>
            <w:tcW w:w="840" w:type="dxa"/>
            <w:vAlign w:val="bottom"/>
          </w:tcPr>
          <w:p>
            <w:pPr>
              <w:jc w:val="right"/>
              <w:ind w:right="141"/>
              <w:spacing w:after="0"/>
              <w:rPr>
                <w:sz w:val="20"/>
                <w:szCs w:val="20"/>
                <w:color w:val="auto"/>
              </w:rPr>
            </w:pPr>
            <w:r>
              <w:rPr>
                <w:rFonts w:ascii="Arial" w:cs="Arial" w:eastAsia="Arial" w:hAnsi="Arial"/>
                <w:sz w:val="16"/>
                <w:szCs w:val="16"/>
                <w:color w:val="auto"/>
              </w:rPr>
              <w:t>7.25</w:t>
            </w:r>
          </w:p>
        </w:tc>
        <w:tc>
          <w:tcPr>
            <w:tcW w:w="640" w:type="dxa"/>
            <w:vAlign w:val="bottom"/>
          </w:tcPr>
          <w:p>
            <w:pPr>
              <w:jc w:val="right"/>
              <w:spacing w:after="0"/>
              <w:rPr>
                <w:sz w:val="20"/>
                <w:szCs w:val="20"/>
                <w:color w:val="auto"/>
              </w:rPr>
            </w:pPr>
            <w:r>
              <w:rPr>
                <w:rFonts w:ascii="Arial" w:cs="Arial" w:eastAsia="Arial" w:hAnsi="Arial"/>
                <w:sz w:val="16"/>
                <w:szCs w:val="16"/>
                <w:color w:val="auto"/>
              </w:rPr>
              <w:t>7.25</w:t>
            </w:r>
          </w:p>
        </w:tc>
        <w:tc>
          <w:tcPr>
            <w:tcW w:w="12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6.30</w:t>
            </w: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6.40</w:t>
            </w:r>
          </w:p>
        </w:tc>
        <w:tc>
          <w:tcPr>
            <w:tcW w:w="620" w:type="dxa"/>
            <w:vAlign w:val="bottom"/>
          </w:tcPr>
          <w:p>
            <w:pPr>
              <w:jc w:val="right"/>
              <w:spacing w:after="0"/>
              <w:rPr>
                <w:sz w:val="20"/>
                <w:szCs w:val="20"/>
                <w:color w:val="auto"/>
              </w:rPr>
            </w:pPr>
            <w:r>
              <w:rPr>
                <w:rFonts w:ascii="Arial" w:cs="Arial" w:eastAsia="Arial" w:hAnsi="Arial"/>
                <w:sz w:val="16"/>
                <w:szCs w:val="16"/>
                <w:color w:val="auto"/>
              </w:rPr>
              <w:t>6.60</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7.25</w:t>
            </w:r>
          </w:p>
        </w:tc>
        <w:tc>
          <w:tcPr>
            <w:tcW w:w="1060" w:type="dxa"/>
            <w:vAlign w:val="bottom"/>
          </w:tcPr>
          <w:p>
            <w:pPr>
              <w:jc w:val="right"/>
              <w:ind w:right="263"/>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208"/>
        </w:trPr>
        <w:tc>
          <w:tcPr>
            <w:tcW w:w="4140" w:type="dxa"/>
            <w:vAlign w:val="bottom"/>
          </w:tcPr>
          <w:p>
            <w:pPr>
              <w:ind w:left="240"/>
              <w:spacing w:after="0"/>
              <w:rPr>
                <w:sz w:val="20"/>
                <w:szCs w:val="20"/>
                <w:color w:val="auto"/>
              </w:rPr>
            </w:pPr>
            <w:r>
              <w:rPr>
                <w:rFonts w:ascii="Arial" w:cs="Arial" w:eastAsia="Arial" w:hAnsi="Arial"/>
                <w:sz w:val="16"/>
                <w:szCs w:val="16"/>
                <w:color w:val="auto"/>
              </w:rPr>
              <w:t>Long-term rate of compensation increase</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5.75</w:t>
            </w:r>
          </w:p>
        </w:tc>
        <w:tc>
          <w:tcPr>
            <w:tcW w:w="840" w:type="dxa"/>
            <w:vAlign w:val="bottom"/>
          </w:tcPr>
          <w:p>
            <w:pPr>
              <w:jc w:val="right"/>
              <w:ind w:right="141"/>
              <w:spacing w:after="0"/>
              <w:rPr>
                <w:sz w:val="20"/>
                <w:szCs w:val="20"/>
                <w:color w:val="auto"/>
              </w:rPr>
            </w:pPr>
            <w:r>
              <w:rPr>
                <w:rFonts w:ascii="Arial" w:cs="Arial" w:eastAsia="Arial" w:hAnsi="Arial"/>
                <w:sz w:val="16"/>
                <w:szCs w:val="16"/>
                <w:color w:val="auto"/>
              </w:rPr>
              <w:t>5.75</w:t>
            </w:r>
          </w:p>
        </w:tc>
        <w:tc>
          <w:tcPr>
            <w:tcW w:w="640" w:type="dxa"/>
            <w:vAlign w:val="bottom"/>
          </w:tcPr>
          <w:p>
            <w:pPr>
              <w:jc w:val="right"/>
              <w:spacing w:after="0"/>
              <w:rPr>
                <w:sz w:val="20"/>
                <w:szCs w:val="20"/>
                <w:color w:val="auto"/>
              </w:rPr>
            </w:pPr>
            <w:r>
              <w:rPr>
                <w:rFonts w:ascii="Arial" w:cs="Arial" w:eastAsia="Arial" w:hAnsi="Arial"/>
                <w:sz w:val="16"/>
                <w:szCs w:val="16"/>
                <w:color w:val="auto"/>
              </w:rPr>
              <w:t>5.75</w:t>
            </w:r>
          </w:p>
        </w:tc>
        <w:tc>
          <w:tcPr>
            <w:tcW w:w="12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5.40</w:t>
            </w: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5.50</w:t>
            </w:r>
          </w:p>
        </w:tc>
        <w:tc>
          <w:tcPr>
            <w:tcW w:w="620" w:type="dxa"/>
            <w:vAlign w:val="bottom"/>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5.75</w:t>
            </w:r>
          </w:p>
        </w:tc>
        <w:tc>
          <w:tcPr>
            <w:tcW w:w="1060" w:type="dxa"/>
            <w:vAlign w:val="bottom"/>
          </w:tcPr>
          <w:p>
            <w:pPr>
              <w:jc w:val="right"/>
              <w:ind w:right="263"/>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404"/>
        </w:trPr>
        <w:tc>
          <w:tcPr>
            <w:tcW w:w="4140" w:type="dxa"/>
            <w:vAlign w:val="bottom"/>
          </w:tcPr>
          <w:p>
            <w:pPr>
              <w:spacing w:after="0"/>
              <w:rPr>
                <w:sz w:val="20"/>
                <w:szCs w:val="20"/>
                <w:color w:val="auto"/>
              </w:rPr>
            </w:pPr>
            <w:r>
              <w:rPr>
                <w:rFonts w:ascii="Arial" w:cs="Arial" w:eastAsia="Arial" w:hAnsi="Arial"/>
                <w:sz w:val="16"/>
                <w:szCs w:val="16"/>
                <w:color w:val="auto"/>
              </w:rPr>
              <w:t>Components of net periodic benefit cost</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2"/>
          </w:tcPr>
          <w:p>
            <w:pPr>
              <w:jc w:val="right"/>
              <w:ind w:right="62"/>
              <w:spacing w:after="0"/>
              <w:rPr>
                <w:sz w:val="20"/>
                <w:szCs w:val="20"/>
                <w:color w:val="auto"/>
              </w:rPr>
            </w:pPr>
            <w:r>
              <w:rPr>
                <w:rFonts w:ascii="Arial" w:cs="Arial" w:eastAsia="Arial" w:hAnsi="Arial"/>
                <w:sz w:val="13"/>
                <w:szCs w:val="13"/>
                <w:i w:val="1"/>
                <w:iCs w:val="1"/>
                <w:color w:val="auto"/>
              </w:rPr>
              <w:t>(millions of dollars)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140" w:type="dxa"/>
            <w:vAlign w:val="bottom"/>
          </w:tcPr>
          <w:p>
            <w:pPr>
              <w:ind w:left="240"/>
              <w:spacing w:after="0"/>
              <w:rPr>
                <w:sz w:val="20"/>
                <w:szCs w:val="20"/>
                <w:color w:val="auto"/>
              </w:rPr>
            </w:pPr>
            <w:r>
              <w:rPr>
                <w:rFonts w:ascii="Arial" w:cs="Arial" w:eastAsia="Arial" w:hAnsi="Arial"/>
                <w:sz w:val="16"/>
                <w:szCs w:val="16"/>
                <w:color w:val="auto"/>
              </w:rPr>
              <w:t>Service cost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677</w:t>
            </w:r>
          </w:p>
        </w:tc>
        <w:tc>
          <w:tcPr>
            <w:tcW w:w="840" w:type="dxa"/>
            <w:vAlign w:val="bottom"/>
          </w:tcPr>
          <w:p>
            <w:pPr>
              <w:jc w:val="right"/>
              <w:ind w:right="141"/>
              <w:spacing w:after="0"/>
              <w:rPr>
                <w:sz w:val="20"/>
                <w:szCs w:val="20"/>
                <w:color w:val="auto"/>
              </w:rPr>
            </w:pPr>
            <w:r>
              <w:rPr>
                <w:rFonts w:ascii="Arial" w:cs="Arial" w:eastAsia="Arial" w:hAnsi="Arial"/>
                <w:sz w:val="16"/>
                <w:szCs w:val="16"/>
                <w:color w:val="auto"/>
              </w:rPr>
              <w:t>801</w:t>
            </w:r>
          </w:p>
        </w:tc>
        <w:tc>
          <w:tcPr>
            <w:tcW w:w="640" w:type="dxa"/>
            <w:vAlign w:val="bottom"/>
          </w:tcPr>
          <w:p>
            <w:pPr>
              <w:jc w:val="right"/>
              <w:spacing w:after="0"/>
              <w:rPr>
                <w:sz w:val="20"/>
                <w:szCs w:val="20"/>
                <w:color w:val="auto"/>
              </w:rPr>
            </w:pPr>
            <w:r>
              <w:rPr>
                <w:rFonts w:ascii="Arial" w:cs="Arial" w:eastAsia="Arial" w:hAnsi="Arial"/>
                <w:sz w:val="16"/>
                <w:szCs w:val="16"/>
                <w:color w:val="auto"/>
              </w:rPr>
              <w:t>665</w:t>
            </w:r>
          </w:p>
        </w:tc>
        <w:tc>
          <w:tcPr>
            <w:tcW w:w="12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590</w:t>
            </w: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697</w:t>
            </w:r>
          </w:p>
        </w:tc>
        <w:tc>
          <w:tcPr>
            <w:tcW w:w="620" w:type="dxa"/>
            <w:vAlign w:val="bottom"/>
          </w:tcPr>
          <w:p>
            <w:pPr>
              <w:jc w:val="right"/>
              <w:spacing w:after="0"/>
              <w:rPr>
                <w:sz w:val="20"/>
                <w:szCs w:val="20"/>
                <w:color w:val="auto"/>
              </w:rPr>
            </w:pPr>
            <w:r>
              <w:rPr>
                <w:rFonts w:ascii="Arial" w:cs="Arial" w:eastAsia="Arial" w:hAnsi="Arial"/>
                <w:sz w:val="16"/>
                <w:szCs w:val="16"/>
                <w:color w:val="auto"/>
              </w:rPr>
              <w:t>648</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140</w:t>
            </w:r>
          </w:p>
        </w:tc>
        <w:tc>
          <w:tcPr>
            <w:tcW w:w="1060" w:type="dxa"/>
            <w:vAlign w:val="bottom"/>
          </w:tcPr>
          <w:p>
            <w:pPr>
              <w:jc w:val="right"/>
              <w:ind w:right="263"/>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8"/>
        </w:trPr>
        <w:tc>
          <w:tcPr>
            <w:tcW w:w="4140" w:type="dxa"/>
            <w:vAlign w:val="bottom"/>
          </w:tcPr>
          <w:p>
            <w:pPr>
              <w:ind w:left="240"/>
              <w:spacing w:after="0"/>
              <w:rPr>
                <w:sz w:val="20"/>
                <w:szCs w:val="20"/>
                <w:color w:val="auto"/>
              </w:rPr>
            </w:pPr>
            <w:r>
              <w:rPr>
                <w:rFonts w:ascii="Arial" w:cs="Arial" w:eastAsia="Arial" w:hAnsi="Arial"/>
                <w:sz w:val="16"/>
                <w:szCs w:val="16"/>
                <w:color w:val="auto"/>
              </w:rPr>
              <w:t>Interest cost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807</w:t>
            </w:r>
          </w:p>
        </w:tc>
        <w:tc>
          <w:tcPr>
            <w:tcW w:w="840" w:type="dxa"/>
            <w:vAlign w:val="bottom"/>
          </w:tcPr>
          <w:p>
            <w:pPr>
              <w:jc w:val="right"/>
              <w:ind w:right="141"/>
              <w:spacing w:after="0"/>
              <w:rPr>
                <w:sz w:val="20"/>
                <w:szCs w:val="20"/>
                <w:color w:val="auto"/>
              </w:rPr>
            </w:pPr>
            <w:r>
              <w:rPr>
                <w:rFonts w:ascii="Arial" w:cs="Arial" w:eastAsia="Arial" w:hAnsi="Arial"/>
                <w:sz w:val="16"/>
                <w:szCs w:val="16"/>
                <w:color w:val="auto"/>
              </w:rPr>
              <w:t>749</w:t>
            </w:r>
          </w:p>
        </w:tc>
        <w:tc>
          <w:tcPr>
            <w:tcW w:w="640" w:type="dxa"/>
            <w:vAlign w:val="bottom"/>
          </w:tcPr>
          <w:p>
            <w:pPr>
              <w:jc w:val="right"/>
              <w:spacing w:after="0"/>
              <w:rPr>
                <w:sz w:val="20"/>
                <w:szCs w:val="20"/>
                <w:color w:val="auto"/>
              </w:rPr>
            </w:pPr>
            <w:r>
              <w:rPr>
                <w:rFonts w:ascii="Arial" w:cs="Arial" w:eastAsia="Arial" w:hAnsi="Arial"/>
                <w:sz w:val="16"/>
                <w:szCs w:val="16"/>
                <w:color w:val="auto"/>
              </w:rPr>
              <w:t>820</w:t>
            </w:r>
          </w:p>
        </w:tc>
        <w:tc>
          <w:tcPr>
            <w:tcW w:w="12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1,138</w:t>
            </w: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1,076</w:t>
            </w:r>
          </w:p>
        </w:tc>
        <w:tc>
          <w:tcPr>
            <w:tcW w:w="620" w:type="dxa"/>
            <w:vAlign w:val="bottom"/>
          </w:tcPr>
          <w:p>
            <w:pPr>
              <w:jc w:val="right"/>
              <w:spacing w:after="0"/>
              <w:rPr>
                <w:sz w:val="20"/>
                <w:szCs w:val="20"/>
                <w:color w:val="auto"/>
              </w:rPr>
            </w:pPr>
            <w:r>
              <w:rPr>
                <w:rFonts w:ascii="Arial" w:cs="Arial" w:eastAsia="Arial" w:hAnsi="Arial"/>
                <w:sz w:val="16"/>
                <w:szCs w:val="16"/>
                <w:color w:val="auto"/>
              </w:rPr>
              <w:t>1,145</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383</w:t>
            </w:r>
          </w:p>
        </w:tc>
        <w:tc>
          <w:tcPr>
            <w:tcW w:w="1060" w:type="dxa"/>
            <w:vAlign w:val="bottom"/>
          </w:tcPr>
          <w:p>
            <w:pPr>
              <w:jc w:val="right"/>
              <w:ind w:right="263"/>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08"/>
        </w:trPr>
        <w:tc>
          <w:tcPr>
            <w:tcW w:w="4140" w:type="dxa"/>
            <w:vAlign w:val="bottom"/>
          </w:tcPr>
          <w:p>
            <w:pPr>
              <w:ind w:left="240"/>
              <w:spacing w:after="0"/>
              <w:rPr>
                <w:sz w:val="20"/>
                <w:szCs w:val="20"/>
                <w:color w:val="auto"/>
              </w:rPr>
            </w:pPr>
            <w:r>
              <w:rPr>
                <w:rFonts w:ascii="Arial" w:cs="Arial" w:eastAsia="Arial" w:hAnsi="Arial"/>
                <w:sz w:val="16"/>
                <w:szCs w:val="16"/>
                <w:color w:val="auto"/>
              </w:rPr>
              <w:t>Expected return on plan assets</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(799)</w:t>
            </w: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(835)</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(789)</w:t>
            </w:r>
          </w:p>
        </w:tc>
        <w:tc>
          <w:tcPr>
            <w:tcW w:w="740" w:type="dxa"/>
            <w:vAlign w:val="bottom"/>
          </w:tcPr>
          <w:p>
            <w:pPr>
              <w:jc w:val="right"/>
              <w:spacing w:after="0"/>
              <w:rPr>
                <w:sz w:val="20"/>
                <w:szCs w:val="20"/>
                <w:color w:val="auto"/>
              </w:rPr>
            </w:pPr>
            <w:r>
              <w:rPr>
                <w:rFonts w:ascii="Arial" w:cs="Arial" w:eastAsia="Arial" w:hAnsi="Arial"/>
                <w:sz w:val="16"/>
                <w:szCs w:val="16"/>
                <w:color w:val="auto"/>
              </w:rPr>
              <w:t>(1,193)</w:t>
            </w: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(1,128)</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(1,109)</w:t>
            </w:r>
          </w:p>
        </w:tc>
        <w:tc>
          <w:tcPr>
            <w:tcW w:w="680" w:type="dxa"/>
            <w:vAlign w:val="bottom"/>
          </w:tcPr>
          <w:p>
            <w:pPr>
              <w:jc w:val="right"/>
              <w:spacing w:after="0"/>
              <w:rPr>
                <w:sz w:val="20"/>
                <w:szCs w:val="20"/>
                <w:color w:val="auto"/>
              </w:rPr>
            </w:pPr>
            <w:r>
              <w:rPr>
                <w:rFonts w:ascii="Arial" w:cs="Arial" w:eastAsia="Arial" w:hAnsi="Arial"/>
                <w:sz w:val="16"/>
                <w:szCs w:val="16"/>
                <w:color w:val="auto"/>
              </w:rPr>
              <w:t>(37)</w:t>
            </w:r>
          </w:p>
        </w:tc>
        <w:tc>
          <w:tcPr>
            <w:tcW w:w="1060" w:type="dxa"/>
            <w:vAlign w:val="bottom"/>
          </w:tcPr>
          <w:p>
            <w:pPr>
              <w:jc w:val="right"/>
              <w:ind w:right="203"/>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8"/>
        </w:trPr>
        <w:tc>
          <w:tcPr>
            <w:tcW w:w="4140" w:type="dxa"/>
            <w:vAlign w:val="bottom"/>
          </w:tcPr>
          <w:p>
            <w:pPr>
              <w:ind w:left="240"/>
              <w:spacing w:after="0"/>
              <w:rPr>
                <w:sz w:val="20"/>
                <w:szCs w:val="20"/>
                <w:color w:val="auto"/>
              </w:rPr>
            </w:pPr>
            <w:r>
              <w:rPr>
                <w:rFonts w:ascii="Arial" w:cs="Arial" w:eastAsia="Arial" w:hAnsi="Arial"/>
                <w:sz w:val="16"/>
                <w:szCs w:val="16"/>
                <w:color w:val="auto"/>
              </w:rPr>
              <w:t>Amortization of actuarial loss/(gain)</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409</w:t>
            </w:r>
          </w:p>
        </w:tc>
        <w:tc>
          <w:tcPr>
            <w:tcW w:w="840" w:type="dxa"/>
            <w:vAlign w:val="bottom"/>
          </w:tcPr>
          <w:p>
            <w:pPr>
              <w:jc w:val="right"/>
              <w:ind w:right="141"/>
              <w:spacing w:after="0"/>
              <w:rPr>
                <w:sz w:val="20"/>
                <w:szCs w:val="20"/>
                <w:color w:val="auto"/>
              </w:rPr>
            </w:pPr>
            <w:r>
              <w:rPr>
                <w:rFonts w:ascii="Arial" w:cs="Arial" w:eastAsia="Arial" w:hAnsi="Arial"/>
                <w:sz w:val="16"/>
                <w:szCs w:val="16"/>
                <w:color w:val="auto"/>
              </w:rPr>
              <w:t>646</w:t>
            </w:r>
          </w:p>
        </w:tc>
        <w:tc>
          <w:tcPr>
            <w:tcW w:w="640" w:type="dxa"/>
            <w:vAlign w:val="bottom"/>
          </w:tcPr>
          <w:p>
            <w:pPr>
              <w:jc w:val="right"/>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628</w:t>
            </w: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852</w:t>
            </w:r>
          </w:p>
        </w:tc>
        <w:tc>
          <w:tcPr>
            <w:tcW w:w="620" w:type="dxa"/>
            <w:vAlign w:val="bottom"/>
          </w:tcPr>
          <w:p>
            <w:pPr>
              <w:jc w:val="right"/>
              <w:spacing w:after="0"/>
              <w:rPr>
                <w:sz w:val="20"/>
                <w:szCs w:val="20"/>
                <w:color w:val="auto"/>
              </w:rPr>
            </w:pPr>
            <w:r>
              <w:rPr>
                <w:rFonts w:ascii="Arial" w:cs="Arial" w:eastAsia="Arial" w:hAnsi="Arial"/>
                <w:sz w:val="16"/>
                <w:szCs w:val="16"/>
                <w:color w:val="auto"/>
              </w:rPr>
              <w:t>844</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116</w:t>
            </w:r>
          </w:p>
        </w:tc>
        <w:tc>
          <w:tcPr>
            <w:tcW w:w="1060" w:type="dxa"/>
            <w:vAlign w:val="bottom"/>
          </w:tcPr>
          <w:p>
            <w:pPr>
              <w:jc w:val="right"/>
              <w:ind w:right="263"/>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08"/>
        </w:trPr>
        <w:tc>
          <w:tcPr>
            <w:tcW w:w="4140" w:type="dxa"/>
            <w:vAlign w:val="bottom"/>
          </w:tcPr>
          <w:p>
            <w:pPr>
              <w:ind w:left="240"/>
              <w:spacing w:after="0"/>
              <w:rPr>
                <w:sz w:val="20"/>
                <w:szCs w:val="20"/>
                <w:color w:val="auto"/>
              </w:rPr>
            </w:pPr>
            <w:r>
              <w:rPr>
                <w:rFonts w:ascii="Arial" w:cs="Arial" w:eastAsia="Arial" w:hAnsi="Arial"/>
                <w:sz w:val="16"/>
                <w:szCs w:val="16"/>
                <w:color w:val="auto"/>
              </w:rPr>
              <w:t>Amortization of prior service cost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8</w:t>
            </w:r>
          </w:p>
        </w:tc>
        <w:tc>
          <w:tcPr>
            <w:tcW w:w="840" w:type="dxa"/>
            <w:vAlign w:val="bottom"/>
          </w:tcPr>
          <w:p>
            <w:pPr>
              <w:jc w:val="right"/>
              <w:ind w:right="141"/>
              <w:spacing w:after="0"/>
              <w:rPr>
                <w:sz w:val="20"/>
                <w:szCs w:val="20"/>
                <w:color w:val="auto"/>
              </w:rPr>
            </w:pPr>
            <w:r>
              <w:rPr>
                <w:rFonts w:ascii="Arial" w:cs="Arial" w:eastAsia="Arial" w:hAnsi="Arial"/>
                <w:sz w:val="16"/>
                <w:szCs w:val="16"/>
                <w:color w:val="auto"/>
              </w:rPr>
              <w:t>7</w:t>
            </w:r>
          </w:p>
        </w:tc>
        <w:tc>
          <w:tcPr>
            <w:tcW w:w="6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120</w:t>
            </w: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117</w:t>
            </w:r>
          </w:p>
        </w:tc>
        <w:tc>
          <w:tcPr>
            <w:tcW w:w="62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w:t>
            </w:r>
          </w:p>
        </w:tc>
        <w:tc>
          <w:tcPr>
            <w:tcW w:w="1060" w:type="dxa"/>
            <w:vAlign w:val="bottom"/>
          </w:tcPr>
          <w:p>
            <w:pPr>
              <w:jc w:val="right"/>
              <w:ind w:right="263"/>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8"/>
        </w:trPr>
        <w:tc>
          <w:tcPr>
            <w:tcW w:w="4140" w:type="dxa"/>
            <w:vAlign w:val="bottom"/>
          </w:tcPr>
          <w:p>
            <w:pPr>
              <w:ind w:left="240"/>
              <w:spacing w:after="0"/>
              <w:rPr>
                <w:sz w:val="20"/>
                <w:szCs w:val="20"/>
                <w:color w:val="auto"/>
              </w:rPr>
            </w:pPr>
            <w:r>
              <w:rPr>
                <w:rFonts w:ascii="Arial" w:cs="Arial" w:eastAsia="Arial" w:hAnsi="Arial"/>
                <w:sz w:val="16"/>
                <w:szCs w:val="16"/>
                <w:color w:val="auto"/>
              </w:rPr>
              <w:t>Net pension enhancement and</w:t>
            </w: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400"/>
              <w:spacing w:after="0"/>
              <w:rPr>
                <w:sz w:val="20"/>
                <w:szCs w:val="20"/>
                <w:color w:val="auto"/>
              </w:rPr>
            </w:pPr>
            <w:r>
              <w:rPr>
                <w:rFonts w:ascii="Arial" w:cs="Arial" w:eastAsia="Arial" w:hAnsi="Arial"/>
                <w:sz w:val="16"/>
                <w:szCs w:val="16"/>
                <w:color w:val="auto"/>
              </w:rPr>
              <w:t xml:space="preserve">curtailment/settlement cost </w:t>
            </w:r>
            <w:r>
              <w:rPr>
                <w:rFonts w:ascii="Arial" w:cs="Arial" w:eastAsia="Arial" w:hAnsi="Arial"/>
                <w:sz w:val="14"/>
                <w:szCs w:val="14"/>
                <w:i w:val="1"/>
                <w:iCs w:val="1"/>
                <w:color w:val="auto"/>
              </w:rPr>
              <w:t>(1)</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276</w:t>
            </w:r>
          </w:p>
        </w:tc>
        <w:tc>
          <w:tcPr>
            <w:tcW w:w="8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723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1,540</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4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140" w:type="dxa"/>
            <w:vAlign w:val="bottom"/>
          </w:tcPr>
          <w:p>
            <w:pPr>
              <w:spacing w:after="0" w:line="183" w:lineRule="exact"/>
              <w:rPr>
                <w:sz w:val="20"/>
                <w:szCs w:val="20"/>
                <w:color w:val="auto"/>
              </w:rPr>
            </w:pPr>
            <w:r>
              <w:rPr>
                <w:rFonts w:ascii="Arial" w:cs="Arial" w:eastAsia="Arial" w:hAnsi="Arial"/>
                <w:sz w:val="16"/>
                <w:szCs w:val="16"/>
                <w:color w:val="auto"/>
              </w:rPr>
              <w:t>Net periodic benefit cost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1,378</w:t>
            </w:r>
          </w:p>
        </w:tc>
        <w:tc>
          <w:tcPr>
            <w:tcW w:w="8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2,091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1,612</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1,283</w:t>
            </w: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1,636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3,185</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w:t>
            </w:r>
          </w:p>
        </w:tc>
        <w:tc>
          <w:tcPr>
            <w:tcW w:w="106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700" w:right="400" w:hanging="461"/>
        <w:spacing w:after="0" w:line="271" w:lineRule="auto"/>
        <w:tabs>
          <w:tab w:leader="none" w:pos="700" w:val="left"/>
        </w:tabs>
        <w:numPr>
          <w:ilvl w:val="0"/>
          <w:numId w:val="31"/>
        </w:numPr>
        <w:rPr>
          <w:rFonts w:ascii="Arial" w:cs="Arial" w:eastAsia="Arial" w:hAnsi="Arial"/>
          <w:sz w:val="15"/>
          <w:szCs w:val="15"/>
          <w:i w:val="1"/>
          <w:iCs w:val="1"/>
          <w:color w:val="auto"/>
        </w:rPr>
      </w:pPr>
      <w:r>
        <w:rPr>
          <w:rFonts w:ascii="Arial" w:cs="Arial" w:eastAsia="Arial" w:hAnsi="Arial"/>
          <w:sz w:val="16"/>
          <w:szCs w:val="16"/>
          <w:i w:val="1"/>
          <w:iCs w:val="1"/>
          <w:color w:val="auto"/>
        </w:rPr>
        <w:t>Non-U.S. net pension enhancement and curtailment/settlement cost for 2012 includes $1,420 million (on a consolidated-company, before-tax basis) of accumulated other comprehensive income for the postretirement benefit reserves adjustment that was recycled into earnings and included in the Japan restructuring gain reported in “Other income”.</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140" w:type="dxa"/>
            <w:vAlign w:val="bottom"/>
          </w:tcPr>
          <w:p>
            <w:pPr>
              <w:spacing w:after="0"/>
              <w:rPr>
                <w:sz w:val="20"/>
                <w:szCs w:val="20"/>
                <w:color w:val="auto"/>
              </w:rPr>
            </w:pPr>
            <w:r>
              <w:rPr>
                <w:rFonts w:ascii="Arial" w:cs="Arial" w:eastAsia="Arial" w:hAnsi="Arial"/>
                <w:sz w:val="16"/>
                <w:szCs w:val="16"/>
                <w:color w:val="auto"/>
              </w:rPr>
              <w:t>Changes in amounts recorded in accumulated</w:t>
            </w: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8"/>
        </w:trPr>
        <w:tc>
          <w:tcPr>
            <w:tcW w:w="4140" w:type="dxa"/>
            <w:vAlign w:val="bottom"/>
          </w:tcPr>
          <w:p>
            <w:pPr>
              <w:ind w:left="240"/>
              <w:spacing w:after="0"/>
              <w:rPr>
                <w:sz w:val="20"/>
                <w:szCs w:val="20"/>
                <w:color w:val="auto"/>
              </w:rPr>
            </w:pPr>
            <w:r>
              <w:rPr>
                <w:rFonts w:ascii="Arial" w:cs="Arial" w:eastAsia="Arial" w:hAnsi="Arial"/>
                <w:sz w:val="16"/>
                <w:szCs w:val="16"/>
                <w:color w:val="auto"/>
              </w:rPr>
              <w:t>other comprehensive income:</w:t>
            </w: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4140" w:type="dxa"/>
            <w:vAlign w:val="bottom"/>
          </w:tcPr>
          <w:p>
            <w:pPr>
              <w:ind w:left="240"/>
              <w:spacing w:after="0"/>
              <w:rPr>
                <w:sz w:val="20"/>
                <w:szCs w:val="20"/>
                <w:color w:val="auto"/>
              </w:rPr>
            </w:pPr>
            <w:r>
              <w:rPr>
                <w:rFonts w:ascii="Arial" w:cs="Arial" w:eastAsia="Arial" w:hAnsi="Arial"/>
                <w:sz w:val="16"/>
                <w:szCs w:val="16"/>
                <w:color w:val="auto"/>
              </w:rPr>
              <w:t>Net actuarial loss/(gain)</w:t>
            </w:r>
          </w:p>
        </w:tc>
        <w:tc>
          <w:tcPr>
            <w:tcW w:w="980" w:type="dxa"/>
            <w:vAlign w:val="bottom"/>
          </w:tcPr>
          <w:p>
            <w:pPr>
              <w:jc w:val="right"/>
              <w:ind w:right="138"/>
              <w:spacing w:after="0"/>
              <w:rPr>
                <w:sz w:val="20"/>
                <w:szCs w:val="20"/>
                <w:color w:val="auto"/>
              </w:rPr>
            </w:pPr>
            <w:r>
              <w:rPr>
                <w:rFonts w:ascii="Arial" w:cs="Arial" w:eastAsia="Arial" w:hAnsi="Arial"/>
                <w:sz w:val="16"/>
                <w:szCs w:val="16"/>
                <w:color w:val="auto"/>
              </w:rPr>
              <w:t>2,494</w:t>
            </w:r>
          </w:p>
        </w:tc>
        <w:tc>
          <w:tcPr>
            <w:tcW w:w="840" w:type="dxa"/>
            <w:vAlign w:val="bottom"/>
          </w:tcPr>
          <w:p>
            <w:pPr>
              <w:jc w:val="right"/>
              <w:ind w:right="118"/>
              <w:spacing w:after="0"/>
              <w:rPr>
                <w:sz w:val="20"/>
                <w:szCs w:val="20"/>
                <w:color w:val="auto"/>
              </w:rPr>
            </w:pPr>
            <w:r>
              <w:rPr>
                <w:rFonts w:ascii="Arial" w:cs="Arial" w:eastAsia="Arial" w:hAnsi="Arial"/>
                <w:sz w:val="16"/>
                <w:szCs w:val="16"/>
                <w:color w:val="auto"/>
              </w:rPr>
              <w:t>(1,302)</w:t>
            </w:r>
          </w:p>
        </w:tc>
        <w:tc>
          <w:tcPr>
            <w:tcW w:w="800" w:type="dxa"/>
            <w:vAlign w:val="bottom"/>
          </w:tcPr>
          <w:p>
            <w:pPr>
              <w:jc w:val="right"/>
              <w:ind w:right="158"/>
              <w:spacing w:after="0"/>
              <w:rPr>
                <w:sz w:val="20"/>
                <w:szCs w:val="20"/>
                <w:color w:val="auto"/>
              </w:rPr>
            </w:pPr>
            <w:r>
              <w:rPr>
                <w:rFonts w:ascii="Arial" w:cs="Arial" w:eastAsia="Arial" w:hAnsi="Arial"/>
                <w:sz w:val="16"/>
                <w:szCs w:val="16"/>
                <w:color w:val="auto"/>
              </w:rPr>
              <w:t>1,885</w:t>
            </w:r>
          </w:p>
        </w:tc>
        <w:tc>
          <w:tcPr>
            <w:tcW w:w="840" w:type="dxa"/>
            <w:vAlign w:val="bottom"/>
          </w:tcPr>
          <w:p>
            <w:pPr>
              <w:jc w:val="right"/>
              <w:ind w:right="178"/>
              <w:spacing w:after="0"/>
              <w:rPr>
                <w:sz w:val="20"/>
                <w:szCs w:val="20"/>
                <w:color w:val="auto"/>
              </w:rPr>
            </w:pPr>
            <w:r>
              <w:rPr>
                <w:rFonts w:ascii="Arial" w:cs="Arial" w:eastAsia="Arial" w:hAnsi="Arial"/>
                <w:sz w:val="16"/>
                <w:szCs w:val="16"/>
                <w:color w:val="auto"/>
              </w:rPr>
              <w:t>2,969</w:t>
            </w:r>
          </w:p>
        </w:tc>
        <w:tc>
          <w:tcPr>
            <w:tcW w:w="860" w:type="dxa"/>
            <w:vAlign w:val="bottom"/>
          </w:tcPr>
          <w:p>
            <w:pPr>
              <w:jc w:val="right"/>
              <w:ind w:right="78"/>
              <w:spacing w:after="0"/>
              <w:rPr>
                <w:sz w:val="20"/>
                <w:szCs w:val="20"/>
                <w:color w:val="auto"/>
              </w:rPr>
            </w:pPr>
            <w:r>
              <w:rPr>
                <w:rFonts w:ascii="Arial" w:cs="Arial" w:eastAsia="Arial" w:hAnsi="Arial"/>
                <w:sz w:val="16"/>
                <w:szCs w:val="16"/>
                <w:color w:val="auto"/>
              </w:rPr>
              <w:t>(1,938)</w:t>
            </w:r>
          </w:p>
        </w:tc>
        <w:tc>
          <w:tcPr>
            <w:tcW w:w="800" w:type="dxa"/>
            <w:vAlign w:val="bottom"/>
          </w:tcPr>
          <w:p>
            <w:pPr>
              <w:jc w:val="right"/>
              <w:ind w:right="138"/>
              <w:spacing w:after="0"/>
              <w:rPr>
                <w:sz w:val="20"/>
                <w:szCs w:val="20"/>
                <w:color w:val="auto"/>
              </w:rPr>
            </w:pPr>
            <w:r>
              <w:rPr>
                <w:rFonts w:ascii="Arial" w:cs="Arial" w:eastAsia="Arial" w:hAnsi="Arial"/>
                <w:sz w:val="16"/>
                <w:szCs w:val="16"/>
                <w:color w:val="auto"/>
              </w:rPr>
              <w:t>1,906</w:t>
            </w:r>
          </w:p>
        </w:tc>
        <w:tc>
          <w:tcPr>
            <w:tcW w:w="760" w:type="dxa"/>
            <w:vAlign w:val="bottom"/>
          </w:tcPr>
          <w:p>
            <w:pPr>
              <w:jc w:val="right"/>
              <w:ind w:right="118"/>
              <w:spacing w:after="0"/>
              <w:rPr>
                <w:sz w:val="20"/>
                <w:szCs w:val="20"/>
                <w:color w:val="auto"/>
              </w:rPr>
            </w:pPr>
            <w:r>
              <w:rPr>
                <w:rFonts w:ascii="Arial" w:cs="Arial" w:eastAsia="Arial" w:hAnsi="Arial"/>
                <w:sz w:val="16"/>
                <w:szCs w:val="16"/>
                <w:color w:val="auto"/>
              </w:rPr>
              <w:t>1,518</w:t>
            </w:r>
          </w:p>
        </w:tc>
        <w:tc>
          <w:tcPr>
            <w:tcW w:w="920" w:type="dxa"/>
            <w:vAlign w:val="bottom"/>
          </w:tcPr>
          <w:p>
            <w:pPr>
              <w:jc w:val="right"/>
              <w:ind w:right="198"/>
              <w:spacing w:after="0"/>
              <w:rPr>
                <w:sz w:val="20"/>
                <w:szCs w:val="20"/>
                <w:color w:val="auto"/>
              </w:rPr>
            </w:pPr>
            <w:r>
              <w:rPr>
                <w:rFonts w:ascii="Arial" w:cs="Arial" w:eastAsia="Arial" w:hAnsi="Arial"/>
                <w:sz w:val="16"/>
                <w:szCs w:val="16"/>
                <w:color w:val="auto"/>
              </w:rPr>
              <w:t>(1,290)</w:t>
            </w:r>
          </w:p>
        </w:tc>
      </w:tr>
      <w:tr>
        <w:trPr>
          <w:trHeight w:val="208"/>
        </w:trPr>
        <w:tc>
          <w:tcPr>
            <w:tcW w:w="4140" w:type="dxa"/>
            <w:vAlign w:val="bottom"/>
          </w:tcPr>
          <w:p>
            <w:pPr>
              <w:ind w:left="240"/>
              <w:spacing w:after="0"/>
              <w:rPr>
                <w:sz w:val="20"/>
                <w:szCs w:val="20"/>
                <w:color w:val="auto"/>
              </w:rPr>
            </w:pPr>
            <w:r>
              <w:rPr>
                <w:rFonts w:ascii="Arial" w:cs="Arial" w:eastAsia="Arial" w:hAnsi="Arial"/>
                <w:sz w:val="16"/>
                <w:szCs w:val="16"/>
                <w:color w:val="auto"/>
              </w:rPr>
              <w:t>Amortization of actuarial (loss)/gain</w:t>
            </w:r>
          </w:p>
        </w:tc>
        <w:tc>
          <w:tcPr>
            <w:tcW w:w="980" w:type="dxa"/>
            <w:vAlign w:val="bottom"/>
          </w:tcPr>
          <w:p>
            <w:pPr>
              <w:jc w:val="right"/>
              <w:ind w:right="78"/>
              <w:spacing w:after="0"/>
              <w:rPr>
                <w:sz w:val="20"/>
                <w:szCs w:val="20"/>
                <w:color w:val="auto"/>
              </w:rPr>
            </w:pPr>
            <w:r>
              <w:rPr>
                <w:rFonts w:ascii="Arial" w:cs="Arial" w:eastAsia="Arial" w:hAnsi="Arial"/>
                <w:sz w:val="16"/>
                <w:szCs w:val="16"/>
                <w:color w:val="auto"/>
              </w:rPr>
              <w:t>(685)</w:t>
            </w:r>
          </w:p>
        </w:tc>
        <w:tc>
          <w:tcPr>
            <w:tcW w:w="840" w:type="dxa"/>
            <w:vAlign w:val="bottom"/>
          </w:tcPr>
          <w:p>
            <w:pPr>
              <w:jc w:val="right"/>
              <w:ind w:right="118"/>
              <w:spacing w:after="0"/>
              <w:rPr>
                <w:sz w:val="20"/>
                <w:szCs w:val="20"/>
                <w:color w:val="auto"/>
              </w:rPr>
            </w:pPr>
            <w:r>
              <w:rPr>
                <w:rFonts w:ascii="Arial" w:cs="Arial" w:eastAsia="Arial" w:hAnsi="Arial"/>
                <w:sz w:val="16"/>
                <w:szCs w:val="16"/>
                <w:color w:val="auto"/>
              </w:rPr>
              <w:t>(1,369)</w:t>
            </w:r>
          </w:p>
        </w:tc>
        <w:tc>
          <w:tcPr>
            <w:tcW w:w="800" w:type="dxa"/>
            <w:vAlign w:val="bottom"/>
          </w:tcPr>
          <w:p>
            <w:pPr>
              <w:jc w:val="right"/>
              <w:ind w:right="98"/>
              <w:spacing w:after="0"/>
              <w:rPr>
                <w:sz w:val="20"/>
                <w:szCs w:val="20"/>
                <w:color w:val="auto"/>
              </w:rPr>
            </w:pPr>
            <w:r>
              <w:rPr>
                <w:rFonts w:ascii="Arial" w:cs="Arial" w:eastAsia="Arial" w:hAnsi="Arial"/>
                <w:sz w:val="16"/>
                <w:szCs w:val="16"/>
                <w:color w:val="auto"/>
              </w:rPr>
              <w:t>(909)</w:t>
            </w:r>
          </w:p>
        </w:tc>
        <w:tc>
          <w:tcPr>
            <w:tcW w:w="840" w:type="dxa"/>
            <w:vAlign w:val="bottom"/>
          </w:tcPr>
          <w:p>
            <w:pPr>
              <w:jc w:val="right"/>
              <w:ind w:right="138"/>
              <w:spacing w:after="0"/>
              <w:rPr>
                <w:sz w:val="20"/>
                <w:szCs w:val="20"/>
                <w:color w:val="auto"/>
              </w:rPr>
            </w:pPr>
            <w:r>
              <w:rPr>
                <w:rFonts w:ascii="Arial" w:cs="Arial" w:eastAsia="Arial" w:hAnsi="Arial"/>
                <w:sz w:val="16"/>
                <w:szCs w:val="16"/>
                <w:color w:val="auto"/>
              </w:rPr>
              <w:t>(628)</w:t>
            </w:r>
          </w:p>
        </w:tc>
        <w:tc>
          <w:tcPr>
            <w:tcW w:w="860" w:type="dxa"/>
            <w:vAlign w:val="bottom"/>
          </w:tcPr>
          <w:p>
            <w:pPr>
              <w:jc w:val="right"/>
              <w:ind w:right="78"/>
              <w:spacing w:after="0"/>
              <w:rPr>
                <w:sz w:val="20"/>
                <w:szCs w:val="20"/>
                <w:color w:val="auto"/>
              </w:rPr>
            </w:pPr>
            <w:r>
              <w:rPr>
                <w:rFonts w:ascii="Arial" w:cs="Arial" w:eastAsia="Arial" w:hAnsi="Arial"/>
                <w:sz w:val="16"/>
                <w:szCs w:val="16"/>
                <w:color w:val="auto"/>
              </w:rPr>
              <w:t>(874)</w:t>
            </w:r>
          </w:p>
        </w:tc>
        <w:tc>
          <w:tcPr>
            <w:tcW w:w="800" w:type="dxa"/>
            <w:vAlign w:val="bottom"/>
          </w:tcPr>
          <w:p>
            <w:pPr>
              <w:jc w:val="right"/>
              <w:ind w:right="98"/>
              <w:spacing w:after="0"/>
              <w:rPr>
                <w:sz w:val="20"/>
                <w:szCs w:val="20"/>
                <w:color w:val="auto"/>
              </w:rPr>
            </w:pPr>
            <w:r>
              <w:rPr>
                <w:rFonts w:ascii="Arial" w:cs="Arial" w:eastAsia="Arial" w:hAnsi="Arial"/>
                <w:sz w:val="16"/>
                <w:szCs w:val="16"/>
                <w:color w:val="auto"/>
              </w:rPr>
              <w:t>(2,384)</w:t>
            </w:r>
          </w:p>
        </w:tc>
        <w:tc>
          <w:tcPr>
            <w:tcW w:w="760" w:type="dxa"/>
            <w:vAlign w:val="bottom"/>
          </w:tcPr>
          <w:p>
            <w:pPr>
              <w:jc w:val="right"/>
              <w:ind w:right="58"/>
              <w:spacing w:after="0"/>
              <w:rPr>
                <w:sz w:val="20"/>
                <w:szCs w:val="20"/>
                <w:color w:val="auto"/>
              </w:rPr>
            </w:pPr>
            <w:r>
              <w:rPr>
                <w:rFonts w:ascii="Arial" w:cs="Arial" w:eastAsia="Arial" w:hAnsi="Arial"/>
                <w:sz w:val="16"/>
                <w:szCs w:val="16"/>
                <w:color w:val="auto"/>
              </w:rPr>
              <w:t>(116)</w:t>
            </w:r>
          </w:p>
        </w:tc>
        <w:tc>
          <w:tcPr>
            <w:tcW w:w="920" w:type="dxa"/>
            <w:vAlign w:val="bottom"/>
          </w:tcPr>
          <w:p>
            <w:pPr>
              <w:jc w:val="right"/>
              <w:ind w:right="198"/>
              <w:spacing w:after="0"/>
              <w:rPr>
                <w:sz w:val="20"/>
                <w:szCs w:val="20"/>
                <w:color w:val="auto"/>
              </w:rPr>
            </w:pPr>
            <w:r>
              <w:rPr>
                <w:rFonts w:ascii="Arial" w:cs="Arial" w:eastAsia="Arial" w:hAnsi="Arial"/>
                <w:sz w:val="16"/>
                <w:szCs w:val="16"/>
                <w:color w:val="auto"/>
              </w:rPr>
              <w:t>(228)</w:t>
            </w:r>
          </w:p>
        </w:tc>
      </w:tr>
      <w:tr>
        <w:trPr>
          <w:trHeight w:val="208"/>
        </w:trPr>
        <w:tc>
          <w:tcPr>
            <w:tcW w:w="4140" w:type="dxa"/>
            <w:vAlign w:val="bottom"/>
          </w:tcPr>
          <w:p>
            <w:pPr>
              <w:ind w:left="240"/>
              <w:spacing w:after="0"/>
              <w:rPr>
                <w:sz w:val="20"/>
                <w:szCs w:val="20"/>
                <w:color w:val="auto"/>
              </w:rPr>
            </w:pPr>
            <w:r>
              <w:rPr>
                <w:rFonts w:ascii="Arial" w:cs="Arial" w:eastAsia="Arial" w:hAnsi="Arial"/>
                <w:sz w:val="16"/>
                <w:szCs w:val="16"/>
                <w:color w:val="auto"/>
              </w:rPr>
              <w:t>Prior service cost/(credit)</w:t>
            </w:r>
          </w:p>
        </w:tc>
        <w:tc>
          <w:tcPr>
            <w:tcW w:w="980" w:type="dxa"/>
            <w:vAlign w:val="bottom"/>
          </w:tcPr>
          <w:p>
            <w:pPr>
              <w:jc w:val="right"/>
              <w:ind w:right="78"/>
              <w:spacing w:after="0"/>
              <w:rPr>
                <w:sz w:val="20"/>
                <w:szCs w:val="20"/>
                <w:color w:val="auto"/>
              </w:rPr>
            </w:pPr>
            <w:r>
              <w:rPr>
                <w:rFonts w:ascii="Arial" w:cs="Arial" w:eastAsia="Arial" w:hAnsi="Arial"/>
                <w:sz w:val="16"/>
                <w:szCs w:val="16"/>
                <w:color w:val="auto"/>
              </w:rPr>
              <w:t>(25)</w:t>
            </w:r>
          </w:p>
        </w:tc>
        <w:tc>
          <w:tcPr>
            <w:tcW w:w="840" w:type="dxa"/>
            <w:vAlign w:val="bottom"/>
          </w:tcPr>
          <w:p>
            <w:pPr>
              <w:jc w:val="right"/>
              <w:ind w:right="238"/>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38"/>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38"/>
              <w:spacing w:after="0"/>
              <w:rPr>
                <w:sz w:val="20"/>
                <w:szCs w:val="20"/>
                <w:color w:val="auto"/>
              </w:rPr>
            </w:pPr>
            <w:r>
              <w:rPr>
                <w:rFonts w:ascii="Arial" w:cs="Arial" w:eastAsia="Arial" w:hAnsi="Arial"/>
                <w:sz w:val="16"/>
                <w:szCs w:val="16"/>
                <w:color w:val="auto"/>
              </w:rPr>
              <w:t>(70)</w:t>
            </w:r>
          </w:p>
        </w:tc>
        <w:tc>
          <w:tcPr>
            <w:tcW w:w="860" w:type="dxa"/>
            <w:vAlign w:val="bottom"/>
          </w:tcPr>
          <w:p>
            <w:pPr>
              <w:jc w:val="right"/>
              <w:ind w:right="118"/>
              <w:spacing w:after="0"/>
              <w:rPr>
                <w:sz w:val="20"/>
                <w:szCs w:val="20"/>
                <w:color w:val="auto"/>
              </w:rPr>
            </w:pPr>
            <w:r>
              <w:rPr>
                <w:rFonts w:ascii="Arial" w:cs="Arial" w:eastAsia="Arial" w:hAnsi="Arial"/>
                <w:sz w:val="16"/>
                <w:szCs w:val="16"/>
                <w:color w:val="auto"/>
              </w:rPr>
              <w:t>30</w:t>
            </w:r>
          </w:p>
        </w:tc>
        <w:tc>
          <w:tcPr>
            <w:tcW w:w="800" w:type="dxa"/>
            <w:vAlign w:val="bottom"/>
          </w:tcPr>
          <w:p>
            <w:pPr>
              <w:jc w:val="right"/>
              <w:ind w:right="138"/>
              <w:spacing w:after="0"/>
              <w:rPr>
                <w:sz w:val="20"/>
                <w:szCs w:val="20"/>
                <w:color w:val="auto"/>
              </w:rPr>
            </w:pPr>
            <w:r>
              <w:rPr>
                <w:rFonts w:ascii="Arial" w:cs="Arial" w:eastAsia="Arial" w:hAnsi="Arial"/>
                <w:sz w:val="16"/>
                <w:szCs w:val="16"/>
                <w:color w:val="auto"/>
              </w:rPr>
              <w:t>71</w:t>
            </w:r>
          </w:p>
        </w:tc>
        <w:tc>
          <w:tcPr>
            <w:tcW w:w="76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38"/>
              <w:spacing w:after="0"/>
              <w:rPr>
                <w:sz w:val="20"/>
                <w:szCs w:val="20"/>
                <w:color w:val="auto"/>
              </w:rPr>
            </w:pPr>
            <w:r>
              <w:rPr>
                <w:rFonts w:ascii="Arial" w:cs="Arial" w:eastAsia="Arial" w:hAnsi="Arial"/>
                <w:sz w:val="16"/>
                <w:szCs w:val="16"/>
                <w:color w:val="auto"/>
              </w:rPr>
              <w:t>-</w:t>
            </w:r>
          </w:p>
        </w:tc>
      </w:tr>
      <w:tr>
        <w:trPr>
          <w:trHeight w:val="208"/>
        </w:trPr>
        <w:tc>
          <w:tcPr>
            <w:tcW w:w="4140" w:type="dxa"/>
            <w:vAlign w:val="bottom"/>
          </w:tcPr>
          <w:p>
            <w:pPr>
              <w:ind w:left="240"/>
              <w:spacing w:after="0"/>
              <w:rPr>
                <w:sz w:val="20"/>
                <w:szCs w:val="20"/>
                <w:color w:val="auto"/>
              </w:rPr>
            </w:pPr>
            <w:r>
              <w:rPr>
                <w:rFonts w:ascii="Arial" w:cs="Arial" w:eastAsia="Arial" w:hAnsi="Arial"/>
                <w:sz w:val="16"/>
                <w:szCs w:val="16"/>
                <w:color w:val="auto"/>
              </w:rPr>
              <w:t>Amortization of prior service (cost)/credit</w:t>
            </w:r>
          </w:p>
        </w:tc>
        <w:tc>
          <w:tcPr>
            <w:tcW w:w="980" w:type="dxa"/>
            <w:vAlign w:val="bottom"/>
          </w:tcPr>
          <w:p>
            <w:pPr>
              <w:jc w:val="right"/>
              <w:ind w:right="78"/>
              <w:spacing w:after="0"/>
              <w:rPr>
                <w:sz w:val="20"/>
                <w:szCs w:val="20"/>
                <w:color w:val="auto"/>
              </w:rPr>
            </w:pPr>
            <w:r>
              <w:rPr>
                <w:rFonts w:ascii="Arial" w:cs="Arial" w:eastAsia="Arial" w:hAnsi="Arial"/>
                <w:sz w:val="16"/>
                <w:szCs w:val="16"/>
                <w:color w:val="auto"/>
              </w:rPr>
              <w:t>(8)</w:t>
            </w:r>
          </w:p>
        </w:tc>
        <w:tc>
          <w:tcPr>
            <w:tcW w:w="840" w:type="dxa"/>
            <w:vAlign w:val="bottom"/>
          </w:tcPr>
          <w:p>
            <w:pPr>
              <w:jc w:val="right"/>
              <w:ind w:right="118"/>
              <w:spacing w:after="0"/>
              <w:rPr>
                <w:sz w:val="20"/>
                <w:szCs w:val="20"/>
                <w:color w:val="auto"/>
              </w:rPr>
            </w:pPr>
            <w:r>
              <w:rPr>
                <w:rFonts w:ascii="Arial" w:cs="Arial" w:eastAsia="Arial" w:hAnsi="Arial"/>
                <w:sz w:val="16"/>
                <w:szCs w:val="16"/>
                <w:color w:val="auto"/>
              </w:rPr>
              <w:t>(7)</w:t>
            </w:r>
          </w:p>
        </w:tc>
        <w:tc>
          <w:tcPr>
            <w:tcW w:w="800" w:type="dxa"/>
            <w:vAlign w:val="bottom"/>
          </w:tcPr>
          <w:p>
            <w:pPr>
              <w:jc w:val="right"/>
              <w:ind w:right="98"/>
              <w:spacing w:after="0"/>
              <w:rPr>
                <w:sz w:val="20"/>
                <w:szCs w:val="20"/>
                <w:color w:val="auto"/>
              </w:rPr>
            </w:pPr>
            <w:r>
              <w:rPr>
                <w:rFonts w:ascii="Arial" w:cs="Arial" w:eastAsia="Arial" w:hAnsi="Arial"/>
                <w:sz w:val="16"/>
                <w:szCs w:val="16"/>
                <w:color w:val="auto"/>
              </w:rPr>
              <w:t>(7)</w:t>
            </w:r>
          </w:p>
        </w:tc>
        <w:tc>
          <w:tcPr>
            <w:tcW w:w="840" w:type="dxa"/>
            <w:vAlign w:val="bottom"/>
          </w:tcPr>
          <w:p>
            <w:pPr>
              <w:jc w:val="right"/>
              <w:ind w:right="138"/>
              <w:spacing w:after="0"/>
              <w:rPr>
                <w:sz w:val="20"/>
                <w:szCs w:val="20"/>
                <w:color w:val="auto"/>
              </w:rPr>
            </w:pPr>
            <w:r>
              <w:rPr>
                <w:rFonts w:ascii="Arial" w:cs="Arial" w:eastAsia="Arial" w:hAnsi="Arial"/>
                <w:sz w:val="16"/>
                <w:szCs w:val="16"/>
                <w:color w:val="auto"/>
              </w:rPr>
              <w:t>(120)</w:t>
            </w:r>
          </w:p>
        </w:tc>
        <w:tc>
          <w:tcPr>
            <w:tcW w:w="860" w:type="dxa"/>
            <w:vAlign w:val="bottom"/>
          </w:tcPr>
          <w:p>
            <w:pPr>
              <w:jc w:val="right"/>
              <w:ind w:right="78"/>
              <w:spacing w:after="0"/>
              <w:rPr>
                <w:sz w:val="20"/>
                <w:szCs w:val="20"/>
                <w:color w:val="auto"/>
              </w:rPr>
            </w:pPr>
            <w:r>
              <w:rPr>
                <w:rFonts w:ascii="Arial" w:cs="Arial" w:eastAsia="Arial" w:hAnsi="Arial"/>
                <w:sz w:val="16"/>
                <w:szCs w:val="16"/>
                <w:color w:val="auto"/>
              </w:rPr>
              <w:t>(117)</w:t>
            </w:r>
          </w:p>
        </w:tc>
        <w:tc>
          <w:tcPr>
            <w:tcW w:w="800" w:type="dxa"/>
            <w:vAlign w:val="bottom"/>
          </w:tcPr>
          <w:p>
            <w:pPr>
              <w:jc w:val="right"/>
              <w:ind w:right="98"/>
              <w:spacing w:after="0"/>
              <w:rPr>
                <w:sz w:val="20"/>
                <w:szCs w:val="20"/>
                <w:color w:val="auto"/>
              </w:rPr>
            </w:pPr>
            <w:r>
              <w:rPr>
                <w:rFonts w:ascii="Arial" w:cs="Arial" w:eastAsia="Arial" w:hAnsi="Arial"/>
                <w:sz w:val="16"/>
                <w:szCs w:val="16"/>
                <w:color w:val="auto"/>
              </w:rPr>
              <w:t>(117)</w:t>
            </w:r>
          </w:p>
        </w:tc>
        <w:tc>
          <w:tcPr>
            <w:tcW w:w="760" w:type="dxa"/>
            <w:vAlign w:val="bottom"/>
          </w:tcPr>
          <w:p>
            <w:pPr>
              <w:jc w:val="right"/>
              <w:ind w:right="78"/>
              <w:spacing w:after="0"/>
              <w:rPr>
                <w:sz w:val="20"/>
                <w:szCs w:val="20"/>
                <w:color w:val="auto"/>
              </w:rPr>
            </w:pPr>
            <w:r>
              <w:rPr>
                <w:rFonts w:ascii="Arial" w:cs="Arial" w:eastAsia="Arial" w:hAnsi="Arial"/>
                <w:sz w:val="16"/>
                <w:szCs w:val="16"/>
                <w:color w:val="auto"/>
              </w:rPr>
              <w:t>(14)</w:t>
            </w:r>
          </w:p>
        </w:tc>
        <w:tc>
          <w:tcPr>
            <w:tcW w:w="920" w:type="dxa"/>
            <w:vAlign w:val="bottom"/>
          </w:tcPr>
          <w:p>
            <w:pPr>
              <w:jc w:val="right"/>
              <w:ind w:right="198"/>
              <w:spacing w:after="0"/>
              <w:rPr>
                <w:sz w:val="20"/>
                <w:szCs w:val="20"/>
                <w:color w:val="auto"/>
              </w:rPr>
            </w:pPr>
            <w:r>
              <w:rPr>
                <w:rFonts w:ascii="Arial" w:cs="Arial" w:eastAsia="Arial" w:hAnsi="Arial"/>
                <w:sz w:val="16"/>
                <w:szCs w:val="16"/>
                <w:color w:val="auto"/>
              </w:rPr>
              <w:t>(21)</w:t>
            </w:r>
          </w:p>
        </w:tc>
      </w:tr>
      <w:tr>
        <w:trPr>
          <w:trHeight w:val="220"/>
        </w:trPr>
        <w:tc>
          <w:tcPr>
            <w:tcW w:w="4140" w:type="dxa"/>
            <w:vAlign w:val="bottom"/>
          </w:tcPr>
          <w:p>
            <w:pPr>
              <w:ind w:left="240"/>
              <w:spacing w:after="0"/>
              <w:rPr>
                <w:sz w:val="20"/>
                <w:szCs w:val="20"/>
                <w:color w:val="auto"/>
              </w:rPr>
            </w:pPr>
            <w:r>
              <w:rPr>
                <w:rFonts w:ascii="Arial" w:cs="Arial" w:eastAsia="Arial" w:hAnsi="Arial"/>
                <w:sz w:val="16"/>
                <w:szCs w:val="16"/>
                <w:color w:val="auto"/>
              </w:rPr>
              <w:t>Foreign exchange rate changes</w:t>
            </w:r>
          </w:p>
        </w:tc>
        <w:tc>
          <w:tcPr>
            <w:tcW w:w="98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(688)</w:t>
            </w:r>
          </w:p>
        </w:tc>
        <w:tc>
          <w:tcPr>
            <w:tcW w:w="8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(155)</w:t>
            </w:r>
          </w:p>
        </w:tc>
        <w:tc>
          <w:tcPr>
            <w:tcW w:w="80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271</w:t>
            </w:r>
          </w:p>
        </w:tc>
        <w:tc>
          <w:tcPr>
            <w:tcW w:w="7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(8)</w:t>
            </w:r>
          </w:p>
        </w:tc>
        <w:tc>
          <w:tcPr>
            <w:tcW w:w="9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(10)</w:t>
            </w:r>
          </w:p>
        </w:tc>
      </w:tr>
      <w:tr>
        <w:trPr>
          <w:trHeight w:val="177"/>
        </w:trPr>
        <w:tc>
          <w:tcPr>
            <w:tcW w:w="4140" w:type="dxa"/>
            <w:vAlign w:val="bottom"/>
          </w:tcPr>
          <w:p>
            <w:pPr>
              <w:spacing w:after="0" w:line="177" w:lineRule="exact"/>
              <w:rPr>
                <w:sz w:val="20"/>
                <w:szCs w:val="20"/>
                <w:color w:val="auto"/>
              </w:rPr>
            </w:pPr>
            <w:r>
              <w:rPr>
                <w:rFonts w:ascii="Arial" w:cs="Arial" w:eastAsia="Arial" w:hAnsi="Arial"/>
                <w:sz w:val="16"/>
                <w:szCs w:val="16"/>
                <w:color w:val="auto"/>
              </w:rPr>
              <w:t>Total recorded in other comprehensive income</w:t>
            </w:r>
          </w:p>
        </w:tc>
        <w:tc>
          <w:tcPr>
            <w:tcW w:w="980" w:type="dxa"/>
            <w:vAlign w:val="bottom"/>
          </w:tcPr>
          <w:p>
            <w:pPr>
              <w:jc w:val="right"/>
              <w:ind w:right="138"/>
              <w:spacing w:after="0" w:line="177" w:lineRule="exact"/>
              <w:rPr>
                <w:sz w:val="20"/>
                <w:szCs w:val="20"/>
                <w:color w:val="auto"/>
              </w:rPr>
            </w:pPr>
            <w:r>
              <w:rPr>
                <w:rFonts w:ascii="Arial" w:cs="Arial" w:eastAsia="Arial" w:hAnsi="Arial"/>
                <w:sz w:val="16"/>
                <w:szCs w:val="16"/>
                <w:color w:val="auto"/>
              </w:rPr>
              <w:t>1,776</w:t>
            </w:r>
          </w:p>
        </w:tc>
        <w:tc>
          <w:tcPr>
            <w:tcW w:w="840" w:type="dxa"/>
            <w:vAlign w:val="bottom"/>
          </w:tcPr>
          <w:p>
            <w:pPr>
              <w:jc w:val="right"/>
              <w:ind w:right="118"/>
              <w:spacing w:after="0" w:line="177" w:lineRule="exact"/>
              <w:rPr>
                <w:sz w:val="20"/>
                <w:szCs w:val="20"/>
                <w:color w:val="auto"/>
              </w:rPr>
            </w:pPr>
            <w:r>
              <w:rPr>
                <w:rFonts w:ascii="Arial" w:cs="Arial" w:eastAsia="Arial" w:hAnsi="Arial"/>
                <w:sz w:val="16"/>
                <w:szCs w:val="16"/>
                <w:color w:val="auto"/>
              </w:rPr>
              <w:t>(2,678)</w:t>
            </w:r>
          </w:p>
        </w:tc>
        <w:tc>
          <w:tcPr>
            <w:tcW w:w="800" w:type="dxa"/>
            <w:vAlign w:val="bottom"/>
          </w:tcPr>
          <w:p>
            <w:pPr>
              <w:jc w:val="right"/>
              <w:ind w:right="158"/>
              <w:spacing w:after="0" w:line="177" w:lineRule="exact"/>
              <w:rPr>
                <w:sz w:val="20"/>
                <w:szCs w:val="20"/>
                <w:color w:val="auto"/>
              </w:rPr>
            </w:pPr>
            <w:r>
              <w:rPr>
                <w:rFonts w:ascii="Arial" w:cs="Arial" w:eastAsia="Arial" w:hAnsi="Arial"/>
                <w:sz w:val="16"/>
                <w:szCs w:val="16"/>
                <w:color w:val="auto"/>
              </w:rPr>
              <w:t>969</w:t>
            </w:r>
          </w:p>
        </w:tc>
        <w:tc>
          <w:tcPr>
            <w:tcW w:w="840" w:type="dxa"/>
            <w:vAlign w:val="bottom"/>
          </w:tcPr>
          <w:p>
            <w:pPr>
              <w:jc w:val="right"/>
              <w:ind w:right="178"/>
              <w:spacing w:after="0" w:line="177" w:lineRule="exact"/>
              <w:rPr>
                <w:sz w:val="20"/>
                <w:szCs w:val="20"/>
                <w:color w:val="auto"/>
              </w:rPr>
            </w:pPr>
            <w:r>
              <w:rPr>
                <w:rFonts w:ascii="Arial" w:cs="Arial" w:eastAsia="Arial" w:hAnsi="Arial"/>
                <w:sz w:val="16"/>
                <w:szCs w:val="16"/>
                <w:color w:val="auto"/>
              </w:rPr>
              <w:t>1,463</w:t>
            </w:r>
          </w:p>
        </w:tc>
        <w:tc>
          <w:tcPr>
            <w:tcW w:w="860" w:type="dxa"/>
            <w:vAlign w:val="bottom"/>
          </w:tcPr>
          <w:p>
            <w:pPr>
              <w:jc w:val="right"/>
              <w:ind w:right="78"/>
              <w:spacing w:after="0" w:line="177" w:lineRule="exact"/>
              <w:rPr>
                <w:sz w:val="20"/>
                <w:szCs w:val="20"/>
                <w:color w:val="auto"/>
              </w:rPr>
            </w:pPr>
            <w:r>
              <w:rPr>
                <w:rFonts w:ascii="Arial" w:cs="Arial" w:eastAsia="Arial" w:hAnsi="Arial"/>
                <w:sz w:val="16"/>
                <w:szCs w:val="16"/>
                <w:color w:val="auto"/>
              </w:rPr>
              <w:t>(3,054)</w:t>
            </w:r>
          </w:p>
        </w:tc>
        <w:tc>
          <w:tcPr>
            <w:tcW w:w="800" w:type="dxa"/>
            <w:vAlign w:val="bottom"/>
          </w:tcPr>
          <w:p>
            <w:pPr>
              <w:jc w:val="right"/>
              <w:ind w:right="98"/>
              <w:spacing w:after="0" w:line="177" w:lineRule="exact"/>
              <w:rPr>
                <w:sz w:val="20"/>
                <w:szCs w:val="20"/>
                <w:color w:val="auto"/>
              </w:rPr>
            </w:pPr>
            <w:r>
              <w:rPr>
                <w:rFonts w:ascii="Arial" w:cs="Arial" w:eastAsia="Arial" w:hAnsi="Arial"/>
                <w:sz w:val="16"/>
                <w:szCs w:val="16"/>
                <w:color w:val="auto"/>
              </w:rPr>
              <w:t>(253)</w:t>
            </w:r>
          </w:p>
        </w:tc>
        <w:tc>
          <w:tcPr>
            <w:tcW w:w="760" w:type="dxa"/>
            <w:vAlign w:val="bottom"/>
          </w:tcPr>
          <w:p>
            <w:pPr>
              <w:jc w:val="right"/>
              <w:ind w:right="118"/>
              <w:spacing w:after="0" w:line="177" w:lineRule="exact"/>
              <w:rPr>
                <w:sz w:val="20"/>
                <w:szCs w:val="20"/>
                <w:color w:val="auto"/>
              </w:rPr>
            </w:pPr>
            <w:r>
              <w:rPr>
                <w:rFonts w:ascii="Arial" w:cs="Arial" w:eastAsia="Arial" w:hAnsi="Arial"/>
                <w:sz w:val="16"/>
                <w:szCs w:val="16"/>
                <w:color w:val="auto"/>
              </w:rPr>
              <w:t>1,380</w:t>
            </w:r>
          </w:p>
        </w:tc>
        <w:tc>
          <w:tcPr>
            <w:tcW w:w="920" w:type="dxa"/>
            <w:vAlign w:val="bottom"/>
          </w:tcPr>
          <w:p>
            <w:pPr>
              <w:jc w:val="right"/>
              <w:ind w:right="198"/>
              <w:spacing w:after="0" w:line="177" w:lineRule="exact"/>
              <w:rPr>
                <w:sz w:val="20"/>
                <w:szCs w:val="20"/>
                <w:color w:val="auto"/>
              </w:rPr>
            </w:pPr>
            <w:r>
              <w:rPr>
                <w:rFonts w:ascii="Arial" w:cs="Arial" w:eastAsia="Arial" w:hAnsi="Arial"/>
                <w:sz w:val="16"/>
                <w:szCs w:val="16"/>
                <w:color w:val="auto"/>
              </w:rPr>
              <w:t>(1,549)</w:t>
            </w:r>
          </w:p>
        </w:tc>
      </w:tr>
      <w:tr>
        <w:trPr>
          <w:trHeight w:val="208"/>
        </w:trPr>
        <w:tc>
          <w:tcPr>
            <w:tcW w:w="4140" w:type="dxa"/>
            <w:vAlign w:val="bottom"/>
          </w:tcPr>
          <w:p>
            <w:pPr>
              <w:spacing w:after="0"/>
              <w:rPr>
                <w:sz w:val="20"/>
                <w:szCs w:val="20"/>
                <w:color w:val="auto"/>
              </w:rPr>
            </w:pPr>
            <w:r>
              <w:rPr>
                <w:rFonts w:ascii="Arial" w:cs="Arial" w:eastAsia="Arial" w:hAnsi="Arial"/>
                <w:sz w:val="16"/>
                <w:szCs w:val="16"/>
                <w:color w:val="auto"/>
              </w:rPr>
              <w:t>Total recorded in net periodic benefit cost and</w:t>
            </w: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4140" w:type="dxa"/>
            <w:vAlign w:val="bottom"/>
          </w:tcPr>
          <w:p>
            <w:pPr>
              <w:ind w:left="400"/>
              <w:spacing w:after="0"/>
              <w:rPr>
                <w:sz w:val="20"/>
                <w:szCs w:val="20"/>
                <w:color w:val="auto"/>
              </w:rPr>
            </w:pPr>
            <w:r>
              <w:rPr>
                <w:rFonts w:ascii="Arial" w:cs="Arial" w:eastAsia="Arial" w:hAnsi="Arial"/>
                <w:sz w:val="16"/>
                <w:szCs w:val="16"/>
                <w:color w:val="auto"/>
              </w:rPr>
              <w:t>other comprehensive income, before tax</w:t>
            </w:r>
          </w:p>
        </w:tc>
        <w:tc>
          <w:tcPr>
            <w:tcW w:w="98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3,154</w:t>
            </w:r>
          </w:p>
        </w:tc>
        <w:tc>
          <w:tcPr>
            <w:tcW w:w="84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(587)</w:t>
            </w:r>
          </w:p>
        </w:tc>
        <w:tc>
          <w:tcPr>
            <w:tcW w:w="80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2,581</w:t>
            </w:r>
          </w:p>
        </w:tc>
        <w:tc>
          <w:tcPr>
            <w:tcW w:w="84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2,746</w:t>
            </w:r>
          </w:p>
        </w:tc>
        <w:tc>
          <w:tcPr>
            <w:tcW w:w="8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(1,418)</w:t>
            </w:r>
          </w:p>
        </w:tc>
        <w:tc>
          <w:tcPr>
            <w:tcW w:w="80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2,932</w:t>
            </w:r>
          </w:p>
        </w:tc>
        <w:tc>
          <w:tcPr>
            <w:tcW w:w="76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1,996</w:t>
            </w:r>
          </w:p>
        </w:tc>
        <w:tc>
          <w:tcPr>
            <w:tcW w:w="9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(813)</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Costs for defined contribution plans were $393 million, $392 million and $382 million in 2014, 2013 and 2012, respectively.</w:t>
      </w:r>
    </w:p>
    <w:p>
      <w:pPr>
        <w:spacing w:after="0" w:line="11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change in accumulated other comprehensive income is shown in the table below:</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80" w:type="dxa"/>
            <w:vAlign w:val="bottom"/>
          </w:tcPr>
          <w:p>
            <w:pPr>
              <w:jc w:val="center"/>
              <w:ind w:right="243"/>
              <w:spacing w:after="0"/>
              <w:rPr>
                <w:sz w:val="20"/>
                <w:szCs w:val="20"/>
                <w:color w:val="auto"/>
              </w:rPr>
            </w:pPr>
            <w:r>
              <w:rPr>
                <w:rFonts w:ascii="Arial" w:cs="Arial" w:eastAsia="Arial" w:hAnsi="Arial"/>
                <w:sz w:val="13"/>
                <w:szCs w:val="13"/>
                <w:b w:val="1"/>
                <w:bCs w:val="1"/>
                <w:color w:val="auto"/>
                <w:w w:val="89"/>
              </w:rPr>
              <w:t>Total Pension and</w:t>
            </w:r>
          </w:p>
        </w:tc>
      </w:tr>
      <w:tr>
        <w:trPr>
          <w:trHeight w:val="172"/>
        </w:trPr>
        <w:tc>
          <w:tcPr>
            <w:tcW w:w="8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80" w:type="dxa"/>
            <w:vAlign w:val="bottom"/>
          </w:tcPr>
          <w:p>
            <w:pPr>
              <w:jc w:val="center"/>
              <w:ind w:right="243"/>
              <w:spacing w:after="0"/>
              <w:rPr>
                <w:sz w:val="20"/>
                <w:szCs w:val="20"/>
                <w:color w:val="auto"/>
              </w:rPr>
            </w:pPr>
            <w:r>
              <w:rPr>
                <w:rFonts w:ascii="Arial" w:cs="Arial" w:eastAsia="Arial" w:hAnsi="Arial"/>
                <w:sz w:val="13"/>
                <w:szCs w:val="13"/>
                <w:b w:val="1"/>
                <w:bCs w:val="1"/>
                <w:color w:val="auto"/>
                <w:w w:val="90"/>
              </w:rPr>
              <w:t>Other Postretirement Benefits</w:t>
            </w:r>
          </w:p>
        </w:tc>
      </w:tr>
      <w:tr>
        <w:trPr>
          <w:trHeight w:val="23"/>
        </w:trPr>
        <w:tc>
          <w:tcPr>
            <w:tcW w:w="80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188"/>
        </w:trPr>
        <w:tc>
          <w:tcPr>
            <w:tcW w:w="80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2014</w:t>
            </w:r>
          </w:p>
        </w:tc>
        <w:tc>
          <w:tcPr>
            <w:tcW w:w="2080" w:type="dxa"/>
            <w:vAlign w:val="bottom"/>
            <w:tcBorders>
              <w:bottom w:val="single" w:sz="8" w:color="auto"/>
            </w:tcBorders>
          </w:tcPr>
          <w:p>
            <w:pPr>
              <w:jc w:val="right"/>
              <w:ind w:right="1043"/>
              <w:spacing w:after="0"/>
              <w:rPr>
                <w:sz w:val="20"/>
                <w:szCs w:val="20"/>
                <w:color w:val="auto"/>
              </w:rPr>
            </w:pPr>
            <w:r>
              <w:rPr>
                <w:rFonts w:ascii="Arial" w:cs="Arial" w:eastAsia="Arial" w:hAnsi="Arial"/>
                <w:sz w:val="13"/>
                <w:szCs w:val="13"/>
                <w:b w:val="1"/>
                <w:bCs w:val="1"/>
                <w:color w:val="auto"/>
              </w:rPr>
              <w:t>2013</w:t>
            </w:r>
          </w:p>
        </w:tc>
      </w:tr>
      <w:tr>
        <w:trPr>
          <w:trHeight w:val="165"/>
        </w:trPr>
        <w:tc>
          <w:tcPr>
            <w:tcW w:w="8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80" w:type="dxa"/>
            <w:vAlign w:val="bottom"/>
          </w:tcPr>
          <w:p>
            <w:pPr>
              <w:jc w:val="center"/>
              <w:ind w:right="243"/>
              <w:spacing w:after="0"/>
              <w:rPr>
                <w:sz w:val="20"/>
                <w:szCs w:val="20"/>
                <w:color w:val="auto"/>
              </w:rPr>
            </w:pPr>
            <w:r>
              <w:rPr>
                <w:rFonts w:ascii="Arial" w:cs="Arial" w:eastAsia="Arial" w:hAnsi="Arial"/>
                <w:sz w:val="13"/>
                <w:szCs w:val="13"/>
                <w:i w:val="1"/>
                <w:iCs w:val="1"/>
                <w:color w:val="auto"/>
                <w:w w:val="95"/>
              </w:rPr>
              <w:t>(millions of dollars)</w:t>
            </w:r>
          </w:p>
        </w:tc>
      </w:tr>
      <w:tr>
        <w:trPr>
          <w:trHeight w:val="218"/>
        </w:trPr>
        <w:tc>
          <w:tcPr>
            <w:tcW w:w="8040" w:type="dxa"/>
            <w:vAlign w:val="bottom"/>
          </w:tcPr>
          <w:p>
            <w:pPr>
              <w:spacing w:after="0"/>
              <w:rPr>
                <w:sz w:val="20"/>
                <w:szCs w:val="20"/>
                <w:color w:val="auto"/>
              </w:rPr>
            </w:pPr>
            <w:r>
              <w:rPr>
                <w:rFonts w:ascii="Arial" w:cs="Arial" w:eastAsia="Arial" w:hAnsi="Arial"/>
                <w:sz w:val="16"/>
                <w:szCs w:val="16"/>
                <w:color w:val="auto"/>
              </w:rPr>
              <w:t>(Charge)/credit to other comprehensive income, before tax</w:t>
            </w:r>
          </w:p>
        </w:tc>
        <w:tc>
          <w:tcPr>
            <w:tcW w:w="82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09"/>
        </w:trPr>
        <w:tc>
          <w:tcPr>
            <w:tcW w:w="8040" w:type="dxa"/>
            <w:vAlign w:val="bottom"/>
          </w:tcPr>
          <w:p>
            <w:pPr>
              <w:ind w:left="240"/>
              <w:spacing w:after="0"/>
              <w:rPr>
                <w:sz w:val="20"/>
                <w:szCs w:val="20"/>
                <w:color w:val="auto"/>
              </w:rPr>
            </w:pPr>
            <w:r>
              <w:rPr>
                <w:rFonts w:ascii="Arial" w:cs="Arial" w:eastAsia="Arial" w:hAnsi="Arial"/>
                <w:sz w:val="16"/>
                <w:szCs w:val="16"/>
                <w:color w:val="auto"/>
              </w:rPr>
              <w:t>U.S. pension</w:t>
            </w:r>
          </w:p>
        </w:tc>
        <w:tc>
          <w:tcPr>
            <w:tcW w:w="820" w:type="dxa"/>
            <w:vAlign w:val="bottom"/>
          </w:tcPr>
          <w:p>
            <w:pPr>
              <w:jc w:val="right"/>
              <w:spacing w:after="0"/>
              <w:rPr>
                <w:sz w:val="20"/>
                <w:szCs w:val="20"/>
                <w:color w:val="auto"/>
              </w:rPr>
            </w:pPr>
            <w:r>
              <w:rPr>
                <w:rFonts w:ascii="Arial" w:cs="Arial" w:eastAsia="Arial" w:hAnsi="Arial"/>
                <w:sz w:val="16"/>
                <w:szCs w:val="16"/>
                <w:color w:val="auto"/>
              </w:rPr>
              <w:t>(1,776)</w:t>
            </w:r>
          </w:p>
        </w:tc>
        <w:tc>
          <w:tcPr>
            <w:tcW w:w="2080" w:type="dxa"/>
            <w:vAlign w:val="bottom"/>
          </w:tcPr>
          <w:p>
            <w:pPr>
              <w:jc w:val="right"/>
              <w:ind w:right="843"/>
              <w:spacing w:after="0"/>
              <w:rPr>
                <w:sz w:val="20"/>
                <w:szCs w:val="20"/>
                <w:color w:val="auto"/>
              </w:rPr>
            </w:pPr>
            <w:r>
              <w:rPr>
                <w:rFonts w:ascii="Arial" w:cs="Arial" w:eastAsia="Arial" w:hAnsi="Arial"/>
                <w:sz w:val="16"/>
                <w:szCs w:val="16"/>
                <w:color w:val="auto"/>
              </w:rPr>
              <w:t>2,678</w:t>
            </w:r>
          </w:p>
        </w:tc>
      </w:tr>
      <w:tr>
        <w:trPr>
          <w:trHeight w:val="208"/>
        </w:trPr>
        <w:tc>
          <w:tcPr>
            <w:tcW w:w="8040" w:type="dxa"/>
            <w:vAlign w:val="bottom"/>
          </w:tcPr>
          <w:p>
            <w:pPr>
              <w:ind w:left="240"/>
              <w:spacing w:after="0"/>
              <w:rPr>
                <w:sz w:val="20"/>
                <w:szCs w:val="20"/>
                <w:color w:val="auto"/>
              </w:rPr>
            </w:pPr>
            <w:r>
              <w:rPr>
                <w:rFonts w:ascii="Arial" w:cs="Arial" w:eastAsia="Arial" w:hAnsi="Arial"/>
                <w:sz w:val="16"/>
                <w:szCs w:val="16"/>
                <w:color w:val="auto"/>
              </w:rPr>
              <w:t>Non-U.S. pension</w:t>
            </w:r>
          </w:p>
        </w:tc>
        <w:tc>
          <w:tcPr>
            <w:tcW w:w="820" w:type="dxa"/>
            <w:vAlign w:val="bottom"/>
          </w:tcPr>
          <w:p>
            <w:pPr>
              <w:jc w:val="right"/>
              <w:spacing w:after="0"/>
              <w:rPr>
                <w:sz w:val="20"/>
                <w:szCs w:val="20"/>
                <w:color w:val="auto"/>
              </w:rPr>
            </w:pPr>
            <w:r>
              <w:rPr>
                <w:rFonts w:ascii="Arial" w:cs="Arial" w:eastAsia="Arial" w:hAnsi="Arial"/>
                <w:sz w:val="16"/>
                <w:szCs w:val="16"/>
                <w:color w:val="auto"/>
              </w:rPr>
              <w:t>(1,463)</w:t>
            </w:r>
          </w:p>
        </w:tc>
        <w:tc>
          <w:tcPr>
            <w:tcW w:w="2080" w:type="dxa"/>
            <w:vAlign w:val="bottom"/>
          </w:tcPr>
          <w:p>
            <w:pPr>
              <w:jc w:val="right"/>
              <w:ind w:right="843"/>
              <w:spacing w:after="0"/>
              <w:rPr>
                <w:sz w:val="20"/>
                <w:szCs w:val="20"/>
                <w:color w:val="auto"/>
              </w:rPr>
            </w:pPr>
            <w:r>
              <w:rPr>
                <w:rFonts w:ascii="Arial" w:cs="Arial" w:eastAsia="Arial" w:hAnsi="Arial"/>
                <w:sz w:val="16"/>
                <w:szCs w:val="16"/>
                <w:color w:val="auto"/>
              </w:rPr>
              <w:t>3,054</w:t>
            </w:r>
          </w:p>
        </w:tc>
      </w:tr>
      <w:tr>
        <w:trPr>
          <w:trHeight w:val="220"/>
        </w:trPr>
        <w:tc>
          <w:tcPr>
            <w:tcW w:w="8040" w:type="dxa"/>
            <w:vAlign w:val="bottom"/>
          </w:tcPr>
          <w:p>
            <w:pPr>
              <w:ind w:left="240"/>
              <w:spacing w:after="0"/>
              <w:rPr>
                <w:sz w:val="20"/>
                <w:szCs w:val="20"/>
                <w:color w:val="auto"/>
              </w:rPr>
            </w:pPr>
            <w:r>
              <w:rPr>
                <w:rFonts w:ascii="Arial" w:cs="Arial" w:eastAsia="Arial" w:hAnsi="Arial"/>
                <w:sz w:val="16"/>
                <w:szCs w:val="16"/>
                <w:color w:val="auto"/>
              </w:rPr>
              <w:t>Other postretirement benefits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(1,380)</w:t>
            </w:r>
          </w:p>
        </w:tc>
        <w:tc>
          <w:tcPr>
            <w:tcW w:w="2080" w:type="dxa"/>
            <w:vAlign w:val="bottom"/>
            <w:tcBorders>
              <w:bottom w:val="single" w:sz="8" w:color="auto"/>
            </w:tcBorders>
          </w:tcPr>
          <w:p>
            <w:pPr>
              <w:jc w:val="right"/>
              <w:ind w:right="843"/>
              <w:spacing w:after="0"/>
              <w:rPr>
                <w:sz w:val="20"/>
                <w:szCs w:val="20"/>
                <w:color w:val="auto"/>
              </w:rPr>
            </w:pPr>
            <w:r>
              <w:rPr>
                <w:rFonts w:ascii="Arial" w:cs="Arial" w:eastAsia="Arial" w:hAnsi="Arial"/>
                <w:sz w:val="16"/>
                <w:szCs w:val="16"/>
                <w:color w:val="auto"/>
              </w:rPr>
              <w:t>1,549</w:t>
            </w:r>
          </w:p>
        </w:tc>
      </w:tr>
      <w:tr>
        <w:trPr>
          <w:trHeight w:val="177"/>
        </w:trPr>
        <w:tc>
          <w:tcPr>
            <w:tcW w:w="8040" w:type="dxa"/>
            <w:vAlign w:val="bottom"/>
          </w:tcPr>
          <w:p>
            <w:pPr>
              <w:spacing w:after="0" w:line="177" w:lineRule="exact"/>
              <w:rPr>
                <w:sz w:val="20"/>
                <w:szCs w:val="20"/>
                <w:color w:val="auto"/>
              </w:rPr>
            </w:pPr>
            <w:r>
              <w:rPr>
                <w:rFonts w:ascii="Arial" w:cs="Arial" w:eastAsia="Arial" w:hAnsi="Arial"/>
                <w:sz w:val="16"/>
                <w:szCs w:val="16"/>
                <w:color w:val="auto"/>
              </w:rPr>
              <w:t>Total (charge)/credit to other comprehensive income, before tax</w:t>
            </w:r>
          </w:p>
        </w:tc>
        <w:tc>
          <w:tcPr>
            <w:tcW w:w="820" w:type="dxa"/>
            <w:vAlign w:val="bottom"/>
          </w:tcPr>
          <w:p>
            <w:pPr>
              <w:jc w:val="right"/>
              <w:spacing w:after="0" w:line="177" w:lineRule="exact"/>
              <w:rPr>
                <w:sz w:val="20"/>
                <w:szCs w:val="20"/>
                <w:color w:val="auto"/>
              </w:rPr>
            </w:pPr>
            <w:r>
              <w:rPr>
                <w:rFonts w:ascii="Arial" w:cs="Arial" w:eastAsia="Arial" w:hAnsi="Arial"/>
                <w:sz w:val="16"/>
                <w:szCs w:val="16"/>
                <w:color w:val="auto"/>
              </w:rPr>
              <w:t>(4,619)</w:t>
            </w:r>
          </w:p>
        </w:tc>
        <w:tc>
          <w:tcPr>
            <w:tcW w:w="2080" w:type="dxa"/>
            <w:vAlign w:val="bottom"/>
          </w:tcPr>
          <w:p>
            <w:pPr>
              <w:jc w:val="right"/>
              <w:ind w:right="843"/>
              <w:spacing w:after="0" w:line="177" w:lineRule="exact"/>
              <w:rPr>
                <w:sz w:val="20"/>
                <w:szCs w:val="20"/>
                <w:color w:val="auto"/>
              </w:rPr>
            </w:pPr>
            <w:r>
              <w:rPr>
                <w:rFonts w:ascii="Arial" w:cs="Arial" w:eastAsia="Arial" w:hAnsi="Arial"/>
                <w:sz w:val="16"/>
                <w:szCs w:val="16"/>
                <w:color w:val="auto"/>
              </w:rPr>
              <w:t>7,281</w:t>
            </w:r>
          </w:p>
        </w:tc>
      </w:tr>
      <w:tr>
        <w:trPr>
          <w:trHeight w:val="208"/>
        </w:trPr>
        <w:tc>
          <w:tcPr>
            <w:tcW w:w="8040" w:type="dxa"/>
            <w:vAlign w:val="bottom"/>
          </w:tcPr>
          <w:p>
            <w:pPr>
              <w:spacing w:after="0"/>
              <w:rPr>
                <w:sz w:val="20"/>
                <w:szCs w:val="20"/>
                <w:color w:val="auto"/>
              </w:rPr>
            </w:pPr>
            <w:r>
              <w:rPr>
                <w:rFonts w:ascii="Arial" w:cs="Arial" w:eastAsia="Arial" w:hAnsi="Arial"/>
                <w:sz w:val="16"/>
                <w:szCs w:val="16"/>
                <w:color w:val="auto"/>
              </w:rPr>
              <w:t>(Charge)/credit to income tax (see Note 4)</w:t>
            </w:r>
          </w:p>
        </w:tc>
        <w:tc>
          <w:tcPr>
            <w:tcW w:w="820" w:type="dxa"/>
            <w:vAlign w:val="bottom"/>
          </w:tcPr>
          <w:p>
            <w:pPr>
              <w:jc w:val="right"/>
              <w:spacing w:after="0"/>
              <w:rPr>
                <w:sz w:val="20"/>
                <w:szCs w:val="20"/>
                <w:color w:val="auto"/>
              </w:rPr>
            </w:pPr>
            <w:r>
              <w:rPr>
                <w:rFonts w:ascii="Arial" w:cs="Arial" w:eastAsia="Arial" w:hAnsi="Arial"/>
                <w:sz w:val="16"/>
                <w:szCs w:val="16"/>
                <w:color w:val="auto"/>
              </w:rPr>
              <w:t>1,549</w:t>
            </w:r>
          </w:p>
        </w:tc>
        <w:tc>
          <w:tcPr>
            <w:tcW w:w="2080" w:type="dxa"/>
            <w:vAlign w:val="bottom"/>
          </w:tcPr>
          <w:p>
            <w:pPr>
              <w:jc w:val="right"/>
              <w:ind w:right="783"/>
              <w:spacing w:after="0"/>
              <w:rPr>
                <w:sz w:val="20"/>
                <w:szCs w:val="20"/>
                <w:color w:val="auto"/>
              </w:rPr>
            </w:pPr>
            <w:r>
              <w:rPr>
                <w:rFonts w:ascii="Arial" w:cs="Arial" w:eastAsia="Arial" w:hAnsi="Arial"/>
                <w:sz w:val="16"/>
                <w:szCs w:val="16"/>
                <w:color w:val="auto"/>
              </w:rPr>
              <w:t>(2,336)</w:t>
            </w:r>
          </w:p>
        </w:tc>
      </w:tr>
      <w:tr>
        <w:trPr>
          <w:trHeight w:val="220"/>
        </w:trPr>
        <w:tc>
          <w:tcPr>
            <w:tcW w:w="8040" w:type="dxa"/>
            <w:vAlign w:val="bottom"/>
          </w:tcPr>
          <w:p>
            <w:pPr>
              <w:spacing w:after="0"/>
              <w:rPr>
                <w:sz w:val="20"/>
                <w:szCs w:val="20"/>
                <w:color w:val="auto"/>
              </w:rPr>
            </w:pPr>
            <w:r>
              <w:rPr>
                <w:rFonts w:ascii="Arial" w:cs="Arial" w:eastAsia="Arial" w:hAnsi="Arial"/>
                <w:sz w:val="16"/>
                <w:szCs w:val="16"/>
                <w:color w:val="auto"/>
              </w:rPr>
              <w:t>(Charge)/credit to investment in equity companies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2080" w:type="dxa"/>
            <w:vAlign w:val="bottom"/>
            <w:tcBorders>
              <w:bottom w:val="single" w:sz="8" w:color="auto"/>
            </w:tcBorders>
          </w:tcPr>
          <w:p>
            <w:pPr>
              <w:jc w:val="right"/>
              <w:ind w:right="843"/>
              <w:spacing w:after="0"/>
              <w:rPr>
                <w:sz w:val="20"/>
                <w:szCs w:val="20"/>
                <w:color w:val="auto"/>
              </w:rPr>
            </w:pPr>
            <w:r>
              <w:rPr>
                <w:rFonts w:ascii="Arial" w:cs="Arial" w:eastAsia="Arial" w:hAnsi="Arial"/>
                <w:sz w:val="16"/>
                <w:szCs w:val="16"/>
                <w:color w:val="auto"/>
              </w:rPr>
              <w:t>49</w:t>
            </w:r>
          </w:p>
        </w:tc>
      </w:tr>
      <w:tr>
        <w:trPr>
          <w:trHeight w:val="177"/>
        </w:trPr>
        <w:tc>
          <w:tcPr>
            <w:tcW w:w="8040" w:type="dxa"/>
            <w:vAlign w:val="bottom"/>
          </w:tcPr>
          <w:p>
            <w:pPr>
              <w:spacing w:after="0" w:line="177" w:lineRule="exact"/>
              <w:rPr>
                <w:sz w:val="20"/>
                <w:szCs w:val="20"/>
                <w:color w:val="auto"/>
              </w:rPr>
            </w:pPr>
            <w:r>
              <w:rPr>
                <w:rFonts w:ascii="Arial" w:cs="Arial" w:eastAsia="Arial" w:hAnsi="Arial"/>
                <w:sz w:val="16"/>
                <w:szCs w:val="16"/>
                <w:color w:val="auto"/>
              </w:rPr>
              <w:t>(Charge)/credit to other comprehensive income including noncontrolling</w:t>
            </w:r>
          </w:p>
        </w:tc>
        <w:tc>
          <w:tcPr>
            <w:tcW w:w="8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208"/>
        </w:trPr>
        <w:tc>
          <w:tcPr>
            <w:tcW w:w="8040" w:type="dxa"/>
            <w:vAlign w:val="bottom"/>
          </w:tcPr>
          <w:p>
            <w:pPr>
              <w:ind w:left="240"/>
              <w:spacing w:after="0"/>
              <w:rPr>
                <w:sz w:val="20"/>
                <w:szCs w:val="20"/>
                <w:color w:val="auto"/>
              </w:rPr>
            </w:pPr>
            <w:r>
              <w:rPr>
                <w:rFonts w:ascii="Arial" w:cs="Arial" w:eastAsia="Arial" w:hAnsi="Arial"/>
                <w:sz w:val="16"/>
                <w:szCs w:val="16"/>
                <w:color w:val="auto"/>
              </w:rPr>
              <w:t>interests, after tax</w:t>
            </w:r>
          </w:p>
        </w:tc>
        <w:tc>
          <w:tcPr>
            <w:tcW w:w="820" w:type="dxa"/>
            <w:vAlign w:val="bottom"/>
          </w:tcPr>
          <w:p>
            <w:pPr>
              <w:jc w:val="right"/>
              <w:spacing w:after="0"/>
              <w:rPr>
                <w:sz w:val="20"/>
                <w:szCs w:val="20"/>
                <w:color w:val="auto"/>
              </w:rPr>
            </w:pPr>
            <w:r>
              <w:rPr>
                <w:rFonts w:ascii="Arial" w:cs="Arial" w:eastAsia="Arial" w:hAnsi="Arial"/>
                <w:sz w:val="16"/>
                <w:szCs w:val="16"/>
                <w:color w:val="auto"/>
              </w:rPr>
              <w:t>(3,151)</w:t>
            </w:r>
          </w:p>
        </w:tc>
        <w:tc>
          <w:tcPr>
            <w:tcW w:w="2080" w:type="dxa"/>
            <w:vAlign w:val="bottom"/>
          </w:tcPr>
          <w:p>
            <w:pPr>
              <w:jc w:val="right"/>
              <w:ind w:right="843"/>
              <w:spacing w:after="0"/>
              <w:rPr>
                <w:sz w:val="20"/>
                <w:szCs w:val="20"/>
                <w:color w:val="auto"/>
              </w:rPr>
            </w:pPr>
            <w:r>
              <w:rPr>
                <w:rFonts w:ascii="Arial" w:cs="Arial" w:eastAsia="Arial" w:hAnsi="Arial"/>
                <w:sz w:val="16"/>
                <w:szCs w:val="16"/>
                <w:color w:val="auto"/>
              </w:rPr>
              <w:t>4,994</w:t>
            </w:r>
          </w:p>
        </w:tc>
      </w:tr>
      <w:tr>
        <w:trPr>
          <w:trHeight w:val="220"/>
        </w:trPr>
        <w:tc>
          <w:tcPr>
            <w:tcW w:w="8040" w:type="dxa"/>
            <w:vAlign w:val="bottom"/>
          </w:tcPr>
          <w:p>
            <w:pPr>
              <w:spacing w:after="0"/>
              <w:rPr>
                <w:sz w:val="20"/>
                <w:szCs w:val="20"/>
                <w:color w:val="auto"/>
              </w:rPr>
            </w:pPr>
            <w:r>
              <w:rPr>
                <w:rFonts w:ascii="Arial" w:cs="Arial" w:eastAsia="Arial" w:hAnsi="Arial"/>
                <w:sz w:val="16"/>
                <w:szCs w:val="16"/>
                <w:color w:val="auto"/>
              </w:rPr>
              <w:t>Charge/(credit) to equity of noncontrolling interests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2080" w:type="dxa"/>
            <w:vAlign w:val="bottom"/>
            <w:tcBorders>
              <w:bottom w:val="single" w:sz="8" w:color="auto"/>
            </w:tcBorders>
          </w:tcPr>
          <w:p>
            <w:pPr>
              <w:jc w:val="right"/>
              <w:ind w:right="783"/>
              <w:spacing w:after="0"/>
              <w:rPr>
                <w:sz w:val="20"/>
                <w:szCs w:val="20"/>
                <w:color w:val="auto"/>
              </w:rPr>
            </w:pPr>
            <w:r>
              <w:rPr>
                <w:rFonts w:ascii="Arial" w:cs="Arial" w:eastAsia="Arial" w:hAnsi="Arial"/>
                <w:sz w:val="16"/>
                <w:szCs w:val="16"/>
                <w:color w:val="auto"/>
              </w:rPr>
              <w:t>(279)</w:t>
            </w:r>
          </w:p>
        </w:tc>
      </w:tr>
      <w:tr>
        <w:trPr>
          <w:trHeight w:val="189"/>
        </w:trPr>
        <w:tc>
          <w:tcPr>
            <w:tcW w:w="8040" w:type="dxa"/>
            <w:vAlign w:val="bottom"/>
          </w:tcPr>
          <w:p>
            <w:pPr>
              <w:spacing w:after="0"/>
              <w:rPr>
                <w:sz w:val="20"/>
                <w:szCs w:val="20"/>
                <w:color w:val="auto"/>
              </w:rPr>
            </w:pPr>
            <w:r>
              <w:rPr>
                <w:rFonts w:ascii="Arial" w:cs="Arial" w:eastAsia="Arial" w:hAnsi="Arial"/>
                <w:sz w:val="16"/>
                <w:szCs w:val="16"/>
                <w:color w:val="auto"/>
              </w:rPr>
              <w:t>(Charge)/credit to other comprehensive income attributable to ExxonMobil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(3,066)</w:t>
            </w:r>
          </w:p>
        </w:tc>
        <w:tc>
          <w:tcPr>
            <w:tcW w:w="2080" w:type="dxa"/>
            <w:vAlign w:val="bottom"/>
            <w:tcBorders>
              <w:bottom w:val="single" w:sz="8" w:color="auto"/>
            </w:tcBorders>
          </w:tcPr>
          <w:p>
            <w:pPr>
              <w:jc w:val="right"/>
              <w:ind w:right="843"/>
              <w:spacing w:after="0"/>
              <w:rPr>
                <w:sz w:val="20"/>
                <w:szCs w:val="20"/>
                <w:color w:val="auto"/>
              </w:rPr>
            </w:pPr>
            <w:r>
              <w:rPr>
                <w:rFonts w:ascii="Arial" w:cs="Arial" w:eastAsia="Arial" w:hAnsi="Arial"/>
                <w:sz w:val="16"/>
                <w:szCs w:val="16"/>
                <w:color w:val="auto"/>
              </w:rPr>
              <w:t>4,715</w:t>
            </w:r>
          </w:p>
        </w:tc>
      </w:tr>
    </w:tbl>
    <w:p>
      <w:pPr>
        <w:spacing w:after="0" w:line="184"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The Corporation’s investment strategy for benefit plan assets reflects a long-term view, a careful assessment of the risks inherent in various asset classes an diversification to reduce the risk of the portfolio. The benefit plan assets are primarily invested in passive equity and fixed income index funds to diversify ris minimizing costs. The equity funds hold ExxonMobil stock only to the extent necessary to replicate the relevant equity index. The fixed income funds are largely inv high-quality corporate and government debt securities.</w:t>
      </w:r>
    </w:p>
    <w:p>
      <w:pPr>
        <w:spacing w:after="0" w:line="45" w:lineRule="exact"/>
        <w:rPr>
          <w:sz w:val="20"/>
          <w:szCs w:val="20"/>
          <w:color w:val="auto"/>
        </w:rPr>
      </w:pPr>
    </w:p>
    <w:p>
      <w:pPr>
        <w:jc w:val="both"/>
        <w:ind w:firstLine="200"/>
        <w:spacing w:after="0" w:line="271" w:lineRule="auto"/>
        <w:rPr>
          <w:sz w:val="20"/>
          <w:szCs w:val="20"/>
          <w:color w:val="auto"/>
        </w:rPr>
      </w:pPr>
      <w:r>
        <w:rPr>
          <w:rFonts w:ascii="Arial" w:cs="Arial" w:eastAsia="Arial" w:hAnsi="Arial"/>
          <w:sz w:val="16"/>
          <w:szCs w:val="16"/>
          <w:color w:val="auto"/>
        </w:rPr>
        <w:t>Studies are periodically conducted to establish the preferred target asset allocation percentages. The target asset allocation for the U.S. benefit plans and for the n plans in aggregate is 40 percent equity securities and 60 percent debt securities. The equity targets for the U.S. and non-U.S. plans include an allocation to private partnerships that primarily focus on early-stage venture capital of 5 percent and 3 percent, respectively.</w:t>
      </w:r>
    </w:p>
    <w:p>
      <w:pPr>
        <w:spacing w:after="0" w:line="38" w:lineRule="exact"/>
        <w:rPr>
          <w:sz w:val="20"/>
          <w:szCs w:val="20"/>
          <w:color w:val="auto"/>
        </w:rPr>
      </w:pPr>
    </w:p>
    <w:p>
      <w:pPr>
        <w:jc w:val="both"/>
        <w:ind w:firstLine="200"/>
        <w:spacing w:after="0" w:line="286" w:lineRule="auto"/>
        <w:rPr>
          <w:sz w:val="20"/>
          <w:szCs w:val="20"/>
          <w:color w:val="auto"/>
        </w:rPr>
      </w:pPr>
      <w:r>
        <w:rPr>
          <w:rFonts w:ascii="Arial" w:cs="Arial" w:eastAsia="Arial" w:hAnsi="Arial"/>
          <w:sz w:val="16"/>
          <w:szCs w:val="16"/>
          <w:color w:val="auto"/>
        </w:rPr>
        <w:t>The fair value measurement levels are accounting terms that refer to different methods of valuing assets. The terms do not represent the relative risk or credit quali investment.</w:t>
      </w:r>
    </w:p>
    <w:p>
      <w:pPr>
        <w:spacing w:after="0" w:line="52"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8" w:right="13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2014 fair value of the benefit plan assets, including the level within the fair value hierarchy, is shown in the tables below:</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left="6"/>
              <w:spacing w:after="0"/>
              <w:rPr>
                <w:sz w:val="20"/>
                <w:szCs w:val="20"/>
                <w:color w:val="auto"/>
              </w:rPr>
            </w:pPr>
            <w:r>
              <w:rPr>
                <w:rFonts w:ascii="Arial" w:cs="Arial" w:eastAsia="Arial" w:hAnsi="Arial"/>
                <w:sz w:val="13"/>
                <w:szCs w:val="13"/>
                <w:b w:val="1"/>
                <w:bCs w:val="1"/>
                <w:color w:val="auto"/>
                <w:w w:val="88"/>
              </w:rPr>
              <w:t>U.S. Pension</w:t>
            </w:r>
          </w:p>
        </w:tc>
        <w:tc>
          <w:tcPr>
            <w:tcW w:w="10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215"/>
              <w:spacing w:after="0"/>
              <w:rPr>
                <w:sz w:val="20"/>
                <w:szCs w:val="20"/>
                <w:color w:val="auto"/>
              </w:rPr>
            </w:pPr>
            <w:r>
              <w:rPr>
                <w:rFonts w:ascii="Arial" w:cs="Arial" w:eastAsia="Arial" w:hAnsi="Arial"/>
                <w:sz w:val="13"/>
                <w:szCs w:val="13"/>
                <w:b w:val="1"/>
                <w:bCs w:val="1"/>
                <w:color w:val="auto"/>
                <w:w w:val="87"/>
              </w:rPr>
              <w:t>Non-U.S. Pension</w:t>
            </w: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40" w:type="dxa"/>
            <w:vAlign w:val="bottom"/>
            <w:gridSpan w:val="2"/>
          </w:tcPr>
          <w:p>
            <w:pPr>
              <w:jc w:val="center"/>
              <w:ind w:left="6"/>
              <w:spacing w:after="0"/>
              <w:rPr>
                <w:sz w:val="20"/>
                <w:szCs w:val="20"/>
                <w:color w:val="auto"/>
              </w:rPr>
            </w:pPr>
            <w:r>
              <w:rPr>
                <w:rFonts w:ascii="Arial" w:cs="Arial" w:eastAsia="Arial" w:hAnsi="Arial"/>
                <w:sz w:val="13"/>
                <w:szCs w:val="13"/>
                <w:b w:val="1"/>
                <w:bCs w:val="1"/>
                <w:color w:val="auto"/>
                <w:w w:val="92"/>
              </w:rPr>
              <w:t>Fair Value Measurement</w:t>
            </w: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00" w:type="dxa"/>
            <w:vAlign w:val="bottom"/>
            <w:gridSpan w:val="3"/>
          </w:tcPr>
          <w:p>
            <w:pPr>
              <w:jc w:val="center"/>
              <w:ind w:left="955"/>
              <w:spacing w:after="0"/>
              <w:rPr>
                <w:sz w:val="20"/>
                <w:szCs w:val="20"/>
                <w:color w:val="auto"/>
              </w:rPr>
            </w:pPr>
            <w:r>
              <w:rPr>
                <w:rFonts w:ascii="Arial" w:cs="Arial" w:eastAsia="Arial" w:hAnsi="Arial"/>
                <w:sz w:val="13"/>
                <w:szCs w:val="13"/>
                <w:b w:val="1"/>
                <w:bCs w:val="1"/>
                <w:color w:val="auto"/>
                <w:w w:val="93"/>
              </w:rPr>
              <w:t>Fair Value Measurement</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40" w:type="dxa"/>
            <w:vAlign w:val="bottom"/>
            <w:gridSpan w:val="4"/>
          </w:tcPr>
          <w:p>
            <w:pPr>
              <w:jc w:val="center"/>
              <w:ind w:right="1220"/>
              <w:spacing w:after="0"/>
              <w:rPr>
                <w:sz w:val="20"/>
                <w:szCs w:val="20"/>
                <w:color w:val="auto"/>
              </w:rPr>
            </w:pPr>
            <w:r>
              <w:rPr>
                <w:rFonts w:ascii="Arial" w:cs="Arial" w:eastAsia="Arial" w:hAnsi="Arial"/>
                <w:sz w:val="13"/>
                <w:szCs w:val="13"/>
                <w:b w:val="1"/>
                <w:bCs w:val="1"/>
                <w:color w:val="auto"/>
                <w:w w:val="90"/>
              </w:rPr>
              <w:t>at December 31, 2014, Using:</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gridSpan w:val="3"/>
          </w:tcPr>
          <w:p>
            <w:pPr>
              <w:jc w:val="center"/>
              <w:ind w:left="955"/>
              <w:spacing w:after="0"/>
              <w:rPr>
                <w:sz w:val="20"/>
                <w:szCs w:val="20"/>
                <w:color w:val="auto"/>
              </w:rPr>
            </w:pPr>
            <w:r>
              <w:rPr>
                <w:rFonts w:ascii="Arial" w:cs="Arial" w:eastAsia="Arial" w:hAnsi="Arial"/>
                <w:sz w:val="13"/>
                <w:szCs w:val="13"/>
                <w:b w:val="1"/>
                <w:bCs w:val="1"/>
                <w:color w:val="auto"/>
                <w:w w:val="91"/>
              </w:rPr>
              <w:t>at December 31, 2014, Using:</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80" w:type="dxa"/>
            <w:vAlign w:val="bottom"/>
          </w:tcPr>
          <w:p>
            <w:pPr>
              <w:spacing w:after="0"/>
              <w:rPr>
                <w:sz w:val="14"/>
                <w:szCs w:val="14"/>
                <w:color w:val="auto"/>
              </w:rPr>
            </w:pPr>
          </w:p>
        </w:tc>
        <w:tc>
          <w:tcPr>
            <w:tcW w:w="980" w:type="dxa"/>
            <w:vAlign w:val="bottom"/>
            <w:tcBorders>
              <w:top w:val="single" w:sz="8" w:color="auto"/>
            </w:tcBorders>
          </w:tcPr>
          <w:p>
            <w:pPr>
              <w:jc w:val="center"/>
              <w:ind w:left="205"/>
              <w:spacing w:after="0"/>
              <w:rPr>
                <w:sz w:val="20"/>
                <w:szCs w:val="20"/>
                <w:color w:val="auto"/>
              </w:rPr>
            </w:pPr>
            <w:r>
              <w:rPr>
                <w:rFonts w:ascii="Arial" w:cs="Arial" w:eastAsia="Arial" w:hAnsi="Arial"/>
                <w:sz w:val="13"/>
                <w:szCs w:val="13"/>
                <w:b w:val="1"/>
                <w:bCs w:val="1"/>
                <w:color w:val="auto"/>
                <w:w w:val="92"/>
              </w:rPr>
              <w:t>Quoted</w:t>
            </w:r>
          </w:p>
        </w:tc>
        <w:tc>
          <w:tcPr>
            <w:tcW w:w="1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Quoted</w:t>
            </w:r>
          </w:p>
        </w:tc>
        <w:tc>
          <w:tcPr>
            <w:tcW w:w="9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980" w:type="dxa"/>
            <w:vAlign w:val="bottom"/>
          </w:tcPr>
          <w:p>
            <w:pPr>
              <w:jc w:val="center"/>
              <w:ind w:left="205"/>
              <w:spacing w:after="0"/>
              <w:rPr>
                <w:sz w:val="20"/>
                <w:szCs w:val="20"/>
                <w:color w:val="auto"/>
              </w:rPr>
            </w:pPr>
            <w:r>
              <w:rPr>
                <w:rFonts w:ascii="Arial" w:cs="Arial" w:eastAsia="Arial" w:hAnsi="Arial"/>
                <w:sz w:val="13"/>
                <w:szCs w:val="13"/>
                <w:b w:val="1"/>
                <w:bCs w:val="1"/>
                <w:color w:val="auto"/>
                <w:w w:val="86"/>
              </w:rPr>
              <w:t>Prices</w:t>
            </w: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86"/>
              </w:rPr>
              <w:t>Prices</w:t>
            </w: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tcPr>
          <w:p>
            <w:pPr>
              <w:spacing w:after="0"/>
              <w:rPr>
                <w:sz w:val="15"/>
                <w:szCs w:val="15"/>
                <w:color w:val="auto"/>
              </w:rPr>
            </w:pPr>
          </w:p>
        </w:tc>
        <w:tc>
          <w:tcPr>
            <w:tcW w:w="980" w:type="dxa"/>
            <w:vAlign w:val="bottom"/>
          </w:tcPr>
          <w:p>
            <w:pPr>
              <w:jc w:val="center"/>
              <w:ind w:left="205"/>
              <w:spacing w:after="0"/>
              <w:rPr>
                <w:sz w:val="20"/>
                <w:szCs w:val="20"/>
                <w:color w:val="auto"/>
              </w:rPr>
            </w:pPr>
            <w:r>
              <w:rPr>
                <w:rFonts w:ascii="Arial" w:cs="Arial" w:eastAsia="Arial" w:hAnsi="Arial"/>
                <w:sz w:val="13"/>
                <w:szCs w:val="13"/>
                <w:b w:val="1"/>
                <w:bCs w:val="1"/>
                <w:color w:val="auto"/>
                <w:w w:val="92"/>
              </w:rPr>
              <w:t>in Active</w:t>
            </w:r>
          </w:p>
        </w:tc>
        <w:tc>
          <w:tcPr>
            <w:tcW w:w="1120" w:type="dxa"/>
            <w:vAlign w:val="bottom"/>
          </w:tcPr>
          <w:p>
            <w:pPr>
              <w:jc w:val="center"/>
              <w:ind w:left="206"/>
              <w:spacing w:after="0"/>
              <w:rPr>
                <w:sz w:val="20"/>
                <w:szCs w:val="20"/>
                <w:color w:val="auto"/>
              </w:rPr>
            </w:pPr>
            <w:r>
              <w:rPr>
                <w:rFonts w:ascii="Arial" w:cs="Arial" w:eastAsia="Arial" w:hAnsi="Arial"/>
                <w:sz w:val="13"/>
                <w:szCs w:val="13"/>
                <w:b w:val="1"/>
                <w:bCs w:val="1"/>
                <w:color w:val="auto"/>
                <w:w w:val="90"/>
              </w:rPr>
              <w:t>Significant</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2"/>
              </w:rPr>
              <w:t>in Active</w:t>
            </w:r>
          </w:p>
        </w:tc>
        <w:tc>
          <w:tcPr>
            <w:tcW w:w="980" w:type="dxa"/>
            <w:vAlign w:val="bottom"/>
          </w:tcPr>
          <w:p>
            <w:pPr>
              <w:jc w:val="center"/>
              <w:ind w:left="65"/>
              <w:spacing w:after="0"/>
              <w:rPr>
                <w:sz w:val="20"/>
                <w:szCs w:val="20"/>
                <w:color w:val="auto"/>
              </w:rPr>
            </w:pPr>
            <w:r>
              <w:rPr>
                <w:rFonts w:ascii="Arial" w:cs="Arial" w:eastAsia="Arial" w:hAnsi="Arial"/>
                <w:sz w:val="13"/>
                <w:szCs w:val="13"/>
                <w:b w:val="1"/>
                <w:bCs w:val="1"/>
                <w:color w:val="auto"/>
                <w:w w:val="90"/>
              </w:rPr>
              <w:t>Significant</w:t>
            </w: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tcPr>
          <w:p>
            <w:pPr>
              <w:spacing w:after="0"/>
              <w:rPr>
                <w:sz w:val="15"/>
                <w:szCs w:val="15"/>
                <w:color w:val="auto"/>
              </w:rPr>
            </w:pPr>
          </w:p>
        </w:tc>
        <w:tc>
          <w:tcPr>
            <w:tcW w:w="980" w:type="dxa"/>
            <w:vAlign w:val="bottom"/>
          </w:tcPr>
          <w:p>
            <w:pPr>
              <w:jc w:val="center"/>
              <w:ind w:left="205"/>
              <w:spacing w:after="0"/>
              <w:rPr>
                <w:sz w:val="20"/>
                <w:szCs w:val="20"/>
                <w:color w:val="auto"/>
              </w:rPr>
            </w:pPr>
            <w:r>
              <w:rPr>
                <w:rFonts w:ascii="Arial" w:cs="Arial" w:eastAsia="Arial" w:hAnsi="Arial"/>
                <w:sz w:val="13"/>
                <w:szCs w:val="13"/>
                <w:b w:val="1"/>
                <w:bCs w:val="1"/>
                <w:color w:val="auto"/>
                <w:w w:val="94"/>
              </w:rPr>
              <w:t>Markets for</w:t>
            </w:r>
          </w:p>
        </w:tc>
        <w:tc>
          <w:tcPr>
            <w:tcW w:w="1120" w:type="dxa"/>
            <w:vAlign w:val="bottom"/>
          </w:tcPr>
          <w:p>
            <w:pPr>
              <w:jc w:val="center"/>
              <w:ind w:left="186"/>
              <w:spacing w:after="0"/>
              <w:rPr>
                <w:sz w:val="20"/>
                <w:szCs w:val="20"/>
                <w:color w:val="auto"/>
              </w:rPr>
            </w:pPr>
            <w:r>
              <w:rPr>
                <w:rFonts w:ascii="Arial" w:cs="Arial" w:eastAsia="Arial" w:hAnsi="Arial"/>
                <w:sz w:val="13"/>
                <w:szCs w:val="13"/>
                <w:b w:val="1"/>
                <w:bCs w:val="1"/>
                <w:color w:val="auto"/>
                <w:w w:val="97"/>
              </w:rPr>
              <w:t>Other</w:t>
            </w:r>
          </w:p>
        </w:tc>
        <w:tc>
          <w:tcPr>
            <w:tcW w:w="420" w:type="dxa"/>
            <w:vAlign w:val="bottom"/>
          </w:tcPr>
          <w:p>
            <w:pPr>
              <w:spacing w:after="0"/>
              <w:rPr>
                <w:sz w:val="15"/>
                <w:szCs w:val="15"/>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3"/>
              </w:rPr>
              <w:t>Significant</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6"/>
              </w:rPr>
              <w:t>Markets for</w:t>
            </w:r>
          </w:p>
        </w:tc>
        <w:tc>
          <w:tcPr>
            <w:tcW w:w="980" w:type="dxa"/>
            <w:vAlign w:val="bottom"/>
          </w:tcPr>
          <w:p>
            <w:pPr>
              <w:jc w:val="center"/>
              <w:ind w:left="85"/>
              <w:spacing w:after="0"/>
              <w:rPr>
                <w:sz w:val="20"/>
                <w:szCs w:val="20"/>
                <w:color w:val="auto"/>
              </w:rPr>
            </w:pPr>
            <w:r>
              <w:rPr>
                <w:rFonts w:ascii="Arial" w:cs="Arial" w:eastAsia="Arial" w:hAnsi="Arial"/>
                <w:sz w:val="13"/>
                <w:szCs w:val="13"/>
                <w:b w:val="1"/>
                <w:bCs w:val="1"/>
                <w:color w:val="auto"/>
                <w:w w:val="97"/>
              </w:rPr>
              <w:t>Other</w:t>
            </w:r>
          </w:p>
        </w:tc>
        <w:tc>
          <w:tcPr>
            <w:tcW w:w="420" w:type="dxa"/>
            <w:vAlign w:val="bottom"/>
          </w:tcPr>
          <w:p>
            <w:pPr>
              <w:spacing w:after="0"/>
              <w:rPr>
                <w:sz w:val="15"/>
                <w:szCs w:val="15"/>
                <w:color w:val="auto"/>
              </w:rPr>
            </w:pPr>
          </w:p>
        </w:tc>
        <w:tc>
          <w:tcPr>
            <w:tcW w:w="1420" w:type="dxa"/>
            <w:vAlign w:val="bottom"/>
            <w:gridSpan w:val="3"/>
          </w:tcPr>
          <w:p>
            <w:pPr>
              <w:jc w:val="center"/>
              <w:ind w:right="620"/>
              <w:spacing w:after="0"/>
              <w:rPr>
                <w:sz w:val="20"/>
                <w:szCs w:val="20"/>
                <w:color w:val="auto"/>
              </w:rPr>
            </w:pPr>
            <w:r>
              <w:rPr>
                <w:rFonts w:ascii="Arial" w:cs="Arial" w:eastAsia="Arial" w:hAnsi="Arial"/>
                <w:sz w:val="13"/>
                <w:szCs w:val="13"/>
                <w:b w:val="1"/>
                <w:bCs w:val="1"/>
                <w:color w:val="auto"/>
                <w:w w:val="90"/>
              </w:rPr>
              <w:t>Significant</w:t>
            </w:r>
          </w:p>
        </w:tc>
        <w:tc>
          <w:tcPr>
            <w:tcW w:w="0" w:type="dxa"/>
            <w:vAlign w:val="bottom"/>
          </w:tcPr>
          <w:p>
            <w:pPr>
              <w:spacing w:after="0"/>
              <w:rPr>
                <w:sz w:val="1"/>
                <w:szCs w:val="1"/>
                <w:color w:val="auto"/>
              </w:rPr>
            </w:pPr>
          </w:p>
        </w:tc>
      </w:tr>
      <w:tr>
        <w:trPr>
          <w:trHeight w:val="184"/>
        </w:trPr>
        <w:tc>
          <w:tcPr>
            <w:tcW w:w="2080" w:type="dxa"/>
            <w:vAlign w:val="bottom"/>
          </w:tcPr>
          <w:p>
            <w:pPr>
              <w:spacing w:after="0"/>
              <w:rPr>
                <w:sz w:val="15"/>
                <w:szCs w:val="15"/>
                <w:color w:val="auto"/>
              </w:rPr>
            </w:pPr>
          </w:p>
        </w:tc>
        <w:tc>
          <w:tcPr>
            <w:tcW w:w="980" w:type="dxa"/>
            <w:vAlign w:val="bottom"/>
          </w:tcPr>
          <w:p>
            <w:pPr>
              <w:jc w:val="center"/>
              <w:ind w:left="205"/>
              <w:spacing w:after="0"/>
              <w:rPr>
                <w:sz w:val="20"/>
                <w:szCs w:val="20"/>
                <w:color w:val="auto"/>
              </w:rPr>
            </w:pPr>
            <w:r>
              <w:rPr>
                <w:rFonts w:ascii="Arial" w:cs="Arial" w:eastAsia="Arial" w:hAnsi="Arial"/>
                <w:sz w:val="13"/>
                <w:szCs w:val="13"/>
                <w:b w:val="1"/>
                <w:bCs w:val="1"/>
                <w:color w:val="auto"/>
                <w:w w:val="94"/>
              </w:rPr>
              <w:t>Identical</w:t>
            </w:r>
          </w:p>
        </w:tc>
        <w:tc>
          <w:tcPr>
            <w:tcW w:w="1120" w:type="dxa"/>
            <w:vAlign w:val="bottom"/>
          </w:tcPr>
          <w:p>
            <w:pPr>
              <w:jc w:val="center"/>
              <w:ind w:left="206"/>
              <w:spacing w:after="0"/>
              <w:rPr>
                <w:sz w:val="20"/>
                <w:szCs w:val="20"/>
                <w:color w:val="auto"/>
              </w:rPr>
            </w:pPr>
            <w:r>
              <w:rPr>
                <w:rFonts w:ascii="Arial" w:cs="Arial" w:eastAsia="Arial" w:hAnsi="Arial"/>
                <w:sz w:val="13"/>
                <w:szCs w:val="13"/>
                <w:b w:val="1"/>
                <w:bCs w:val="1"/>
                <w:color w:val="auto"/>
                <w:w w:val="90"/>
              </w:rPr>
              <w:t>Observable</w:t>
            </w:r>
          </w:p>
        </w:tc>
        <w:tc>
          <w:tcPr>
            <w:tcW w:w="420" w:type="dxa"/>
            <w:vAlign w:val="bottom"/>
          </w:tcPr>
          <w:p>
            <w:pPr>
              <w:spacing w:after="0"/>
              <w:rPr>
                <w:sz w:val="15"/>
                <w:szCs w:val="15"/>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0"/>
              </w:rPr>
              <w:t>Unobservable</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4"/>
              </w:rPr>
              <w:t>Identical</w:t>
            </w:r>
          </w:p>
        </w:tc>
        <w:tc>
          <w:tcPr>
            <w:tcW w:w="980" w:type="dxa"/>
            <w:vAlign w:val="bottom"/>
          </w:tcPr>
          <w:p>
            <w:pPr>
              <w:jc w:val="center"/>
              <w:ind w:left="65"/>
              <w:spacing w:after="0"/>
              <w:rPr>
                <w:sz w:val="20"/>
                <w:szCs w:val="20"/>
                <w:color w:val="auto"/>
              </w:rPr>
            </w:pPr>
            <w:r>
              <w:rPr>
                <w:rFonts w:ascii="Arial" w:cs="Arial" w:eastAsia="Arial" w:hAnsi="Arial"/>
                <w:sz w:val="13"/>
                <w:szCs w:val="13"/>
                <w:b w:val="1"/>
                <w:bCs w:val="1"/>
                <w:color w:val="auto"/>
                <w:w w:val="90"/>
              </w:rPr>
              <w:t>Observable</w:t>
            </w:r>
          </w:p>
        </w:tc>
        <w:tc>
          <w:tcPr>
            <w:tcW w:w="420" w:type="dxa"/>
            <w:vAlign w:val="bottom"/>
          </w:tcPr>
          <w:p>
            <w:pPr>
              <w:spacing w:after="0"/>
              <w:rPr>
                <w:sz w:val="15"/>
                <w:szCs w:val="15"/>
                <w:color w:val="auto"/>
              </w:rPr>
            </w:pPr>
          </w:p>
        </w:tc>
        <w:tc>
          <w:tcPr>
            <w:tcW w:w="1420" w:type="dxa"/>
            <w:vAlign w:val="bottom"/>
            <w:gridSpan w:val="3"/>
          </w:tcPr>
          <w:p>
            <w:pPr>
              <w:jc w:val="center"/>
              <w:ind w:right="620"/>
              <w:spacing w:after="0"/>
              <w:rPr>
                <w:sz w:val="20"/>
                <w:szCs w:val="20"/>
                <w:color w:val="auto"/>
              </w:rPr>
            </w:pPr>
            <w:r>
              <w:rPr>
                <w:rFonts w:ascii="Arial" w:cs="Arial" w:eastAsia="Arial" w:hAnsi="Arial"/>
                <w:sz w:val="13"/>
                <w:szCs w:val="13"/>
                <w:b w:val="1"/>
                <w:bCs w:val="1"/>
                <w:color w:val="auto"/>
                <w:w w:val="88"/>
              </w:rPr>
              <w:t>Unobservable</w:t>
            </w:r>
          </w:p>
        </w:tc>
        <w:tc>
          <w:tcPr>
            <w:tcW w:w="0" w:type="dxa"/>
            <w:vAlign w:val="bottom"/>
          </w:tcPr>
          <w:p>
            <w:pPr>
              <w:spacing w:after="0"/>
              <w:rPr>
                <w:sz w:val="1"/>
                <w:szCs w:val="1"/>
                <w:color w:val="auto"/>
              </w:rPr>
            </w:pPr>
          </w:p>
        </w:tc>
      </w:tr>
      <w:tr>
        <w:trPr>
          <w:trHeight w:val="184"/>
        </w:trPr>
        <w:tc>
          <w:tcPr>
            <w:tcW w:w="2080" w:type="dxa"/>
            <w:vAlign w:val="bottom"/>
          </w:tcPr>
          <w:p>
            <w:pPr>
              <w:spacing w:after="0"/>
              <w:rPr>
                <w:sz w:val="15"/>
                <w:szCs w:val="15"/>
                <w:color w:val="auto"/>
              </w:rPr>
            </w:pPr>
          </w:p>
        </w:tc>
        <w:tc>
          <w:tcPr>
            <w:tcW w:w="980" w:type="dxa"/>
            <w:vAlign w:val="bottom"/>
          </w:tcPr>
          <w:p>
            <w:pPr>
              <w:jc w:val="center"/>
              <w:ind w:left="205"/>
              <w:spacing w:after="0"/>
              <w:rPr>
                <w:sz w:val="20"/>
                <w:szCs w:val="20"/>
                <w:color w:val="auto"/>
              </w:rPr>
            </w:pPr>
            <w:r>
              <w:rPr>
                <w:rFonts w:ascii="Arial" w:cs="Arial" w:eastAsia="Arial" w:hAnsi="Arial"/>
                <w:sz w:val="13"/>
                <w:szCs w:val="13"/>
                <w:b w:val="1"/>
                <w:bCs w:val="1"/>
                <w:color w:val="auto"/>
                <w:w w:val="79"/>
              </w:rPr>
              <w:t>Assets</w:t>
            </w:r>
          </w:p>
        </w:tc>
        <w:tc>
          <w:tcPr>
            <w:tcW w:w="1120" w:type="dxa"/>
            <w:vAlign w:val="bottom"/>
          </w:tcPr>
          <w:p>
            <w:pPr>
              <w:jc w:val="center"/>
              <w:ind w:left="206"/>
              <w:spacing w:after="0"/>
              <w:rPr>
                <w:sz w:val="20"/>
                <w:szCs w:val="20"/>
                <w:color w:val="auto"/>
              </w:rPr>
            </w:pPr>
            <w:r>
              <w:rPr>
                <w:rFonts w:ascii="Arial" w:cs="Arial" w:eastAsia="Arial" w:hAnsi="Arial"/>
                <w:sz w:val="13"/>
                <w:szCs w:val="13"/>
                <w:b w:val="1"/>
                <w:bCs w:val="1"/>
                <w:color w:val="auto"/>
                <w:w w:val="92"/>
              </w:rPr>
              <w:t>Inputs</w:t>
            </w:r>
          </w:p>
        </w:tc>
        <w:tc>
          <w:tcPr>
            <w:tcW w:w="420" w:type="dxa"/>
            <w:vAlign w:val="bottom"/>
          </w:tcPr>
          <w:p>
            <w:pPr>
              <w:spacing w:after="0"/>
              <w:rPr>
                <w:sz w:val="15"/>
                <w:szCs w:val="15"/>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7"/>
              </w:rPr>
              <w:t>Inputs</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79"/>
              </w:rPr>
              <w:t>Assets</w:t>
            </w:r>
          </w:p>
        </w:tc>
        <w:tc>
          <w:tcPr>
            <w:tcW w:w="980" w:type="dxa"/>
            <w:vAlign w:val="bottom"/>
          </w:tcPr>
          <w:p>
            <w:pPr>
              <w:jc w:val="center"/>
              <w:ind w:left="65"/>
              <w:spacing w:after="0"/>
              <w:rPr>
                <w:sz w:val="20"/>
                <w:szCs w:val="20"/>
                <w:color w:val="auto"/>
              </w:rPr>
            </w:pPr>
            <w:r>
              <w:rPr>
                <w:rFonts w:ascii="Arial" w:cs="Arial" w:eastAsia="Arial" w:hAnsi="Arial"/>
                <w:sz w:val="13"/>
                <w:szCs w:val="13"/>
                <w:b w:val="1"/>
                <w:bCs w:val="1"/>
                <w:color w:val="auto"/>
                <w:w w:val="92"/>
              </w:rPr>
              <w:t>Inputs</w:t>
            </w:r>
          </w:p>
        </w:tc>
        <w:tc>
          <w:tcPr>
            <w:tcW w:w="420" w:type="dxa"/>
            <w:vAlign w:val="bottom"/>
          </w:tcPr>
          <w:p>
            <w:pPr>
              <w:spacing w:after="0"/>
              <w:rPr>
                <w:sz w:val="15"/>
                <w:szCs w:val="15"/>
                <w:color w:val="auto"/>
              </w:rPr>
            </w:pPr>
          </w:p>
        </w:tc>
        <w:tc>
          <w:tcPr>
            <w:tcW w:w="1420" w:type="dxa"/>
            <w:vAlign w:val="bottom"/>
            <w:gridSpan w:val="3"/>
          </w:tcPr>
          <w:p>
            <w:pPr>
              <w:jc w:val="center"/>
              <w:ind w:right="620"/>
              <w:spacing w:after="0"/>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left="205"/>
              <w:spacing w:after="0"/>
              <w:rPr>
                <w:sz w:val="20"/>
                <w:szCs w:val="20"/>
                <w:color w:val="auto"/>
              </w:rPr>
            </w:pPr>
            <w:r>
              <w:rPr>
                <w:rFonts w:ascii="Arial" w:cs="Arial" w:eastAsia="Arial" w:hAnsi="Arial"/>
                <w:sz w:val="13"/>
                <w:szCs w:val="13"/>
                <w:b w:val="1"/>
                <w:bCs w:val="1"/>
                <w:color w:val="auto"/>
                <w:w w:val="94"/>
              </w:rPr>
              <w:t>(Level 1)</w:t>
            </w:r>
          </w:p>
        </w:tc>
        <w:tc>
          <w:tcPr>
            <w:tcW w:w="1120" w:type="dxa"/>
            <w:vAlign w:val="bottom"/>
            <w:tcBorders>
              <w:bottom w:val="single" w:sz="8" w:color="auto"/>
            </w:tcBorders>
          </w:tcPr>
          <w:p>
            <w:pPr>
              <w:jc w:val="center"/>
              <w:ind w:left="206"/>
              <w:spacing w:after="0"/>
              <w:rPr>
                <w:sz w:val="20"/>
                <w:szCs w:val="20"/>
                <w:color w:val="auto"/>
              </w:rPr>
            </w:pPr>
            <w:r>
              <w:rPr>
                <w:rFonts w:ascii="Arial" w:cs="Arial" w:eastAsia="Arial" w:hAnsi="Arial"/>
                <w:sz w:val="13"/>
                <w:szCs w:val="13"/>
                <w:b w:val="1"/>
                <w:bCs w:val="1"/>
                <w:color w:val="auto"/>
                <w:w w:val="90"/>
              </w:rPr>
              <w:t>(Level 2)</w:t>
            </w: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3"/>
                <w:szCs w:val="13"/>
                <w:b w:val="1"/>
                <w:bCs w:val="1"/>
                <w:color w:val="auto"/>
                <w:w w:val="94"/>
              </w:rPr>
              <w:t>(Level 3)</w:t>
            </w:r>
          </w:p>
        </w:tc>
        <w:tc>
          <w:tcPr>
            <w:tcW w:w="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Total</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(Level 1)</w:t>
            </w:r>
          </w:p>
        </w:tc>
        <w:tc>
          <w:tcPr>
            <w:tcW w:w="980" w:type="dxa"/>
            <w:vAlign w:val="bottom"/>
            <w:tcBorders>
              <w:bottom w:val="single" w:sz="8" w:color="auto"/>
            </w:tcBorders>
          </w:tcPr>
          <w:p>
            <w:pPr>
              <w:jc w:val="center"/>
              <w:ind w:left="85"/>
              <w:spacing w:after="0"/>
              <w:rPr>
                <w:sz w:val="20"/>
                <w:szCs w:val="20"/>
                <w:color w:val="auto"/>
              </w:rPr>
            </w:pPr>
            <w:r>
              <w:rPr>
                <w:rFonts w:ascii="Arial" w:cs="Arial" w:eastAsia="Arial" w:hAnsi="Arial"/>
                <w:sz w:val="13"/>
                <w:szCs w:val="13"/>
                <w:b w:val="1"/>
                <w:bCs w:val="1"/>
                <w:color w:val="auto"/>
                <w:w w:val="94"/>
              </w:rPr>
              <w:t>(Level 2)</w:t>
            </w: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3"/>
                <w:szCs w:val="13"/>
                <w:b w:val="1"/>
                <w:bCs w:val="1"/>
                <w:color w:val="auto"/>
                <w:w w:val="90"/>
              </w:rPr>
              <w:t>(Level 3)</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4"/>
          </w:tcPr>
          <w:p>
            <w:pPr>
              <w:jc w:val="right"/>
              <w:ind w:right="655"/>
              <w:spacing w:after="0"/>
              <w:rPr>
                <w:sz w:val="20"/>
                <w:szCs w:val="20"/>
                <w:color w:val="auto"/>
              </w:rPr>
            </w:pPr>
            <w:r>
              <w:rPr>
                <w:rFonts w:ascii="Arial" w:cs="Arial" w:eastAsia="Arial" w:hAnsi="Arial"/>
                <w:sz w:val="13"/>
                <w:szCs w:val="13"/>
                <w:i w:val="1"/>
                <w:iCs w:val="1"/>
                <w:color w:val="auto"/>
              </w:rPr>
              <w:t>(millions of dollars)</w:t>
            </w: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80" w:type="dxa"/>
            <w:vAlign w:val="bottom"/>
          </w:tcPr>
          <w:p>
            <w:pPr>
              <w:spacing w:after="0"/>
              <w:rPr>
                <w:sz w:val="20"/>
                <w:szCs w:val="20"/>
                <w:color w:val="auto"/>
              </w:rPr>
            </w:pPr>
            <w:r>
              <w:rPr>
                <w:rFonts w:ascii="Arial" w:cs="Arial" w:eastAsia="Arial" w:hAnsi="Arial"/>
                <w:sz w:val="16"/>
                <w:szCs w:val="16"/>
                <w:color w:val="auto"/>
              </w:rPr>
              <w:t>Asset category:</w:t>
            </w: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80" w:type="dxa"/>
            <w:vAlign w:val="bottom"/>
          </w:tcPr>
          <w:p>
            <w:pPr>
              <w:ind w:left="240"/>
              <w:spacing w:after="0"/>
              <w:rPr>
                <w:sz w:val="20"/>
                <w:szCs w:val="20"/>
                <w:color w:val="auto"/>
              </w:rPr>
            </w:pPr>
            <w:r>
              <w:rPr>
                <w:rFonts w:ascii="Arial" w:cs="Arial" w:eastAsia="Arial" w:hAnsi="Arial"/>
                <w:sz w:val="16"/>
                <w:szCs w:val="16"/>
                <w:color w:val="auto"/>
              </w:rPr>
              <w:t>Equity securities</w:t>
            </w: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vMerge w:val="restart"/>
          </w:tcPr>
          <w:p>
            <w:pPr>
              <w:jc w:val="right"/>
              <w:ind w:right="195"/>
              <w:spacing w:after="0"/>
              <w:rPr>
                <w:sz w:val="20"/>
                <w:szCs w:val="20"/>
                <w:color w:val="auto"/>
              </w:rPr>
            </w:pPr>
            <w:r>
              <w:rPr>
                <w:rFonts w:ascii="Arial" w:cs="Arial" w:eastAsia="Arial" w:hAnsi="Arial"/>
                <w:sz w:val="13"/>
                <w:szCs w:val="13"/>
                <w:i w:val="1"/>
                <w:iCs w:val="1"/>
                <w:color w:val="auto"/>
                <w:w w:val="87"/>
              </w:rPr>
              <w:t>(1)</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vMerge w:val="restart"/>
          </w:tcPr>
          <w:p>
            <w:pPr>
              <w:jc w:val="right"/>
              <w:ind w:right="175"/>
              <w:spacing w:after="0"/>
              <w:rPr>
                <w:sz w:val="20"/>
                <w:szCs w:val="20"/>
                <w:color w:val="auto"/>
              </w:rPr>
            </w:pPr>
            <w:r>
              <w:rPr>
                <w:rFonts w:ascii="Arial" w:cs="Arial" w:eastAsia="Arial" w:hAnsi="Arial"/>
                <w:sz w:val="13"/>
                <w:szCs w:val="13"/>
                <w:i w:val="1"/>
                <w:iCs w:val="1"/>
                <w:color w:val="auto"/>
              </w:rPr>
              <w:t>(1)</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80" w:type="dxa"/>
            <w:vAlign w:val="bottom"/>
          </w:tcPr>
          <w:p>
            <w:pPr>
              <w:ind w:left="480"/>
              <w:spacing w:after="0"/>
              <w:rPr>
                <w:sz w:val="20"/>
                <w:szCs w:val="20"/>
                <w:color w:val="auto"/>
              </w:rPr>
            </w:pPr>
            <w:r>
              <w:rPr>
                <w:rFonts w:ascii="Arial" w:cs="Arial" w:eastAsia="Arial" w:hAnsi="Arial"/>
                <w:sz w:val="16"/>
                <w:szCs w:val="16"/>
                <w:color w:val="auto"/>
              </w:rPr>
              <w:t>U.S.</w:t>
            </w:r>
          </w:p>
        </w:tc>
        <w:tc>
          <w:tcPr>
            <w:tcW w:w="98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2,331</w:t>
            </w:r>
          </w:p>
        </w:tc>
        <w:tc>
          <w:tcPr>
            <w:tcW w:w="420" w:type="dxa"/>
            <w:vAlign w:val="bottom"/>
            <w:vMerge w:val="continue"/>
          </w:tcPr>
          <w:p>
            <w:pPr>
              <w:spacing w:after="0"/>
              <w:rPr>
                <w:sz w:val="17"/>
                <w:szCs w:val="17"/>
                <w:color w:val="auto"/>
              </w:rPr>
            </w:pPr>
          </w:p>
        </w:tc>
        <w:tc>
          <w:tcPr>
            <w:tcW w:w="1060" w:type="dxa"/>
            <w:vAlign w:val="bottom"/>
          </w:tcPr>
          <w:p>
            <w:pPr>
              <w:jc w:val="right"/>
              <w:ind w:right="285"/>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2,331</w:t>
            </w:r>
          </w:p>
        </w:tc>
        <w:tc>
          <w:tcPr>
            <w:tcW w:w="20" w:type="dxa"/>
            <w:vAlign w:val="bottom"/>
          </w:tcPr>
          <w:p>
            <w:pPr>
              <w:spacing w:after="0"/>
              <w:rPr>
                <w:sz w:val="17"/>
                <w:szCs w:val="17"/>
                <w:color w:val="auto"/>
              </w:rPr>
            </w:pPr>
          </w:p>
        </w:tc>
        <w:tc>
          <w:tcPr>
            <w:tcW w:w="1520" w:type="dxa"/>
            <w:vAlign w:val="bottom"/>
            <w:gridSpan w:val="2"/>
          </w:tcPr>
          <w:p>
            <w:pPr>
              <w:jc w:val="right"/>
              <w:ind w:right="335"/>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3,284</w:t>
            </w:r>
          </w:p>
        </w:tc>
        <w:tc>
          <w:tcPr>
            <w:tcW w:w="420" w:type="dxa"/>
            <w:vAlign w:val="bottom"/>
            <w:vMerge w:val="continue"/>
          </w:tcPr>
          <w:p>
            <w:pPr>
              <w:spacing w:after="0"/>
              <w:rPr>
                <w:sz w:val="17"/>
                <w:szCs w:val="17"/>
                <w:color w:val="auto"/>
              </w:rPr>
            </w:pPr>
          </w:p>
        </w:tc>
        <w:tc>
          <w:tcPr>
            <w:tcW w:w="1020" w:type="dxa"/>
            <w:vAlign w:val="bottom"/>
          </w:tcPr>
          <w:p>
            <w:pPr>
              <w:jc w:val="right"/>
              <w:ind w:right="267"/>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80" w:type="dxa"/>
            <w:vAlign w:val="bottom"/>
          </w:tcPr>
          <w:p>
            <w:pPr>
              <w:ind w:left="480"/>
              <w:spacing w:after="0"/>
              <w:rPr>
                <w:sz w:val="20"/>
                <w:szCs w:val="20"/>
                <w:color w:val="auto"/>
              </w:rPr>
            </w:pPr>
            <w:r>
              <w:rPr>
                <w:rFonts w:ascii="Arial" w:cs="Arial" w:eastAsia="Arial" w:hAnsi="Arial"/>
                <w:sz w:val="16"/>
                <w:szCs w:val="16"/>
                <w:color w:val="auto"/>
              </w:rPr>
              <w:t>Non-U.S.</w:t>
            </w:r>
          </w:p>
        </w:tc>
        <w:tc>
          <w:tcPr>
            <w:tcW w:w="98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2,144</w:t>
            </w:r>
          </w:p>
        </w:tc>
        <w:tc>
          <w:tcPr>
            <w:tcW w:w="420" w:type="dxa"/>
            <w:vAlign w:val="bottom"/>
          </w:tcPr>
          <w:p>
            <w:pPr>
              <w:jc w:val="right"/>
              <w:ind w:right="195"/>
              <w:spacing w:after="0"/>
              <w:rPr>
                <w:sz w:val="20"/>
                <w:szCs w:val="20"/>
                <w:color w:val="auto"/>
              </w:rPr>
            </w:pPr>
            <w:r>
              <w:rPr>
                <w:rFonts w:ascii="Arial" w:cs="Arial" w:eastAsia="Arial" w:hAnsi="Arial"/>
                <w:sz w:val="13"/>
                <w:szCs w:val="13"/>
                <w:i w:val="1"/>
                <w:iCs w:val="1"/>
                <w:color w:val="auto"/>
                <w:w w:val="87"/>
              </w:rPr>
              <w:t>(1)</w:t>
            </w:r>
          </w:p>
        </w:tc>
        <w:tc>
          <w:tcPr>
            <w:tcW w:w="1060" w:type="dxa"/>
            <w:vAlign w:val="bottom"/>
          </w:tcPr>
          <w:p>
            <w:pPr>
              <w:jc w:val="right"/>
              <w:ind w:right="285"/>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2,144</w:t>
            </w:r>
          </w:p>
        </w:tc>
        <w:tc>
          <w:tcPr>
            <w:tcW w:w="20" w:type="dxa"/>
            <w:vAlign w:val="bottom"/>
          </w:tcPr>
          <w:p>
            <w:pPr>
              <w:spacing w:after="0"/>
              <w:rPr>
                <w:sz w:val="19"/>
                <w:szCs w:val="19"/>
                <w:color w:val="auto"/>
              </w:rPr>
            </w:pPr>
          </w:p>
        </w:tc>
        <w:tc>
          <w:tcPr>
            <w:tcW w:w="1520" w:type="dxa"/>
            <w:vAlign w:val="bottom"/>
            <w:gridSpan w:val="2"/>
          </w:tcPr>
          <w:p>
            <w:pPr>
              <w:jc w:val="right"/>
              <w:ind w:right="15"/>
              <w:spacing w:after="0" w:line="221" w:lineRule="exact"/>
              <w:rPr>
                <w:sz w:val="20"/>
                <w:szCs w:val="20"/>
                <w:color w:val="auto"/>
              </w:rPr>
            </w:pPr>
            <w:r>
              <w:rPr>
                <w:rFonts w:ascii="Arial" w:cs="Arial" w:eastAsia="Arial" w:hAnsi="Arial"/>
                <w:sz w:val="16"/>
                <w:szCs w:val="16"/>
                <w:color w:val="auto"/>
              </w:rPr>
              <w:t xml:space="preserve">229 </w:t>
            </w:r>
            <w:r>
              <w:rPr>
                <w:rFonts w:ascii="Arial" w:cs="Arial" w:eastAsia="Arial" w:hAnsi="Arial"/>
                <w:sz w:val="25"/>
                <w:szCs w:val="25"/>
                <w:i w:val="1"/>
                <w:iCs w:val="1"/>
                <w:color w:val="auto"/>
                <w:vertAlign w:val="superscript"/>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3,776</w:t>
            </w:r>
          </w:p>
        </w:tc>
        <w:tc>
          <w:tcPr>
            <w:tcW w:w="420" w:type="dxa"/>
            <w:vAlign w:val="bottom"/>
          </w:tcPr>
          <w:p>
            <w:pPr>
              <w:jc w:val="right"/>
              <w:ind w:right="175"/>
              <w:spacing w:after="0"/>
              <w:rPr>
                <w:sz w:val="20"/>
                <w:szCs w:val="20"/>
                <w:color w:val="auto"/>
              </w:rPr>
            </w:pPr>
            <w:r>
              <w:rPr>
                <w:rFonts w:ascii="Arial" w:cs="Arial" w:eastAsia="Arial" w:hAnsi="Arial"/>
                <w:sz w:val="13"/>
                <w:szCs w:val="13"/>
                <w:i w:val="1"/>
                <w:iCs w:val="1"/>
                <w:color w:val="auto"/>
              </w:rPr>
              <w:t>(1)</w:t>
            </w:r>
          </w:p>
        </w:tc>
        <w:tc>
          <w:tcPr>
            <w:tcW w:w="1020" w:type="dxa"/>
            <w:vAlign w:val="bottom"/>
          </w:tcPr>
          <w:p>
            <w:pPr>
              <w:jc w:val="right"/>
              <w:ind w:right="267"/>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80" w:type="dxa"/>
            <w:vAlign w:val="bottom"/>
          </w:tcPr>
          <w:p>
            <w:pPr>
              <w:ind w:left="240"/>
              <w:spacing w:after="0"/>
              <w:rPr>
                <w:sz w:val="20"/>
                <w:szCs w:val="20"/>
                <w:color w:val="auto"/>
              </w:rPr>
            </w:pPr>
            <w:r>
              <w:rPr>
                <w:rFonts w:ascii="Arial" w:cs="Arial" w:eastAsia="Arial" w:hAnsi="Arial"/>
                <w:sz w:val="16"/>
                <w:szCs w:val="16"/>
                <w:color w:val="auto"/>
              </w:rPr>
              <w:t>Private equity</w:t>
            </w:r>
          </w:p>
        </w:tc>
        <w:tc>
          <w:tcPr>
            <w:tcW w:w="98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6"/>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60" w:type="dxa"/>
            <w:vAlign w:val="bottom"/>
          </w:tcPr>
          <w:p>
            <w:pPr>
              <w:ind w:left="580"/>
              <w:spacing w:after="0" w:line="236" w:lineRule="exact"/>
              <w:rPr>
                <w:sz w:val="20"/>
                <w:szCs w:val="20"/>
                <w:color w:val="auto"/>
              </w:rPr>
            </w:pPr>
            <w:r>
              <w:rPr>
                <w:rFonts w:ascii="Arial" w:cs="Arial" w:eastAsia="Arial" w:hAnsi="Arial"/>
                <w:sz w:val="27"/>
                <w:szCs w:val="27"/>
                <w:color w:val="auto"/>
                <w:w w:val="95"/>
                <w:vertAlign w:val="subscript"/>
              </w:rPr>
              <w:t>562</w:t>
            </w:r>
            <w:r>
              <w:rPr>
                <w:rFonts w:ascii="Arial" w:cs="Arial" w:eastAsia="Arial" w:hAnsi="Arial"/>
                <w:sz w:val="12"/>
                <w:szCs w:val="12"/>
                <w:i w:val="1"/>
                <w:iCs w:val="1"/>
                <w:color w:val="auto"/>
                <w:w w:val="95"/>
              </w:rPr>
              <w:t xml:space="preserve"> (3)</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562</w:t>
            </w:r>
          </w:p>
        </w:tc>
        <w:tc>
          <w:tcPr>
            <w:tcW w:w="20" w:type="dxa"/>
            <w:vAlign w:val="bottom"/>
          </w:tcPr>
          <w:p>
            <w:pPr>
              <w:spacing w:after="0"/>
              <w:rPr>
                <w:sz w:val="20"/>
                <w:szCs w:val="20"/>
                <w:color w:val="auto"/>
              </w:rPr>
            </w:pPr>
          </w:p>
        </w:tc>
        <w:tc>
          <w:tcPr>
            <w:tcW w:w="1520" w:type="dxa"/>
            <w:vAlign w:val="bottom"/>
            <w:gridSpan w:val="2"/>
          </w:tcPr>
          <w:p>
            <w:pPr>
              <w:jc w:val="right"/>
              <w:ind w:right="335"/>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5"/>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20" w:type="dxa"/>
            <w:vAlign w:val="bottom"/>
          </w:tcPr>
          <w:p>
            <w:pPr>
              <w:jc w:val="right"/>
              <w:spacing w:after="0" w:line="236" w:lineRule="exact"/>
              <w:rPr>
                <w:sz w:val="20"/>
                <w:szCs w:val="20"/>
                <w:color w:val="auto"/>
              </w:rPr>
            </w:pPr>
            <w:r>
              <w:rPr>
                <w:rFonts w:ascii="Arial" w:cs="Arial" w:eastAsia="Arial" w:hAnsi="Arial"/>
                <w:sz w:val="27"/>
                <w:szCs w:val="27"/>
                <w:color w:val="auto"/>
                <w:vertAlign w:val="subscript"/>
              </w:rPr>
              <w:t>535</w:t>
            </w:r>
            <w:r>
              <w:rPr>
                <w:rFonts w:ascii="Arial" w:cs="Arial" w:eastAsia="Arial" w:hAnsi="Arial"/>
                <w:sz w:val="12"/>
                <w:szCs w:val="12"/>
                <w:i w:val="1"/>
                <w:iCs w:val="1"/>
                <w:color w:val="auto"/>
              </w:rPr>
              <w:t xml:space="preserve"> (3)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80" w:type="dxa"/>
            <w:vAlign w:val="bottom"/>
          </w:tcPr>
          <w:p>
            <w:pPr>
              <w:ind w:left="240"/>
              <w:spacing w:after="0"/>
              <w:rPr>
                <w:sz w:val="20"/>
                <w:szCs w:val="20"/>
                <w:color w:val="auto"/>
              </w:rPr>
            </w:pPr>
            <w:r>
              <w:rPr>
                <w:rFonts w:ascii="Arial" w:cs="Arial" w:eastAsia="Arial" w:hAnsi="Arial"/>
                <w:sz w:val="16"/>
                <w:szCs w:val="16"/>
                <w:color w:val="auto"/>
              </w:rPr>
              <w:t>Debt securities</w:t>
            </w: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vMerge w:val="restart"/>
          </w:tcPr>
          <w:p>
            <w:pPr>
              <w:jc w:val="right"/>
              <w:ind w:right="195"/>
              <w:spacing w:after="0"/>
              <w:rPr>
                <w:sz w:val="20"/>
                <w:szCs w:val="20"/>
                <w:color w:val="auto"/>
              </w:rPr>
            </w:pPr>
            <w:r>
              <w:rPr>
                <w:rFonts w:ascii="Arial" w:cs="Arial" w:eastAsia="Arial" w:hAnsi="Arial"/>
                <w:sz w:val="13"/>
                <w:szCs w:val="13"/>
                <w:i w:val="1"/>
                <w:iCs w:val="1"/>
                <w:color w:val="auto"/>
                <w:w w:val="87"/>
              </w:rPr>
              <w:t>(4)</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vMerge w:val="restart"/>
          </w:tcPr>
          <w:p>
            <w:pPr>
              <w:jc w:val="right"/>
              <w:ind w:right="175"/>
              <w:spacing w:after="0"/>
              <w:rPr>
                <w:sz w:val="20"/>
                <w:szCs w:val="20"/>
                <w:color w:val="auto"/>
              </w:rPr>
            </w:pPr>
            <w:r>
              <w:rPr>
                <w:rFonts w:ascii="Arial" w:cs="Arial" w:eastAsia="Arial" w:hAnsi="Arial"/>
                <w:sz w:val="13"/>
                <w:szCs w:val="13"/>
                <w:i w:val="1"/>
                <w:iCs w:val="1"/>
                <w:color w:val="auto"/>
              </w:rPr>
              <w:t>(4)</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80" w:type="dxa"/>
            <w:vAlign w:val="bottom"/>
          </w:tcPr>
          <w:p>
            <w:pPr>
              <w:ind w:left="480"/>
              <w:spacing w:after="0"/>
              <w:rPr>
                <w:sz w:val="20"/>
                <w:szCs w:val="20"/>
                <w:color w:val="auto"/>
              </w:rPr>
            </w:pPr>
            <w:r>
              <w:rPr>
                <w:rFonts w:ascii="Arial" w:cs="Arial" w:eastAsia="Arial" w:hAnsi="Arial"/>
                <w:sz w:val="16"/>
                <w:szCs w:val="16"/>
                <w:color w:val="auto"/>
              </w:rPr>
              <w:t>Corporate</w:t>
            </w:r>
          </w:p>
        </w:tc>
        <w:tc>
          <w:tcPr>
            <w:tcW w:w="98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4,841</w:t>
            </w:r>
          </w:p>
        </w:tc>
        <w:tc>
          <w:tcPr>
            <w:tcW w:w="420" w:type="dxa"/>
            <w:vAlign w:val="bottom"/>
            <w:vMerge w:val="continue"/>
          </w:tcPr>
          <w:p>
            <w:pPr>
              <w:spacing w:after="0"/>
              <w:rPr>
                <w:sz w:val="18"/>
                <w:szCs w:val="18"/>
                <w:color w:val="auto"/>
              </w:rPr>
            </w:pPr>
          </w:p>
        </w:tc>
        <w:tc>
          <w:tcPr>
            <w:tcW w:w="1060" w:type="dxa"/>
            <w:vAlign w:val="bottom"/>
          </w:tcPr>
          <w:p>
            <w:pPr>
              <w:jc w:val="right"/>
              <w:ind w:right="285"/>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4,841</w:t>
            </w:r>
          </w:p>
        </w:tc>
        <w:tc>
          <w:tcPr>
            <w:tcW w:w="20" w:type="dxa"/>
            <w:vAlign w:val="bottom"/>
          </w:tcPr>
          <w:p>
            <w:pPr>
              <w:spacing w:after="0"/>
              <w:rPr>
                <w:sz w:val="18"/>
                <w:szCs w:val="18"/>
                <w:color w:val="auto"/>
              </w:rPr>
            </w:pPr>
          </w:p>
        </w:tc>
        <w:tc>
          <w:tcPr>
            <w:tcW w:w="1520" w:type="dxa"/>
            <w:vAlign w:val="bottom"/>
            <w:gridSpan w:val="2"/>
          </w:tcPr>
          <w:p>
            <w:pPr>
              <w:jc w:val="right"/>
              <w:ind w:right="335"/>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2,686</w:t>
            </w:r>
          </w:p>
        </w:tc>
        <w:tc>
          <w:tcPr>
            <w:tcW w:w="420" w:type="dxa"/>
            <w:vAlign w:val="bottom"/>
            <w:vMerge w:val="continue"/>
          </w:tcPr>
          <w:p>
            <w:pPr>
              <w:spacing w:after="0"/>
              <w:rPr>
                <w:sz w:val="18"/>
                <w:szCs w:val="18"/>
                <w:color w:val="auto"/>
              </w:rPr>
            </w:pPr>
          </w:p>
        </w:tc>
        <w:tc>
          <w:tcPr>
            <w:tcW w:w="1020" w:type="dxa"/>
            <w:vAlign w:val="bottom"/>
          </w:tcPr>
          <w:p>
            <w:pPr>
              <w:jc w:val="right"/>
              <w:ind w:right="267"/>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80" w:type="dxa"/>
            <w:vAlign w:val="bottom"/>
          </w:tcPr>
          <w:p>
            <w:pPr>
              <w:ind w:left="480"/>
              <w:spacing w:after="0"/>
              <w:rPr>
                <w:sz w:val="20"/>
                <w:szCs w:val="20"/>
                <w:color w:val="auto"/>
              </w:rPr>
            </w:pPr>
            <w:r>
              <w:rPr>
                <w:rFonts w:ascii="Arial" w:cs="Arial" w:eastAsia="Arial" w:hAnsi="Arial"/>
                <w:sz w:val="16"/>
                <w:szCs w:val="16"/>
                <w:color w:val="auto"/>
              </w:rPr>
              <w:t>Government</w:t>
            </w:r>
          </w:p>
        </w:tc>
        <w:tc>
          <w:tcPr>
            <w:tcW w:w="98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2,890</w:t>
            </w:r>
          </w:p>
        </w:tc>
        <w:tc>
          <w:tcPr>
            <w:tcW w:w="420" w:type="dxa"/>
            <w:vAlign w:val="bottom"/>
          </w:tcPr>
          <w:p>
            <w:pPr>
              <w:jc w:val="right"/>
              <w:ind w:right="195"/>
              <w:spacing w:after="0"/>
              <w:rPr>
                <w:sz w:val="20"/>
                <w:szCs w:val="20"/>
                <w:color w:val="auto"/>
              </w:rPr>
            </w:pPr>
            <w:r>
              <w:rPr>
                <w:rFonts w:ascii="Arial" w:cs="Arial" w:eastAsia="Arial" w:hAnsi="Arial"/>
                <w:sz w:val="13"/>
                <w:szCs w:val="13"/>
                <w:i w:val="1"/>
                <w:iCs w:val="1"/>
                <w:color w:val="auto"/>
                <w:w w:val="87"/>
              </w:rPr>
              <w:t>(4)</w:t>
            </w:r>
          </w:p>
        </w:tc>
        <w:tc>
          <w:tcPr>
            <w:tcW w:w="1060" w:type="dxa"/>
            <w:vAlign w:val="bottom"/>
          </w:tcPr>
          <w:p>
            <w:pPr>
              <w:jc w:val="right"/>
              <w:ind w:right="285"/>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2,890</w:t>
            </w:r>
          </w:p>
        </w:tc>
        <w:tc>
          <w:tcPr>
            <w:tcW w:w="20" w:type="dxa"/>
            <w:vAlign w:val="bottom"/>
          </w:tcPr>
          <w:p>
            <w:pPr>
              <w:spacing w:after="0"/>
              <w:rPr>
                <w:sz w:val="19"/>
                <w:szCs w:val="19"/>
                <w:color w:val="auto"/>
              </w:rPr>
            </w:pPr>
          </w:p>
        </w:tc>
        <w:tc>
          <w:tcPr>
            <w:tcW w:w="1520" w:type="dxa"/>
            <w:vAlign w:val="bottom"/>
            <w:gridSpan w:val="2"/>
          </w:tcPr>
          <w:p>
            <w:pPr>
              <w:jc w:val="right"/>
              <w:ind w:right="15"/>
              <w:spacing w:after="0" w:line="221" w:lineRule="exact"/>
              <w:rPr>
                <w:sz w:val="20"/>
                <w:szCs w:val="20"/>
                <w:color w:val="auto"/>
              </w:rPr>
            </w:pPr>
            <w:r>
              <w:rPr>
                <w:rFonts w:ascii="Arial" w:cs="Arial" w:eastAsia="Arial" w:hAnsi="Arial"/>
                <w:sz w:val="16"/>
                <w:szCs w:val="16"/>
                <w:color w:val="auto"/>
              </w:rPr>
              <w:t xml:space="preserve">249 </w:t>
            </w:r>
            <w:r>
              <w:rPr>
                <w:rFonts w:ascii="Arial" w:cs="Arial" w:eastAsia="Arial" w:hAnsi="Arial"/>
                <w:sz w:val="25"/>
                <w:szCs w:val="25"/>
                <w:i w:val="1"/>
                <w:iCs w:val="1"/>
                <w:color w:val="auto"/>
                <w:vertAlign w:val="superscript"/>
              </w:rPr>
              <w:t>(5)</w:t>
            </w:r>
          </w:p>
        </w:tc>
        <w:tc>
          <w:tcPr>
            <w:tcW w:w="980" w:type="dxa"/>
            <w:vAlign w:val="bottom"/>
          </w:tcPr>
          <w:p>
            <w:pPr>
              <w:jc w:val="right"/>
              <w:spacing w:after="0"/>
              <w:rPr>
                <w:sz w:val="20"/>
                <w:szCs w:val="20"/>
                <w:color w:val="auto"/>
              </w:rPr>
            </w:pPr>
            <w:r>
              <w:rPr>
                <w:rFonts w:ascii="Arial" w:cs="Arial" w:eastAsia="Arial" w:hAnsi="Arial"/>
                <w:sz w:val="16"/>
                <w:szCs w:val="16"/>
                <w:color w:val="auto"/>
              </w:rPr>
              <w:t>9,050</w:t>
            </w:r>
          </w:p>
        </w:tc>
        <w:tc>
          <w:tcPr>
            <w:tcW w:w="420" w:type="dxa"/>
            <w:vAlign w:val="bottom"/>
          </w:tcPr>
          <w:p>
            <w:pPr>
              <w:jc w:val="right"/>
              <w:ind w:right="175"/>
              <w:spacing w:after="0"/>
              <w:rPr>
                <w:sz w:val="20"/>
                <w:szCs w:val="20"/>
                <w:color w:val="auto"/>
              </w:rPr>
            </w:pPr>
            <w:r>
              <w:rPr>
                <w:rFonts w:ascii="Arial" w:cs="Arial" w:eastAsia="Arial" w:hAnsi="Arial"/>
                <w:sz w:val="13"/>
                <w:szCs w:val="13"/>
                <w:i w:val="1"/>
                <w:iCs w:val="1"/>
                <w:color w:val="auto"/>
              </w:rPr>
              <w:t>(4)</w:t>
            </w:r>
          </w:p>
        </w:tc>
        <w:tc>
          <w:tcPr>
            <w:tcW w:w="1020" w:type="dxa"/>
            <w:vAlign w:val="bottom"/>
          </w:tcPr>
          <w:p>
            <w:pPr>
              <w:jc w:val="right"/>
              <w:ind w:right="267"/>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80" w:type="dxa"/>
            <w:vAlign w:val="bottom"/>
          </w:tcPr>
          <w:p>
            <w:pPr>
              <w:ind w:left="480"/>
              <w:spacing w:after="0"/>
              <w:rPr>
                <w:sz w:val="20"/>
                <w:szCs w:val="20"/>
                <w:color w:val="auto"/>
              </w:rPr>
            </w:pPr>
            <w:r>
              <w:rPr>
                <w:rFonts w:ascii="Arial" w:cs="Arial" w:eastAsia="Arial" w:hAnsi="Arial"/>
                <w:sz w:val="16"/>
                <w:szCs w:val="16"/>
                <w:color w:val="auto"/>
              </w:rPr>
              <w:t>Asset-backed</w:t>
            </w:r>
          </w:p>
        </w:tc>
        <w:tc>
          <w:tcPr>
            <w:tcW w:w="98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420" w:type="dxa"/>
            <w:vAlign w:val="bottom"/>
          </w:tcPr>
          <w:p>
            <w:pPr>
              <w:jc w:val="right"/>
              <w:ind w:right="195"/>
              <w:spacing w:after="0"/>
              <w:rPr>
                <w:sz w:val="20"/>
                <w:szCs w:val="20"/>
                <w:color w:val="auto"/>
              </w:rPr>
            </w:pPr>
            <w:r>
              <w:rPr>
                <w:rFonts w:ascii="Arial" w:cs="Arial" w:eastAsia="Arial" w:hAnsi="Arial"/>
                <w:sz w:val="13"/>
                <w:szCs w:val="13"/>
                <w:i w:val="1"/>
                <w:iCs w:val="1"/>
                <w:color w:val="auto"/>
                <w:w w:val="87"/>
              </w:rPr>
              <w:t>(4)</w:t>
            </w:r>
          </w:p>
        </w:tc>
        <w:tc>
          <w:tcPr>
            <w:tcW w:w="1060" w:type="dxa"/>
            <w:vAlign w:val="bottom"/>
          </w:tcPr>
          <w:p>
            <w:pPr>
              <w:jc w:val="right"/>
              <w:ind w:right="285"/>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9"/>
                <w:szCs w:val="19"/>
                <w:color w:val="auto"/>
              </w:rPr>
            </w:pPr>
          </w:p>
        </w:tc>
        <w:tc>
          <w:tcPr>
            <w:tcW w:w="1520" w:type="dxa"/>
            <w:vAlign w:val="bottom"/>
            <w:gridSpan w:val="2"/>
          </w:tcPr>
          <w:p>
            <w:pPr>
              <w:jc w:val="right"/>
              <w:ind w:right="335"/>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146</w:t>
            </w:r>
          </w:p>
        </w:tc>
        <w:tc>
          <w:tcPr>
            <w:tcW w:w="420" w:type="dxa"/>
            <w:vAlign w:val="bottom"/>
          </w:tcPr>
          <w:p>
            <w:pPr>
              <w:jc w:val="right"/>
              <w:ind w:right="175"/>
              <w:spacing w:after="0"/>
              <w:rPr>
                <w:sz w:val="20"/>
                <w:szCs w:val="20"/>
                <w:color w:val="auto"/>
              </w:rPr>
            </w:pPr>
            <w:r>
              <w:rPr>
                <w:rFonts w:ascii="Arial" w:cs="Arial" w:eastAsia="Arial" w:hAnsi="Arial"/>
                <w:sz w:val="13"/>
                <w:szCs w:val="13"/>
                <w:i w:val="1"/>
                <w:iCs w:val="1"/>
                <w:color w:val="auto"/>
              </w:rPr>
              <w:t>(4)</w:t>
            </w:r>
          </w:p>
        </w:tc>
        <w:tc>
          <w:tcPr>
            <w:tcW w:w="1020" w:type="dxa"/>
            <w:vAlign w:val="bottom"/>
          </w:tcPr>
          <w:p>
            <w:pPr>
              <w:jc w:val="right"/>
              <w:ind w:right="267"/>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80" w:type="dxa"/>
            <w:vAlign w:val="bottom"/>
          </w:tcPr>
          <w:p>
            <w:pPr>
              <w:ind w:left="240"/>
              <w:spacing w:after="0"/>
              <w:rPr>
                <w:sz w:val="20"/>
                <w:szCs w:val="20"/>
                <w:color w:val="auto"/>
              </w:rPr>
            </w:pPr>
            <w:r>
              <w:rPr>
                <w:rFonts w:ascii="Arial" w:cs="Arial" w:eastAsia="Arial" w:hAnsi="Arial"/>
                <w:sz w:val="16"/>
                <w:szCs w:val="16"/>
                <w:color w:val="auto"/>
              </w:rPr>
              <w:t>Real estate funds</w:t>
            </w:r>
          </w:p>
        </w:tc>
        <w:tc>
          <w:tcPr>
            <w:tcW w:w="98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6"/>
              <w:spacing w:after="0"/>
              <w:rPr>
                <w:sz w:val="20"/>
                <w:szCs w:val="20"/>
                <w:color w:val="auto"/>
              </w:rPr>
            </w:pPr>
            <w:r>
              <w:rPr>
                <w:rFonts w:ascii="Arial" w:cs="Arial" w:eastAsia="Arial" w:hAnsi="Arial"/>
                <w:sz w:val="16"/>
                <w:szCs w:val="16"/>
                <w:color w:val="auto"/>
              </w:rPr>
              <w:t>-</w:t>
            </w:r>
          </w:p>
        </w:tc>
        <w:tc>
          <w:tcPr>
            <w:tcW w:w="420" w:type="dxa"/>
            <w:vAlign w:val="bottom"/>
            <w:vMerge w:val="restart"/>
          </w:tcPr>
          <w:p>
            <w:pPr>
              <w:jc w:val="right"/>
              <w:ind w:right="195"/>
              <w:spacing w:after="0"/>
              <w:rPr>
                <w:sz w:val="20"/>
                <w:szCs w:val="20"/>
                <w:color w:val="auto"/>
              </w:rPr>
            </w:pPr>
            <w:r>
              <w:rPr>
                <w:rFonts w:ascii="Arial" w:cs="Arial" w:eastAsia="Arial" w:hAnsi="Arial"/>
                <w:sz w:val="13"/>
                <w:szCs w:val="13"/>
                <w:i w:val="1"/>
                <w:iCs w:val="1"/>
                <w:color w:val="auto"/>
                <w:w w:val="87"/>
              </w:rPr>
              <w:t>(7)</w:t>
            </w:r>
          </w:p>
        </w:tc>
        <w:tc>
          <w:tcPr>
            <w:tcW w:w="1060" w:type="dxa"/>
            <w:vAlign w:val="bottom"/>
          </w:tcPr>
          <w:p>
            <w:pPr>
              <w:jc w:val="right"/>
              <w:ind w:right="285"/>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520" w:type="dxa"/>
            <w:vAlign w:val="bottom"/>
            <w:gridSpan w:val="2"/>
          </w:tcPr>
          <w:p>
            <w:pPr>
              <w:jc w:val="right"/>
              <w:ind w:right="335"/>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5"/>
              <w:spacing w:after="0"/>
              <w:rPr>
                <w:sz w:val="20"/>
                <w:szCs w:val="20"/>
                <w:color w:val="auto"/>
              </w:rPr>
            </w:pPr>
            <w:r>
              <w:rPr>
                <w:rFonts w:ascii="Arial" w:cs="Arial" w:eastAsia="Arial" w:hAnsi="Arial"/>
                <w:sz w:val="16"/>
                <w:szCs w:val="16"/>
                <w:color w:val="auto"/>
              </w:rPr>
              <w:t>-</w:t>
            </w:r>
          </w:p>
        </w:tc>
        <w:tc>
          <w:tcPr>
            <w:tcW w:w="420" w:type="dxa"/>
            <w:vAlign w:val="bottom"/>
            <w:vMerge w:val="restart"/>
          </w:tcPr>
          <w:p>
            <w:pPr>
              <w:jc w:val="right"/>
              <w:ind w:right="175"/>
              <w:spacing w:after="0"/>
              <w:rPr>
                <w:sz w:val="20"/>
                <w:szCs w:val="20"/>
                <w:color w:val="auto"/>
              </w:rPr>
            </w:pPr>
            <w:r>
              <w:rPr>
                <w:rFonts w:ascii="Arial" w:cs="Arial" w:eastAsia="Arial" w:hAnsi="Arial"/>
                <w:sz w:val="13"/>
                <w:szCs w:val="13"/>
                <w:i w:val="1"/>
                <w:iCs w:val="1"/>
                <w:color w:val="auto"/>
              </w:rPr>
              <w:t>(8)</w:t>
            </w:r>
          </w:p>
        </w:tc>
        <w:tc>
          <w:tcPr>
            <w:tcW w:w="1020" w:type="dxa"/>
            <w:vAlign w:val="bottom"/>
          </w:tcPr>
          <w:p>
            <w:pPr>
              <w:jc w:val="right"/>
              <w:spacing w:after="0" w:line="236" w:lineRule="exact"/>
              <w:rPr>
                <w:sz w:val="20"/>
                <w:szCs w:val="20"/>
                <w:color w:val="auto"/>
              </w:rPr>
            </w:pPr>
            <w:r>
              <w:rPr>
                <w:rFonts w:ascii="Arial" w:cs="Arial" w:eastAsia="Arial" w:hAnsi="Arial"/>
                <w:sz w:val="27"/>
                <w:szCs w:val="27"/>
                <w:color w:val="auto"/>
                <w:vertAlign w:val="subscript"/>
              </w:rPr>
              <w:t>57</w:t>
            </w:r>
            <w:r>
              <w:rPr>
                <w:rFonts w:ascii="Arial" w:cs="Arial" w:eastAsia="Arial" w:hAnsi="Arial"/>
                <w:sz w:val="12"/>
                <w:szCs w:val="12"/>
                <w:i w:val="1"/>
                <w:iCs w:val="1"/>
                <w:color w:val="auto"/>
              </w:rPr>
              <w:t xml:space="preserve"> (6)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80" w:type="dxa"/>
            <w:vAlign w:val="bottom"/>
          </w:tcPr>
          <w:p>
            <w:pPr>
              <w:ind w:left="240"/>
              <w:spacing w:after="0"/>
              <w:rPr>
                <w:sz w:val="20"/>
                <w:szCs w:val="20"/>
                <w:color w:val="auto"/>
              </w:rPr>
            </w:pPr>
            <w:r>
              <w:rPr>
                <w:rFonts w:ascii="Arial" w:cs="Arial" w:eastAsia="Arial" w:hAnsi="Arial"/>
                <w:sz w:val="16"/>
                <w:szCs w:val="16"/>
                <w:color w:val="auto"/>
              </w:rPr>
              <w:t>Cash</w:t>
            </w:r>
          </w:p>
        </w:tc>
        <w:tc>
          <w:tcPr>
            <w:tcW w:w="9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4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215"/>
              <w:spacing w:after="0"/>
              <w:rPr>
                <w:sz w:val="20"/>
                <w:szCs w:val="20"/>
                <w:color w:val="auto"/>
              </w:rPr>
            </w:pPr>
            <w:r>
              <w:rPr>
                <w:rFonts w:ascii="Arial" w:cs="Arial" w:eastAsia="Arial" w:hAnsi="Arial"/>
                <w:sz w:val="16"/>
                <w:szCs w:val="16"/>
                <w:color w:val="auto"/>
              </w:rPr>
              <w:t>25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4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jc w:val="right"/>
              <w:ind w:right="267"/>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80" w:type="dxa"/>
            <w:vAlign w:val="bottom"/>
          </w:tcPr>
          <w:p>
            <w:pPr>
              <w:spacing w:after="0"/>
              <w:rPr>
                <w:sz w:val="20"/>
                <w:szCs w:val="20"/>
                <w:color w:val="auto"/>
              </w:rPr>
            </w:pPr>
            <w:r>
              <w:rPr>
                <w:rFonts w:ascii="Arial" w:cs="Arial" w:eastAsia="Arial" w:hAnsi="Arial"/>
                <w:sz w:val="16"/>
                <w:szCs w:val="16"/>
                <w:color w:val="auto"/>
              </w:rPr>
              <w:t>Total at fair value</w:t>
            </w:r>
          </w:p>
        </w:tc>
        <w:tc>
          <w:tcPr>
            <w:tcW w:w="98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12,342</w:t>
            </w:r>
          </w:p>
        </w:tc>
        <w:tc>
          <w:tcPr>
            <w:tcW w:w="42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Arial" w:cs="Arial" w:eastAsia="Arial" w:hAnsi="Arial"/>
                <w:sz w:val="16"/>
                <w:szCs w:val="16"/>
                <w:color w:val="auto"/>
              </w:rPr>
              <w:t>562</w:t>
            </w:r>
          </w:p>
        </w:tc>
        <w:tc>
          <w:tcPr>
            <w:tcW w:w="2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12,904</w:t>
            </w:r>
          </w:p>
        </w:tc>
        <w:tc>
          <w:tcPr>
            <w:tcW w:w="1520" w:type="dxa"/>
            <w:vAlign w:val="bottom"/>
            <w:gridSpan w:val="2"/>
          </w:tcPr>
          <w:p>
            <w:pPr>
              <w:jc w:val="right"/>
              <w:ind w:right="215"/>
              <w:spacing w:after="0"/>
              <w:rPr>
                <w:sz w:val="20"/>
                <w:szCs w:val="20"/>
                <w:color w:val="auto"/>
              </w:rPr>
            </w:pPr>
            <w:r>
              <w:rPr>
                <w:rFonts w:ascii="Arial" w:cs="Arial" w:eastAsia="Arial" w:hAnsi="Arial"/>
                <w:sz w:val="16"/>
                <w:szCs w:val="16"/>
                <w:color w:val="auto"/>
              </w:rPr>
              <w:t>503</w:t>
            </w:r>
          </w:p>
        </w:tc>
        <w:tc>
          <w:tcPr>
            <w:tcW w:w="980" w:type="dxa"/>
            <w:vAlign w:val="bottom"/>
          </w:tcPr>
          <w:p>
            <w:pPr>
              <w:jc w:val="right"/>
              <w:spacing w:after="0"/>
              <w:rPr>
                <w:sz w:val="20"/>
                <w:szCs w:val="20"/>
                <w:color w:val="auto"/>
              </w:rPr>
            </w:pPr>
            <w:r>
              <w:rPr>
                <w:rFonts w:ascii="Arial" w:cs="Arial" w:eastAsia="Arial" w:hAnsi="Arial"/>
                <w:sz w:val="16"/>
                <w:szCs w:val="16"/>
                <w:color w:val="auto"/>
              </w:rPr>
              <w:t>18,973</w:t>
            </w:r>
          </w:p>
        </w:tc>
        <w:tc>
          <w:tcPr>
            <w:tcW w:w="420" w:type="dxa"/>
            <w:vAlign w:val="bottom"/>
          </w:tcPr>
          <w:p>
            <w:pPr>
              <w:spacing w:after="0"/>
              <w:rPr>
                <w:sz w:val="18"/>
                <w:szCs w:val="18"/>
                <w:color w:val="auto"/>
              </w:rPr>
            </w:pPr>
          </w:p>
        </w:tc>
        <w:tc>
          <w:tcPr>
            <w:tcW w:w="1020" w:type="dxa"/>
            <w:vAlign w:val="bottom"/>
          </w:tcPr>
          <w:p>
            <w:pPr>
              <w:jc w:val="right"/>
              <w:ind w:right="147"/>
              <w:spacing w:after="0"/>
              <w:rPr>
                <w:sz w:val="20"/>
                <w:szCs w:val="20"/>
                <w:color w:val="auto"/>
              </w:rPr>
            </w:pPr>
            <w:r>
              <w:rPr>
                <w:rFonts w:ascii="Arial" w:cs="Arial" w:eastAsia="Arial" w:hAnsi="Arial"/>
                <w:sz w:val="16"/>
                <w:szCs w:val="16"/>
                <w:color w:val="auto"/>
              </w:rPr>
              <w:t>592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80" w:type="dxa"/>
            <w:vAlign w:val="bottom"/>
          </w:tcPr>
          <w:p>
            <w:pPr>
              <w:ind w:left="240"/>
              <w:spacing w:after="0"/>
              <w:rPr>
                <w:sz w:val="20"/>
                <w:szCs w:val="20"/>
                <w:color w:val="auto"/>
              </w:rPr>
            </w:pPr>
            <w:r>
              <w:rPr>
                <w:rFonts w:ascii="Arial" w:cs="Arial" w:eastAsia="Arial" w:hAnsi="Arial"/>
                <w:sz w:val="16"/>
                <w:szCs w:val="16"/>
                <w:color w:val="auto"/>
              </w:rPr>
              <w:t>Insurance contracts</w:t>
            </w:r>
          </w:p>
        </w:tc>
        <w:tc>
          <w:tcPr>
            <w:tcW w:w="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80" w:type="dxa"/>
            <w:vAlign w:val="bottom"/>
          </w:tcPr>
          <w:p>
            <w:pPr>
              <w:ind w:left="480"/>
              <w:spacing w:after="0"/>
              <w:rPr>
                <w:sz w:val="20"/>
                <w:szCs w:val="20"/>
                <w:color w:val="auto"/>
              </w:rPr>
            </w:pPr>
            <w:r>
              <w:rPr>
                <w:rFonts w:ascii="Arial" w:cs="Arial" w:eastAsia="Arial" w:hAnsi="Arial"/>
                <w:sz w:val="16"/>
                <w:szCs w:val="16"/>
                <w:color w:val="auto"/>
              </w:rPr>
              <w:t>at contract value</w:t>
            </w:r>
          </w:p>
        </w:tc>
        <w:tc>
          <w:tcPr>
            <w:tcW w:w="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80" w:type="dxa"/>
            <w:vAlign w:val="bottom"/>
          </w:tcPr>
          <w:p>
            <w:pPr>
              <w:spacing w:after="0"/>
              <w:rPr>
                <w:sz w:val="20"/>
                <w:szCs w:val="20"/>
                <w:color w:val="auto"/>
              </w:rPr>
            </w:pPr>
            <w:r>
              <w:rPr>
                <w:rFonts w:ascii="Arial" w:cs="Arial" w:eastAsia="Arial" w:hAnsi="Arial"/>
                <w:sz w:val="16"/>
                <w:szCs w:val="16"/>
                <w:color w:val="auto"/>
              </w:rPr>
              <w:t>Total plan assets</w:t>
            </w: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12,915</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300" w:right="80" w:hanging="294"/>
        <w:spacing w:after="0" w:line="286" w:lineRule="auto"/>
        <w:tabs>
          <w:tab w:leader="none" w:pos="336"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For U.S. and non-U.S. equity securities held in the form of fund units that are redeemable at the measurement date, the unit value is treated as a Level 2 input. value of the securities owned by the funds is based on observable quoted prices on active exchanges, which are Level 1 inputs.</w:t>
      </w:r>
    </w:p>
    <w:p>
      <w:pPr>
        <w:spacing w:after="0" w:line="2" w:lineRule="exact"/>
        <w:rPr>
          <w:rFonts w:ascii="Arial" w:cs="Arial" w:eastAsia="Arial" w:hAnsi="Arial"/>
          <w:sz w:val="16"/>
          <w:szCs w:val="16"/>
          <w:i w:val="1"/>
          <w:iCs w:val="1"/>
          <w:color w:val="auto"/>
        </w:rPr>
      </w:pPr>
    </w:p>
    <w:p>
      <w:pPr>
        <w:ind w:left="320" w:hanging="314"/>
        <w:spacing w:after="0"/>
        <w:tabs>
          <w:tab w:leader="none" w:pos="32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For non-U.S. equity securities held in separate accounts, fair value is based on observable quoted prices on active exchanges.</w:t>
      </w:r>
    </w:p>
    <w:p>
      <w:pPr>
        <w:spacing w:after="0" w:line="61" w:lineRule="exact"/>
        <w:rPr>
          <w:rFonts w:ascii="Arial" w:cs="Arial" w:eastAsia="Arial" w:hAnsi="Arial"/>
          <w:sz w:val="16"/>
          <w:szCs w:val="16"/>
          <w:i w:val="1"/>
          <w:iCs w:val="1"/>
          <w:color w:val="auto"/>
        </w:rPr>
      </w:pPr>
    </w:p>
    <w:p>
      <w:pPr>
        <w:ind w:left="320" w:hanging="314"/>
        <w:spacing w:after="0"/>
        <w:tabs>
          <w:tab w:leader="none" w:pos="320" w:val="left"/>
        </w:tabs>
        <w:numPr>
          <w:ilvl w:val="0"/>
          <w:numId w:val="32"/>
        </w:numPr>
        <w:rPr>
          <w:rFonts w:ascii="Arial" w:cs="Arial" w:eastAsia="Arial" w:hAnsi="Arial"/>
          <w:sz w:val="15"/>
          <w:szCs w:val="15"/>
          <w:i w:val="1"/>
          <w:iCs w:val="1"/>
          <w:color w:val="auto"/>
        </w:rPr>
      </w:pPr>
      <w:r>
        <w:rPr>
          <w:rFonts w:ascii="Arial" w:cs="Arial" w:eastAsia="Arial" w:hAnsi="Arial"/>
          <w:sz w:val="15"/>
          <w:szCs w:val="15"/>
          <w:i w:val="1"/>
          <w:iCs w:val="1"/>
          <w:color w:val="auto"/>
        </w:rPr>
        <w:t>For private equity, fair value is generally established by using revenue or earnings multiples or other relevant market data including Initial Public Offerings.</w:t>
      </w:r>
    </w:p>
    <w:p>
      <w:pPr>
        <w:spacing w:after="0" w:line="72" w:lineRule="exact"/>
        <w:rPr>
          <w:rFonts w:ascii="Arial" w:cs="Arial" w:eastAsia="Arial" w:hAnsi="Arial"/>
          <w:sz w:val="15"/>
          <w:szCs w:val="15"/>
          <w:i w:val="1"/>
          <w:iCs w:val="1"/>
          <w:color w:val="auto"/>
        </w:rPr>
      </w:pPr>
    </w:p>
    <w:p>
      <w:pPr>
        <w:ind w:left="320" w:hanging="314"/>
        <w:spacing w:after="0"/>
        <w:tabs>
          <w:tab w:leader="none" w:pos="32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For corporate, government and asset-backed debt securities, fair value is based on observable inputs of comparable market transactions.</w:t>
      </w:r>
    </w:p>
    <w:p>
      <w:pPr>
        <w:spacing w:after="0" w:line="61" w:lineRule="exact"/>
        <w:rPr>
          <w:rFonts w:ascii="Arial" w:cs="Arial" w:eastAsia="Arial" w:hAnsi="Arial"/>
          <w:sz w:val="16"/>
          <w:szCs w:val="16"/>
          <w:i w:val="1"/>
          <w:iCs w:val="1"/>
          <w:color w:val="auto"/>
        </w:rPr>
      </w:pPr>
    </w:p>
    <w:p>
      <w:pPr>
        <w:ind w:left="320" w:hanging="314"/>
        <w:spacing w:after="0"/>
        <w:tabs>
          <w:tab w:leader="none" w:pos="32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For corporate and government debt securities that are traded on active exchanges, fair value is based on observable quoted prices.</w:t>
      </w:r>
    </w:p>
    <w:p>
      <w:pPr>
        <w:spacing w:after="0" w:line="61" w:lineRule="exact"/>
        <w:rPr>
          <w:rFonts w:ascii="Arial" w:cs="Arial" w:eastAsia="Arial" w:hAnsi="Arial"/>
          <w:sz w:val="16"/>
          <w:szCs w:val="16"/>
          <w:i w:val="1"/>
          <w:iCs w:val="1"/>
          <w:color w:val="auto"/>
        </w:rPr>
      </w:pPr>
    </w:p>
    <w:p>
      <w:pPr>
        <w:ind w:left="320" w:hanging="314"/>
        <w:spacing w:after="0"/>
        <w:tabs>
          <w:tab w:leader="none" w:pos="32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For real estate funds, fair value is based on appraised values developed using comparable market transactions.</w:t>
      </w:r>
    </w:p>
    <w:p>
      <w:pPr>
        <w:spacing w:after="0" w:line="61" w:lineRule="exact"/>
        <w:rPr>
          <w:rFonts w:ascii="Arial" w:cs="Arial" w:eastAsia="Arial" w:hAnsi="Arial"/>
          <w:sz w:val="16"/>
          <w:szCs w:val="16"/>
          <w:i w:val="1"/>
          <w:iCs w:val="1"/>
          <w:color w:val="auto"/>
        </w:rPr>
      </w:pPr>
    </w:p>
    <w:p>
      <w:pPr>
        <w:ind w:left="320" w:hanging="314"/>
        <w:spacing w:after="0"/>
        <w:tabs>
          <w:tab w:leader="none" w:pos="32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For cash balances held in the form of short-term fund units that are redeemable at the measurement date, the fair value is treated as a Level 2 input.</w:t>
      </w:r>
    </w:p>
    <w:p>
      <w:pPr>
        <w:spacing w:after="0" w:line="61" w:lineRule="exact"/>
        <w:rPr>
          <w:rFonts w:ascii="Arial" w:cs="Arial" w:eastAsia="Arial" w:hAnsi="Arial"/>
          <w:sz w:val="16"/>
          <w:szCs w:val="16"/>
          <w:i w:val="1"/>
          <w:iCs w:val="1"/>
          <w:color w:val="auto"/>
        </w:rPr>
      </w:pPr>
    </w:p>
    <w:p>
      <w:pPr>
        <w:ind w:left="320" w:hanging="314"/>
        <w:spacing w:after="0"/>
        <w:tabs>
          <w:tab w:leader="none" w:pos="32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For cash balances that are subject to withdrawal penalties or other adjustments, the fair value is treated as a Level 2 input.</w:t>
      </w:r>
    </w:p>
    <w:p>
      <w:pPr>
        <w:spacing w:after="0" w:line="282"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89" w:name="page90"/>
    <w:bookmarkEnd w:id="89"/>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155"/>
        </w:trPr>
        <w:tc>
          <w:tcPr>
            <w:tcW w:w="5280" w:type="dxa"/>
            <w:vAlign w:val="bottom"/>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2"/>
          </w:tcPr>
          <w:p>
            <w:pPr>
              <w:jc w:val="right"/>
              <w:ind w:right="115"/>
              <w:spacing w:after="0"/>
              <w:rPr>
                <w:sz w:val="20"/>
                <w:szCs w:val="20"/>
                <w:color w:val="auto"/>
              </w:rPr>
            </w:pPr>
            <w:r>
              <w:rPr>
                <w:rFonts w:ascii="Arial" w:cs="Arial" w:eastAsia="Arial" w:hAnsi="Arial"/>
                <w:sz w:val="13"/>
                <w:szCs w:val="13"/>
                <w:b w:val="1"/>
                <w:bCs w:val="1"/>
                <w:color w:val="auto"/>
              </w:rPr>
              <w:t>Other Postretirement</w:t>
            </w:r>
          </w:p>
        </w:tc>
        <w:tc>
          <w:tcPr>
            <w:tcW w:w="12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Fair Value Measurement</w:t>
            </w: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28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2"/>
          </w:tcPr>
          <w:p>
            <w:pPr>
              <w:jc w:val="right"/>
              <w:ind w:right="415"/>
              <w:spacing w:after="0"/>
              <w:rPr>
                <w:sz w:val="20"/>
                <w:szCs w:val="20"/>
                <w:color w:val="auto"/>
              </w:rPr>
            </w:pPr>
            <w:r>
              <w:rPr>
                <w:rFonts w:ascii="Arial" w:cs="Arial" w:eastAsia="Arial" w:hAnsi="Arial"/>
                <w:sz w:val="13"/>
                <w:szCs w:val="13"/>
                <w:b w:val="1"/>
                <w:bCs w:val="1"/>
                <w:color w:val="auto"/>
              </w:rPr>
              <w:t>at December 31, 2014, Using:</w:t>
            </w:r>
          </w:p>
        </w:tc>
        <w:tc>
          <w:tcPr>
            <w:tcW w:w="128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5280" w:type="dxa"/>
            <w:vAlign w:val="bottom"/>
          </w:tcPr>
          <w:p>
            <w:pPr>
              <w:spacing w:after="0"/>
              <w:rPr>
                <w:sz w:val="14"/>
                <w:szCs w:val="14"/>
                <w:color w:val="auto"/>
              </w:rPr>
            </w:pPr>
          </w:p>
        </w:tc>
        <w:tc>
          <w:tcPr>
            <w:tcW w:w="1540" w:type="dxa"/>
            <w:vAlign w:val="bottom"/>
          </w:tcPr>
          <w:p>
            <w:pPr>
              <w:jc w:val="center"/>
              <w:ind w:left="326"/>
              <w:spacing w:after="0"/>
              <w:rPr>
                <w:sz w:val="20"/>
                <w:szCs w:val="20"/>
                <w:color w:val="auto"/>
              </w:rPr>
            </w:pPr>
            <w:r>
              <w:rPr>
                <w:rFonts w:ascii="Arial" w:cs="Arial" w:eastAsia="Arial" w:hAnsi="Arial"/>
                <w:sz w:val="13"/>
                <w:szCs w:val="13"/>
                <w:b w:val="1"/>
                <w:bCs w:val="1"/>
                <w:color w:val="auto"/>
                <w:w w:val="92"/>
              </w:rPr>
              <w:t>Quoted</w:t>
            </w: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1540" w:type="dxa"/>
            <w:vAlign w:val="bottom"/>
          </w:tcPr>
          <w:p>
            <w:pPr>
              <w:jc w:val="center"/>
              <w:ind w:left="326"/>
              <w:spacing w:after="0"/>
              <w:rPr>
                <w:sz w:val="20"/>
                <w:szCs w:val="20"/>
                <w:color w:val="auto"/>
              </w:rPr>
            </w:pPr>
            <w:r>
              <w:rPr>
                <w:rFonts w:ascii="Arial" w:cs="Arial" w:eastAsia="Arial" w:hAnsi="Arial"/>
                <w:sz w:val="13"/>
                <w:szCs w:val="13"/>
                <w:b w:val="1"/>
                <w:bCs w:val="1"/>
                <w:color w:val="auto"/>
                <w:w w:val="86"/>
              </w:rPr>
              <w:t>Prices</w:t>
            </w: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1540" w:type="dxa"/>
            <w:vAlign w:val="bottom"/>
          </w:tcPr>
          <w:p>
            <w:pPr>
              <w:jc w:val="center"/>
              <w:ind w:left="326"/>
              <w:spacing w:after="0"/>
              <w:rPr>
                <w:sz w:val="20"/>
                <w:szCs w:val="20"/>
                <w:color w:val="auto"/>
              </w:rPr>
            </w:pPr>
            <w:r>
              <w:rPr>
                <w:rFonts w:ascii="Arial" w:cs="Arial" w:eastAsia="Arial" w:hAnsi="Arial"/>
                <w:sz w:val="13"/>
                <w:szCs w:val="13"/>
                <w:b w:val="1"/>
                <w:bCs w:val="1"/>
                <w:color w:val="auto"/>
                <w:w w:val="92"/>
              </w:rPr>
              <w:t>in Active</w:t>
            </w:r>
          </w:p>
        </w:tc>
        <w:tc>
          <w:tcPr>
            <w:tcW w:w="23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Significant</w:t>
            </w: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1540" w:type="dxa"/>
            <w:vAlign w:val="bottom"/>
          </w:tcPr>
          <w:p>
            <w:pPr>
              <w:jc w:val="center"/>
              <w:ind w:left="346"/>
              <w:spacing w:after="0"/>
              <w:rPr>
                <w:sz w:val="20"/>
                <w:szCs w:val="20"/>
                <w:color w:val="auto"/>
              </w:rPr>
            </w:pPr>
            <w:r>
              <w:rPr>
                <w:rFonts w:ascii="Arial" w:cs="Arial" w:eastAsia="Arial" w:hAnsi="Arial"/>
                <w:sz w:val="13"/>
                <w:szCs w:val="13"/>
                <w:b w:val="1"/>
                <w:bCs w:val="1"/>
                <w:color w:val="auto"/>
                <w:w w:val="96"/>
              </w:rPr>
              <w:t>Markets for</w:t>
            </w:r>
          </w:p>
        </w:tc>
        <w:tc>
          <w:tcPr>
            <w:tcW w:w="1360" w:type="dxa"/>
            <w:vAlign w:val="bottom"/>
          </w:tcPr>
          <w:p>
            <w:pPr>
              <w:jc w:val="center"/>
              <w:ind w:left="887"/>
              <w:spacing w:after="0"/>
              <w:rPr>
                <w:sz w:val="20"/>
                <w:szCs w:val="20"/>
                <w:color w:val="auto"/>
              </w:rPr>
            </w:pPr>
            <w:r>
              <w:rPr>
                <w:rFonts w:ascii="Arial" w:cs="Arial" w:eastAsia="Arial" w:hAnsi="Arial"/>
                <w:sz w:val="13"/>
                <w:szCs w:val="13"/>
                <w:b w:val="1"/>
                <w:bCs w:val="1"/>
                <w:color w:val="auto"/>
                <w:w w:val="92"/>
              </w:rPr>
              <w:t>Other</w:t>
            </w:r>
          </w:p>
        </w:tc>
        <w:tc>
          <w:tcPr>
            <w:tcW w:w="960" w:type="dxa"/>
            <w:vAlign w:val="bottom"/>
          </w:tcPr>
          <w:p>
            <w:pPr>
              <w:spacing w:after="0"/>
              <w:rPr>
                <w:sz w:val="17"/>
                <w:szCs w:val="17"/>
                <w:color w:val="auto"/>
              </w:rPr>
            </w:pPr>
          </w:p>
        </w:tc>
        <w:tc>
          <w:tcPr>
            <w:tcW w:w="1800" w:type="dxa"/>
            <w:vAlign w:val="bottom"/>
            <w:gridSpan w:val="2"/>
          </w:tcPr>
          <w:p>
            <w:pPr>
              <w:jc w:val="center"/>
              <w:ind w:right="720"/>
              <w:spacing w:after="0"/>
              <w:rPr>
                <w:sz w:val="20"/>
                <w:szCs w:val="20"/>
                <w:color w:val="auto"/>
              </w:rPr>
            </w:pPr>
            <w:r>
              <w:rPr>
                <w:rFonts w:ascii="Arial" w:cs="Arial" w:eastAsia="Arial" w:hAnsi="Arial"/>
                <w:sz w:val="13"/>
                <w:szCs w:val="13"/>
                <w:b w:val="1"/>
                <w:bCs w:val="1"/>
                <w:color w:val="auto"/>
                <w:w w:val="90"/>
              </w:rPr>
              <w:t>Significant</w:t>
            </w: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1540" w:type="dxa"/>
            <w:vAlign w:val="bottom"/>
          </w:tcPr>
          <w:p>
            <w:pPr>
              <w:jc w:val="center"/>
              <w:ind w:left="326"/>
              <w:spacing w:after="0"/>
              <w:rPr>
                <w:sz w:val="20"/>
                <w:szCs w:val="20"/>
                <w:color w:val="auto"/>
              </w:rPr>
            </w:pPr>
            <w:r>
              <w:rPr>
                <w:rFonts w:ascii="Arial" w:cs="Arial" w:eastAsia="Arial" w:hAnsi="Arial"/>
                <w:sz w:val="13"/>
                <w:szCs w:val="13"/>
                <w:b w:val="1"/>
                <w:bCs w:val="1"/>
                <w:color w:val="auto"/>
                <w:w w:val="94"/>
              </w:rPr>
              <w:t>Identical</w:t>
            </w:r>
          </w:p>
        </w:tc>
        <w:tc>
          <w:tcPr>
            <w:tcW w:w="23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Observable</w:t>
            </w:r>
          </w:p>
        </w:tc>
        <w:tc>
          <w:tcPr>
            <w:tcW w:w="180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0"/>
              </w:rPr>
              <w:t>Unobservable</w:t>
            </w: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1540" w:type="dxa"/>
            <w:vAlign w:val="bottom"/>
          </w:tcPr>
          <w:p>
            <w:pPr>
              <w:jc w:val="center"/>
              <w:ind w:left="326"/>
              <w:spacing w:after="0"/>
              <w:rPr>
                <w:sz w:val="20"/>
                <w:szCs w:val="20"/>
                <w:color w:val="auto"/>
              </w:rPr>
            </w:pPr>
            <w:r>
              <w:rPr>
                <w:rFonts w:ascii="Arial" w:cs="Arial" w:eastAsia="Arial" w:hAnsi="Arial"/>
                <w:sz w:val="13"/>
                <w:szCs w:val="13"/>
                <w:b w:val="1"/>
                <w:bCs w:val="1"/>
                <w:color w:val="auto"/>
                <w:w w:val="79"/>
              </w:rPr>
              <w:t>Assets</w:t>
            </w:r>
          </w:p>
        </w:tc>
        <w:tc>
          <w:tcPr>
            <w:tcW w:w="1360" w:type="dxa"/>
            <w:vAlign w:val="bottom"/>
          </w:tcPr>
          <w:p>
            <w:pPr>
              <w:jc w:val="center"/>
              <w:ind w:left="887"/>
              <w:spacing w:after="0"/>
              <w:rPr>
                <w:sz w:val="20"/>
                <w:szCs w:val="20"/>
                <w:color w:val="auto"/>
              </w:rPr>
            </w:pPr>
            <w:r>
              <w:rPr>
                <w:rFonts w:ascii="Arial" w:cs="Arial" w:eastAsia="Arial" w:hAnsi="Arial"/>
                <w:sz w:val="13"/>
                <w:szCs w:val="13"/>
                <w:b w:val="1"/>
                <w:bCs w:val="1"/>
                <w:color w:val="auto"/>
                <w:w w:val="92"/>
              </w:rPr>
              <w:t>Inputs</w:t>
            </w:r>
          </w:p>
        </w:tc>
        <w:tc>
          <w:tcPr>
            <w:tcW w:w="960" w:type="dxa"/>
            <w:vAlign w:val="bottom"/>
          </w:tcPr>
          <w:p>
            <w:pPr>
              <w:spacing w:after="0"/>
              <w:rPr>
                <w:sz w:val="17"/>
                <w:szCs w:val="17"/>
                <w:color w:val="auto"/>
              </w:rPr>
            </w:pPr>
          </w:p>
        </w:tc>
        <w:tc>
          <w:tcPr>
            <w:tcW w:w="1800" w:type="dxa"/>
            <w:vAlign w:val="bottom"/>
            <w:gridSpan w:val="2"/>
          </w:tcPr>
          <w:p>
            <w:pPr>
              <w:jc w:val="center"/>
              <w:ind w:right="720"/>
              <w:spacing w:after="0"/>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1540" w:type="dxa"/>
            <w:vAlign w:val="bottom"/>
          </w:tcPr>
          <w:p>
            <w:pPr>
              <w:jc w:val="center"/>
              <w:ind w:left="346"/>
              <w:spacing w:after="0"/>
              <w:rPr>
                <w:sz w:val="20"/>
                <w:szCs w:val="20"/>
                <w:color w:val="auto"/>
              </w:rPr>
            </w:pPr>
            <w:r>
              <w:rPr>
                <w:rFonts w:ascii="Arial" w:cs="Arial" w:eastAsia="Arial" w:hAnsi="Arial"/>
                <w:sz w:val="13"/>
                <w:szCs w:val="13"/>
                <w:b w:val="1"/>
                <w:bCs w:val="1"/>
                <w:color w:val="auto"/>
                <w:w w:val="90"/>
              </w:rPr>
              <w:t>(Level 1)</w:t>
            </w:r>
          </w:p>
        </w:tc>
        <w:tc>
          <w:tcPr>
            <w:tcW w:w="23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(Level 2)</w:t>
            </w:r>
          </w:p>
        </w:tc>
        <w:tc>
          <w:tcPr>
            <w:tcW w:w="180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4"/>
              </w:rPr>
              <w:t>(Level 3)</w:t>
            </w:r>
          </w:p>
        </w:tc>
        <w:tc>
          <w:tcPr>
            <w:tcW w:w="0" w:type="dxa"/>
            <w:vAlign w:val="bottom"/>
          </w:tcPr>
          <w:p>
            <w:pPr>
              <w:spacing w:after="0"/>
              <w:rPr>
                <w:sz w:val="1"/>
                <w:szCs w:val="1"/>
                <w:color w:val="auto"/>
              </w:rPr>
            </w:pPr>
          </w:p>
        </w:tc>
      </w:tr>
      <w:tr>
        <w:trPr>
          <w:trHeight w:val="23"/>
        </w:trPr>
        <w:tc>
          <w:tcPr>
            <w:tcW w:w="5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5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20" w:type="dxa"/>
            <w:vAlign w:val="bottom"/>
            <w:gridSpan w:val="2"/>
          </w:tcPr>
          <w:p>
            <w:pPr>
              <w:jc w:val="right"/>
              <w:ind w:right="75"/>
              <w:spacing w:after="0"/>
              <w:rPr>
                <w:sz w:val="20"/>
                <w:szCs w:val="20"/>
                <w:color w:val="auto"/>
              </w:rPr>
            </w:pPr>
            <w:r>
              <w:rPr>
                <w:rFonts w:ascii="Arial" w:cs="Arial" w:eastAsia="Arial" w:hAnsi="Arial"/>
                <w:sz w:val="13"/>
                <w:szCs w:val="13"/>
                <w:i w:val="1"/>
                <w:iCs w:val="1"/>
                <w:color w:val="auto"/>
              </w:rPr>
              <w:t>(millions of dollars)</w:t>
            </w: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280" w:type="dxa"/>
            <w:vAlign w:val="bottom"/>
          </w:tcPr>
          <w:p>
            <w:pPr>
              <w:spacing w:after="0"/>
              <w:rPr>
                <w:sz w:val="20"/>
                <w:szCs w:val="20"/>
                <w:color w:val="auto"/>
              </w:rPr>
            </w:pPr>
            <w:r>
              <w:rPr>
                <w:rFonts w:ascii="Arial" w:cs="Arial" w:eastAsia="Arial" w:hAnsi="Arial"/>
                <w:sz w:val="16"/>
                <w:szCs w:val="16"/>
                <w:color w:val="auto"/>
              </w:rPr>
              <w:t>Asset category:</w:t>
            </w: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80" w:type="dxa"/>
            <w:vAlign w:val="bottom"/>
          </w:tcPr>
          <w:p>
            <w:pPr>
              <w:ind w:left="240"/>
              <w:spacing w:after="0"/>
              <w:rPr>
                <w:sz w:val="20"/>
                <w:szCs w:val="20"/>
                <w:color w:val="auto"/>
              </w:rPr>
            </w:pPr>
            <w:r>
              <w:rPr>
                <w:rFonts w:ascii="Arial" w:cs="Arial" w:eastAsia="Arial" w:hAnsi="Arial"/>
                <w:sz w:val="16"/>
                <w:szCs w:val="16"/>
                <w:color w:val="auto"/>
              </w:rPr>
              <w:t>Equity securities</w:t>
            </w: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vMerge w:val="restart"/>
          </w:tcPr>
          <w:p>
            <w:pPr>
              <w:jc w:val="right"/>
              <w:ind w:right="735"/>
              <w:spacing w:after="0"/>
              <w:rPr>
                <w:sz w:val="20"/>
                <w:szCs w:val="20"/>
                <w:color w:val="auto"/>
              </w:rPr>
            </w:pPr>
            <w:r>
              <w:rPr>
                <w:rFonts w:ascii="Arial" w:cs="Arial" w:eastAsia="Arial" w:hAnsi="Arial"/>
                <w:sz w:val="13"/>
                <w:szCs w:val="13"/>
                <w:i w:val="1"/>
                <w:iCs w:val="1"/>
                <w:color w:val="auto"/>
                <w:w w:val="87"/>
              </w:rPr>
              <w:t>(1)</w:t>
            </w: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80" w:type="dxa"/>
            <w:vAlign w:val="bottom"/>
          </w:tcPr>
          <w:p>
            <w:pPr>
              <w:ind w:left="480"/>
              <w:spacing w:after="0"/>
              <w:rPr>
                <w:sz w:val="20"/>
                <w:szCs w:val="20"/>
                <w:color w:val="auto"/>
              </w:rPr>
            </w:pPr>
            <w:r>
              <w:rPr>
                <w:rFonts w:ascii="Arial" w:cs="Arial" w:eastAsia="Arial" w:hAnsi="Arial"/>
                <w:sz w:val="16"/>
                <w:szCs w:val="16"/>
                <w:color w:val="auto"/>
              </w:rPr>
              <w:t>U.S.</w:t>
            </w:r>
          </w:p>
        </w:tc>
        <w:tc>
          <w:tcPr>
            <w:tcW w:w="1540" w:type="dxa"/>
            <w:vAlign w:val="bottom"/>
          </w:tcPr>
          <w:p>
            <w:pPr>
              <w:jc w:val="center"/>
              <w:ind w:left="366"/>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7"/>
              <w:spacing w:after="0"/>
              <w:rPr>
                <w:sz w:val="20"/>
                <w:szCs w:val="20"/>
                <w:color w:val="auto"/>
              </w:rPr>
            </w:pPr>
            <w:r>
              <w:rPr>
                <w:rFonts w:ascii="Arial" w:cs="Arial" w:eastAsia="Arial" w:hAnsi="Arial"/>
                <w:sz w:val="16"/>
                <w:szCs w:val="16"/>
                <w:color w:val="auto"/>
              </w:rPr>
              <w:t>106</w:t>
            </w:r>
          </w:p>
        </w:tc>
        <w:tc>
          <w:tcPr>
            <w:tcW w:w="960" w:type="dxa"/>
            <w:vAlign w:val="bottom"/>
            <w:vMerge w:val="continue"/>
          </w:tcPr>
          <w:p>
            <w:pPr>
              <w:spacing w:after="0"/>
              <w:rPr>
                <w:sz w:val="17"/>
                <w:szCs w:val="17"/>
                <w:color w:val="auto"/>
              </w:rPr>
            </w:pPr>
          </w:p>
        </w:tc>
        <w:tc>
          <w:tcPr>
            <w:tcW w:w="1280" w:type="dxa"/>
            <w:vAlign w:val="bottom"/>
          </w:tcPr>
          <w:p>
            <w:pPr>
              <w:jc w:val="center"/>
              <w:ind w:right="86"/>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280" w:type="dxa"/>
            <w:vAlign w:val="bottom"/>
          </w:tcPr>
          <w:p>
            <w:pPr>
              <w:ind w:left="480"/>
              <w:spacing w:after="0"/>
              <w:rPr>
                <w:sz w:val="20"/>
                <w:szCs w:val="20"/>
                <w:color w:val="auto"/>
              </w:rPr>
            </w:pPr>
            <w:r>
              <w:rPr>
                <w:rFonts w:ascii="Arial" w:cs="Arial" w:eastAsia="Arial" w:hAnsi="Arial"/>
                <w:sz w:val="16"/>
                <w:szCs w:val="16"/>
                <w:color w:val="auto"/>
              </w:rPr>
              <w:t>Non-U.S.</w:t>
            </w:r>
          </w:p>
        </w:tc>
        <w:tc>
          <w:tcPr>
            <w:tcW w:w="1540" w:type="dxa"/>
            <w:vAlign w:val="bottom"/>
          </w:tcPr>
          <w:p>
            <w:pPr>
              <w:jc w:val="center"/>
              <w:ind w:left="366"/>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7"/>
              <w:spacing w:after="0"/>
              <w:rPr>
                <w:sz w:val="20"/>
                <w:szCs w:val="20"/>
                <w:color w:val="auto"/>
              </w:rPr>
            </w:pPr>
            <w:r>
              <w:rPr>
                <w:rFonts w:ascii="Arial" w:cs="Arial" w:eastAsia="Arial" w:hAnsi="Arial"/>
                <w:sz w:val="16"/>
                <w:szCs w:val="16"/>
                <w:color w:val="auto"/>
              </w:rPr>
              <w:t>75</w:t>
            </w:r>
          </w:p>
        </w:tc>
        <w:tc>
          <w:tcPr>
            <w:tcW w:w="960" w:type="dxa"/>
            <w:vAlign w:val="bottom"/>
          </w:tcPr>
          <w:p>
            <w:pPr>
              <w:jc w:val="right"/>
              <w:ind w:right="735"/>
              <w:spacing w:after="0"/>
              <w:rPr>
                <w:sz w:val="20"/>
                <w:szCs w:val="20"/>
                <w:color w:val="auto"/>
              </w:rPr>
            </w:pPr>
            <w:r>
              <w:rPr>
                <w:rFonts w:ascii="Arial" w:cs="Arial" w:eastAsia="Arial" w:hAnsi="Arial"/>
                <w:sz w:val="13"/>
                <w:szCs w:val="13"/>
                <w:i w:val="1"/>
                <w:iCs w:val="1"/>
                <w:color w:val="auto"/>
                <w:w w:val="87"/>
              </w:rPr>
              <w:t>(1)</w:t>
            </w:r>
          </w:p>
        </w:tc>
        <w:tc>
          <w:tcPr>
            <w:tcW w:w="1280" w:type="dxa"/>
            <w:vAlign w:val="bottom"/>
          </w:tcPr>
          <w:p>
            <w:pPr>
              <w:jc w:val="center"/>
              <w:ind w:right="86"/>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280" w:type="dxa"/>
            <w:vAlign w:val="bottom"/>
          </w:tcPr>
          <w:p>
            <w:pPr>
              <w:ind w:left="240"/>
              <w:spacing w:after="0"/>
              <w:rPr>
                <w:sz w:val="20"/>
                <w:szCs w:val="20"/>
                <w:color w:val="auto"/>
              </w:rPr>
            </w:pPr>
            <w:r>
              <w:rPr>
                <w:rFonts w:ascii="Arial" w:cs="Arial" w:eastAsia="Arial" w:hAnsi="Arial"/>
                <w:sz w:val="16"/>
                <w:szCs w:val="16"/>
                <w:color w:val="auto"/>
              </w:rPr>
              <w:t>Private equity</w:t>
            </w:r>
          </w:p>
        </w:tc>
        <w:tc>
          <w:tcPr>
            <w:tcW w:w="1540" w:type="dxa"/>
            <w:vAlign w:val="bottom"/>
          </w:tcPr>
          <w:p>
            <w:pPr>
              <w:jc w:val="center"/>
              <w:ind w:left="366"/>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87"/>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20"/>
                <w:szCs w:val="20"/>
                <w:color w:val="auto"/>
              </w:rPr>
            </w:pPr>
          </w:p>
        </w:tc>
        <w:tc>
          <w:tcPr>
            <w:tcW w:w="1280" w:type="dxa"/>
            <w:vAlign w:val="bottom"/>
          </w:tcPr>
          <w:p>
            <w:pPr>
              <w:ind w:left="580"/>
              <w:spacing w:after="0" w:line="236" w:lineRule="exact"/>
              <w:rPr>
                <w:sz w:val="20"/>
                <w:szCs w:val="20"/>
                <w:color w:val="auto"/>
              </w:rPr>
            </w:pPr>
            <w:r>
              <w:rPr>
                <w:rFonts w:ascii="Arial" w:cs="Arial" w:eastAsia="Arial" w:hAnsi="Arial"/>
                <w:sz w:val="27"/>
                <w:szCs w:val="27"/>
                <w:color w:val="auto"/>
                <w:vertAlign w:val="subscript"/>
              </w:rPr>
              <w:t>2</w:t>
            </w:r>
            <w:r>
              <w:rPr>
                <w:rFonts w:ascii="Arial" w:cs="Arial" w:eastAsia="Arial" w:hAnsi="Arial"/>
                <w:sz w:val="12"/>
                <w:szCs w:val="12"/>
                <w:i w:val="1"/>
                <w:iCs w:val="1"/>
                <w:color w:val="auto"/>
              </w:rPr>
              <w:t xml:space="preserve"> (2)</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280" w:type="dxa"/>
            <w:vAlign w:val="bottom"/>
          </w:tcPr>
          <w:p>
            <w:pPr>
              <w:ind w:left="240"/>
              <w:spacing w:after="0"/>
              <w:rPr>
                <w:sz w:val="20"/>
                <w:szCs w:val="20"/>
                <w:color w:val="auto"/>
              </w:rPr>
            </w:pPr>
            <w:r>
              <w:rPr>
                <w:rFonts w:ascii="Arial" w:cs="Arial" w:eastAsia="Arial" w:hAnsi="Arial"/>
                <w:sz w:val="16"/>
                <w:szCs w:val="16"/>
                <w:color w:val="auto"/>
              </w:rPr>
              <w:t>Debt securities</w:t>
            </w: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vMerge w:val="restart"/>
          </w:tcPr>
          <w:p>
            <w:pPr>
              <w:jc w:val="right"/>
              <w:ind w:right="735"/>
              <w:spacing w:after="0"/>
              <w:rPr>
                <w:sz w:val="20"/>
                <w:szCs w:val="20"/>
                <w:color w:val="auto"/>
              </w:rPr>
            </w:pPr>
            <w:r>
              <w:rPr>
                <w:rFonts w:ascii="Arial" w:cs="Arial" w:eastAsia="Arial" w:hAnsi="Arial"/>
                <w:sz w:val="13"/>
                <w:szCs w:val="13"/>
                <w:i w:val="1"/>
                <w:iCs w:val="1"/>
                <w:color w:val="auto"/>
                <w:w w:val="87"/>
              </w:rPr>
              <w:t>(3)</w:t>
            </w: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80" w:type="dxa"/>
            <w:vAlign w:val="bottom"/>
          </w:tcPr>
          <w:p>
            <w:pPr>
              <w:ind w:left="480"/>
              <w:spacing w:after="0"/>
              <w:rPr>
                <w:sz w:val="20"/>
                <w:szCs w:val="20"/>
                <w:color w:val="auto"/>
              </w:rPr>
            </w:pPr>
            <w:r>
              <w:rPr>
                <w:rFonts w:ascii="Arial" w:cs="Arial" w:eastAsia="Arial" w:hAnsi="Arial"/>
                <w:sz w:val="16"/>
                <w:szCs w:val="16"/>
                <w:color w:val="auto"/>
              </w:rPr>
              <w:t>Corporate</w:t>
            </w:r>
          </w:p>
        </w:tc>
        <w:tc>
          <w:tcPr>
            <w:tcW w:w="1540" w:type="dxa"/>
            <w:vAlign w:val="bottom"/>
          </w:tcPr>
          <w:p>
            <w:pPr>
              <w:jc w:val="center"/>
              <w:ind w:left="366"/>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7"/>
              <w:spacing w:after="0"/>
              <w:rPr>
                <w:sz w:val="20"/>
                <w:szCs w:val="20"/>
                <w:color w:val="auto"/>
              </w:rPr>
            </w:pPr>
            <w:r>
              <w:rPr>
                <w:rFonts w:ascii="Arial" w:cs="Arial" w:eastAsia="Arial" w:hAnsi="Arial"/>
                <w:sz w:val="16"/>
                <w:szCs w:val="16"/>
                <w:color w:val="auto"/>
              </w:rPr>
              <w:t>103</w:t>
            </w:r>
          </w:p>
        </w:tc>
        <w:tc>
          <w:tcPr>
            <w:tcW w:w="960" w:type="dxa"/>
            <w:vAlign w:val="bottom"/>
            <w:vMerge w:val="continue"/>
          </w:tcPr>
          <w:p>
            <w:pPr>
              <w:spacing w:after="0"/>
              <w:rPr>
                <w:sz w:val="18"/>
                <w:szCs w:val="18"/>
                <w:color w:val="auto"/>
              </w:rPr>
            </w:pPr>
          </w:p>
        </w:tc>
        <w:tc>
          <w:tcPr>
            <w:tcW w:w="1280" w:type="dxa"/>
            <w:vAlign w:val="bottom"/>
          </w:tcPr>
          <w:p>
            <w:pPr>
              <w:jc w:val="center"/>
              <w:ind w:right="86"/>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80" w:type="dxa"/>
            <w:vAlign w:val="bottom"/>
          </w:tcPr>
          <w:p>
            <w:pPr>
              <w:ind w:left="480"/>
              <w:spacing w:after="0"/>
              <w:rPr>
                <w:sz w:val="20"/>
                <w:szCs w:val="20"/>
                <w:color w:val="auto"/>
              </w:rPr>
            </w:pPr>
            <w:r>
              <w:rPr>
                <w:rFonts w:ascii="Arial" w:cs="Arial" w:eastAsia="Arial" w:hAnsi="Arial"/>
                <w:sz w:val="16"/>
                <w:szCs w:val="16"/>
                <w:color w:val="auto"/>
              </w:rPr>
              <w:t>Government</w:t>
            </w:r>
          </w:p>
        </w:tc>
        <w:tc>
          <w:tcPr>
            <w:tcW w:w="1540" w:type="dxa"/>
            <w:vAlign w:val="bottom"/>
          </w:tcPr>
          <w:p>
            <w:pPr>
              <w:jc w:val="center"/>
              <w:ind w:left="366"/>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7"/>
              <w:spacing w:after="0"/>
              <w:rPr>
                <w:sz w:val="20"/>
                <w:szCs w:val="20"/>
                <w:color w:val="auto"/>
              </w:rPr>
            </w:pPr>
            <w:r>
              <w:rPr>
                <w:rFonts w:ascii="Arial" w:cs="Arial" w:eastAsia="Arial" w:hAnsi="Arial"/>
                <w:sz w:val="16"/>
                <w:szCs w:val="16"/>
                <w:color w:val="auto"/>
              </w:rPr>
              <w:t>171</w:t>
            </w:r>
          </w:p>
        </w:tc>
        <w:tc>
          <w:tcPr>
            <w:tcW w:w="960" w:type="dxa"/>
            <w:vAlign w:val="bottom"/>
          </w:tcPr>
          <w:p>
            <w:pPr>
              <w:jc w:val="right"/>
              <w:ind w:right="735"/>
              <w:spacing w:after="0"/>
              <w:rPr>
                <w:sz w:val="20"/>
                <w:szCs w:val="20"/>
                <w:color w:val="auto"/>
              </w:rPr>
            </w:pPr>
            <w:r>
              <w:rPr>
                <w:rFonts w:ascii="Arial" w:cs="Arial" w:eastAsia="Arial" w:hAnsi="Arial"/>
                <w:sz w:val="13"/>
                <w:szCs w:val="13"/>
                <w:i w:val="1"/>
                <w:iCs w:val="1"/>
                <w:color w:val="auto"/>
                <w:w w:val="87"/>
              </w:rPr>
              <w:t>(3)</w:t>
            </w:r>
          </w:p>
        </w:tc>
        <w:tc>
          <w:tcPr>
            <w:tcW w:w="1280" w:type="dxa"/>
            <w:vAlign w:val="bottom"/>
          </w:tcPr>
          <w:p>
            <w:pPr>
              <w:jc w:val="center"/>
              <w:ind w:right="86"/>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480"/>
              <w:spacing w:after="0"/>
              <w:rPr>
                <w:sz w:val="20"/>
                <w:szCs w:val="20"/>
                <w:color w:val="auto"/>
              </w:rPr>
            </w:pPr>
            <w:r>
              <w:rPr>
                <w:rFonts w:ascii="Arial" w:cs="Arial" w:eastAsia="Arial" w:hAnsi="Arial"/>
                <w:sz w:val="16"/>
                <w:szCs w:val="16"/>
                <w:color w:val="auto"/>
              </w:rPr>
              <w:t>Asset-backed</w:t>
            </w:r>
          </w:p>
        </w:tc>
        <w:tc>
          <w:tcPr>
            <w:tcW w:w="1540" w:type="dxa"/>
            <w:vAlign w:val="bottom"/>
          </w:tcPr>
          <w:p>
            <w:pPr>
              <w:jc w:val="center"/>
              <w:ind w:left="366"/>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7"/>
              <w:spacing w:after="0"/>
              <w:rPr>
                <w:sz w:val="20"/>
                <w:szCs w:val="20"/>
                <w:color w:val="auto"/>
              </w:rPr>
            </w:pPr>
            <w:r>
              <w:rPr>
                <w:rFonts w:ascii="Arial" w:cs="Arial" w:eastAsia="Arial" w:hAnsi="Arial"/>
                <w:sz w:val="16"/>
                <w:szCs w:val="16"/>
                <w:color w:val="auto"/>
              </w:rPr>
              <w:t>9</w:t>
            </w:r>
          </w:p>
        </w:tc>
        <w:tc>
          <w:tcPr>
            <w:tcW w:w="960" w:type="dxa"/>
            <w:vAlign w:val="bottom"/>
          </w:tcPr>
          <w:p>
            <w:pPr>
              <w:jc w:val="right"/>
              <w:ind w:right="735"/>
              <w:spacing w:after="0"/>
              <w:rPr>
                <w:sz w:val="20"/>
                <w:szCs w:val="20"/>
                <w:color w:val="auto"/>
              </w:rPr>
            </w:pPr>
            <w:r>
              <w:rPr>
                <w:rFonts w:ascii="Arial" w:cs="Arial" w:eastAsia="Arial" w:hAnsi="Arial"/>
                <w:sz w:val="13"/>
                <w:szCs w:val="13"/>
                <w:i w:val="1"/>
                <w:iCs w:val="1"/>
                <w:color w:val="auto"/>
                <w:w w:val="87"/>
              </w:rPr>
              <w:t>(3)</w:t>
            </w:r>
          </w:p>
        </w:tc>
        <w:tc>
          <w:tcPr>
            <w:tcW w:w="1280" w:type="dxa"/>
            <w:vAlign w:val="bottom"/>
          </w:tcPr>
          <w:p>
            <w:pPr>
              <w:jc w:val="center"/>
              <w:ind w:right="86"/>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80" w:type="dxa"/>
            <w:vAlign w:val="bottom"/>
          </w:tcPr>
          <w:p>
            <w:pPr>
              <w:ind w:left="240"/>
              <w:spacing w:after="0"/>
              <w:rPr>
                <w:sz w:val="20"/>
                <w:szCs w:val="20"/>
                <w:color w:val="auto"/>
              </w:rPr>
            </w:pPr>
            <w:r>
              <w:rPr>
                <w:rFonts w:ascii="Arial" w:cs="Arial" w:eastAsia="Arial" w:hAnsi="Arial"/>
                <w:sz w:val="16"/>
                <w:szCs w:val="16"/>
                <w:color w:val="auto"/>
              </w:rPr>
              <w:t>Cash</w:t>
            </w:r>
          </w:p>
        </w:tc>
        <w:tc>
          <w:tcPr>
            <w:tcW w:w="1540" w:type="dxa"/>
            <w:vAlign w:val="bottom"/>
            <w:tcBorders>
              <w:bottom w:val="single" w:sz="8" w:color="auto"/>
            </w:tcBorders>
          </w:tcPr>
          <w:p>
            <w:pPr>
              <w:jc w:val="center"/>
              <w:ind w:left="366"/>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2</w:t>
            </w:r>
          </w:p>
        </w:tc>
        <w:tc>
          <w:tcPr>
            <w:tcW w:w="9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86"/>
              <w:spacing w:after="0"/>
              <w:rPr>
                <w:sz w:val="20"/>
                <w:szCs w:val="20"/>
                <w:color w:val="auto"/>
              </w:rPr>
            </w:pPr>
            <w:r>
              <w:rPr>
                <w:rFonts w:ascii="Arial" w:cs="Arial" w:eastAsia="Arial" w:hAnsi="Arial"/>
                <w:sz w:val="16"/>
                <w:szCs w:val="16"/>
                <w:color w:val="auto"/>
                <w:w w:val="74"/>
              </w:rPr>
              <w:t>-</w:t>
            </w: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280" w:type="dxa"/>
            <w:vAlign w:val="bottom"/>
          </w:tcPr>
          <w:p>
            <w:pPr>
              <w:spacing w:after="0"/>
              <w:rPr>
                <w:sz w:val="20"/>
                <w:szCs w:val="20"/>
                <w:color w:val="auto"/>
              </w:rPr>
            </w:pPr>
            <w:r>
              <w:rPr>
                <w:rFonts w:ascii="Arial" w:cs="Arial" w:eastAsia="Arial" w:hAnsi="Arial"/>
                <w:sz w:val="16"/>
                <w:szCs w:val="16"/>
                <w:color w:val="auto"/>
              </w:rPr>
              <w:t>Total at fair value</w:t>
            </w:r>
          </w:p>
        </w:tc>
        <w:tc>
          <w:tcPr>
            <w:tcW w:w="1540" w:type="dxa"/>
            <w:vAlign w:val="bottom"/>
            <w:tcBorders>
              <w:bottom w:val="single" w:sz="8" w:color="auto"/>
            </w:tcBorders>
          </w:tcPr>
          <w:p>
            <w:pPr>
              <w:jc w:val="center"/>
              <w:ind w:left="366"/>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466</w:t>
            </w:r>
          </w:p>
        </w:tc>
        <w:tc>
          <w:tcPr>
            <w:tcW w:w="9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2</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880" w:right="80" w:hanging="294"/>
        <w:spacing w:after="0" w:line="286" w:lineRule="auto"/>
        <w:tabs>
          <w:tab w:leader="none" w:pos="944"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For U.S. and non-U.S. equity securities held in the form of fund units that are redeemable at the measurement date, the unit value is treated as a Level 2 input. value of the securities owned by the funds is based on observable quoted prices on active exchanges, which are Level 1 inputs.</w:t>
      </w:r>
    </w:p>
    <w:p>
      <w:pPr>
        <w:spacing w:after="0" w:line="2" w:lineRule="exact"/>
        <w:rPr>
          <w:rFonts w:ascii="Arial" w:cs="Arial" w:eastAsia="Arial" w:hAnsi="Arial"/>
          <w:sz w:val="16"/>
          <w:szCs w:val="16"/>
          <w:i w:val="1"/>
          <w:iCs w:val="1"/>
          <w:color w:val="auto"/>
        </w:rPr>
      </w:pPr>
    </w:p>
    <w:p>
      <w:pPr>
        <w:ind w:left="920" w:hanging="334"/>
        <w:spacing w:after="0"/>
        <w:tabs>
          <w:tab w:leader="none" w:pos="920" w:val="left"/>
        </w:tabs>
        <w:numPr>
          <w:ilvl w:val="0"/>
          <w:numId w:val="33"/>
        </w:numPr>
        <w:rPr>
          <w:rFonts w:ascii="Arial" w:cs="Arial" w:eastAsia="Arial" w:hAnsi="Arial"/>
          <w:sz w:val="15"/>
          <w:szCs w:val="15"/>
          <w:i w:val="1"/>
          <w:iCs w:val="1"/>
          <w:color w:val="auto"/>
        </w:rPr>
      </w:pPr>
      <w:r>
        <w:rPr>
          <w:rFonts w:ascii="Arial" w:cs="Arial" w:eastAsia="Arial" w:hAnsi="Arial"/>
          <w:sz w:val="15"/>
          <w:szCs w:val="15"/>
          <w:i w:val="1"/>
          <w:iCs w:val="1"/>
          <w:color w:val="auto"/>
        </w:rPr>
        <w:t>For private equity, fair value is generally established by using revenue or earnings multiples or other relevant market data including Initial Public Offerings.</w:t>
      </w:r>
    </w:p>
    <w:p>
      <w:pPr>
        <w:spacing w:after="0" w:line="72" w:lineRule="exact"/>
        <w:rPr>
          <w:rFonts w:ascii="Arial" w:cs="Arial" w:eastAsia="Arial" w:hAnsi="Arial"/>
          <w:sz w:val="15"/>
          <w:szCs w:val="15"/>
          <w:i w:val="1"/>
          <w:iCs w:val="1"/>
          <w:color w:val="auto"/>
        </w:rPr>
      </w:pPr>
    </w:p>
    <w:p>
      <w:pPr>
        <w:ind w:left="920" w:hanging="334"/>
        <w:spacing w:after="0"/>
        <w:tabs>
          <w:tab w:leader="none" w:pos="92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For corporate, government and asset-backed debt securities, fair value is based on observable inputs of comparable market transactions.</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change in the fair value in 2014 of Level 3 assets that use significant unobservable inputs to measure fair value is shown in the table below:</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Arial" w:cs="Arial" w:eastAsia="Arial" w:hAnsi="Arial"/>
                <w:sz w:val="13"/>
                <w:szCs w:val="13"/>
                <w:b w:val="1"/>
                <w:bCs w:val="1"/>
                <w:color w:val="auto"/>
              </w:rPr>
              <w:t>2014</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
        </w:trPr>
        <w:tc>
          <w:tcPr>
            <w:tcW w:w="5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68"/>
        </w:trPr>
        <w:tc>
          <w:tcPr>
            <w:tcW w:w="58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Pension</w:t>
            </w:r>
          </w:p>
        </w:tc>
        <w:tc>
          <w:tcPr>
            <w:tcW w:w="1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gridSpan w:val="2"/>
          </w:tcPr>
          <w:p>
            <w:pPr>
              <w:jc w:val="center"/>
              <w:ind w:left="435"/>
              <w:spacing w:after="0"/>
              <w:rPr>
                <w:sz w:val="20"/>
                <w:szCs w:val="20"/>
                <w:color w:val="auto"/>
              </w:rPr>
            </w:pPr>
            <w:r>
              <w:rPr>
                <w:rFonts w:ascii="Arial" w:cs="Arial" w:eastAsia="Arial" w:hAnsi="Arial"/>
                <w:sz w:val="13"/>
                <w:szCs w:val="13"/>
                <w:b w:val="1"/>
                <w:bCs w:val="1"/>
                <w:color w:val="auto"/>
                <w:w w:val="97"/>
              </w:rPr>
              <w:t>Other</w:t>
            </w:r>
          </w:p>
        </w:tc>
      </w:tr>
      <w:tr>
        <w:trPr>
          <w:trHeight w:val="178"/>
        </w:trPr>
        <w:tc>
          <w:tcPr>
            <w:tcW w:w="58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U.S.</w:t>
            </w:r>
          </w:p>
        </w:tc>
        <w:tc>
          <w:tcPr>
            <w:tcW w:w="4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7"/>
              <w:spacing w:after="0"/>
              <w:rPr>
                <w:sz w:val="20"/>
                <w:szCs w:val="20"/>
                <w:color w:val="auto"/>
              </w:rPr>
            </w:pPr>
            <w:r>
              <w:rPr>
                <w:rFonts w:ascii="Arial" w:cs="Arial" w:eastAsia="Arial" w:hAnsi="Arial"/>
                <w:sz w:val="13"/>
                <w:szCs w:val="13"/>
                <w:b w:val="1"/>
                <w:bCs w:val="1"/>
                <w:color w:val="auto"/>
              </w:rPr>
              <w:t>Non-U.S.</w:t>
            </w:r>
          </w:p>
        </w:tc>
        <w:tc>
          <w:tcPr>
            <w:tcW w:w="32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Borders>
              <w:bottom w:val="single" w:sz="8" w:color="auto"/>
            </w:tcBorders>
            <w:gridSpan w:val="2"/>
          </w:tcPr>
          <w:p>
            <w:pPr>
              <w:ind w:left="380"/>
              <w:spacing w:after="0"/>
              <w:rPr>
                <w:sz w:val="20"/>
                <w:szCs w:val="20"/>
                <w:color w:val="auto"/>
              </w:rPr>
            </w:pPr>
            <w:r>
              <w:rPr>
                <w:rFonts w:ascii="Arial" w:cs="Arial" w:eastAsia="Arial" w:hAnsi="Arial"/>
                <w:sz w:val="13"/>
                <w:szCs w:val="13"/>
                <w:b w:val="1"/>
                <w:bCs w:val="1"/>
                <w:color w:val="auto"/>
                <w:w w:val="85"/>
              </w:rPr>
              <w:t>Postretireme</w:t>
            </w:r>
          </w:p>
        </w:tc>
      </w:tr>
      <w:tr>
        <w:trPr>
          <w:trHeight w:val="367"/>
        </w:trPr>
        <w:tc>
          <w:tcPr>
            <w:tcW w:w="5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2"/>
              </w:rPr>
              <w:t>Private</w:t>
            </w:r>
          </w:p>
        </w:tc>
        <w:tc>
          <w:tcPr>
            <w:tcW w:w="720" w:type="dxa"/>
            <w:vAlign w:val="bottom"/>
          </w:tcPr>
          <w:p>
            <w:pPr>
              <w:ind w:left="300"/>
              <w:spacing w:after="0"/>
              <w:rPr>
                <w:sz w:val="20"/>
                <w:szCs w:val="20"/>
                <w:color w:val="auto"/>
              </w:rPr>
            </w:pPr>
            <w:r>
              <w:rPr>
                <w:rFonts w:ascii="Arial" w:cs="Arial" w:eastAsia="Arial" w:hAnsi="Arial"/>
                <w:sz w:val="13"/>
                <w:szCs w:val="13"/>
                <w:b w:val="1"/>
                <w:bCs w:val="1"/>
                <w:color w:val="auto"/>
                <w:w w:val="92"/>
              </w:rPr>
              <w:t>Private</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Real</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gridSpan w:val="2"/>
          </w:tcPr>
          <w:p>
            <w:pPr>
              <w:jc w:val="center"/>
              <w:ind w:left="435"/>
              <w:spacing w:after="0"/>
              <w:rPr>
                <w:sz w:val="20"/>
                <w:szCs w:val="20"/>
                <w:color w:val="auto"/>
              </w:rPr>
            </w:pPr>
            <w:r>
              <w:rPr>
                <w:rFonts w:ascii="Arial" w:cs="Arial" w:eastAsia="Arial" w:hAnsi="Arial"/>
                <w:sz w:val="13"/>
                <w:szCs w:val="13"/>
                <w:b w:val="1"/>
                <w:bCs w:val="1"/>
                <w:color w:val="auto"/>
                <w:w w:val="96"/>
              </w:rPr>
              <w:t>Private</w:t>
            </w:r>
          </w:p>
        </w:tc>
      </w:tr>
      <w:tr>
        <w:trPr>
          <w:trHeight w:val="196"/>
        </w:trPr>
        <w:tc>
          <w:tcPr>
            <w:tcW w:w="58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5"/>
              </w:rPr>
              <w:t>Equity</w:t>
            </w:r>
          </w:p>
        </w:tc>
        <w:tc>
          <w:tcPr>
            <w:tcW w:w="720" w:type="dxa"/>
            <w:vAlign w:val="bottom"/>
          </w:tcPr>
          <w:p>
            <w:pPr>
              <w:ind w:left="320"/>
              <w:spacing w:after="0"/>
              <w:rPr>
                <w:sz w:val="20"/>
                <w:szCs w:val="20"/>
                <w:color w:val="auto"/>
              </w:rPr>
            </w:pPr>
            <w:r>
              <w:rPr>
                <w:rFonts w:ascii="Arial" w:cs="Arial" w:eastAsia="Arial" w:hAnsi="Arial"/>
                <w:sz w:val="13"/>
                <w:szCs w:val="13"/>
                <w:b w:val="1"/>
                <w:bCs w:val="1"/>
                <w:color w:val="auto"/>
                <w:w w:val="95"/>
              </w:rPr>
              <w:t>Equity</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Estate</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gridSpan w:val="2"/>
          </w:tcPr>
          <w:p>
            <w:pPr>
              <w:jc w:val="center"/>
              <w:ind w:left="435"/>
              <w:spacing w:after="0"/>
              <w:rPr>
                <w:sz w:val="20"/>
                <w:szCs w:val="20"/>
                <w:color w:val="auto"/>
              </w:rPr>
            </w:pPr>
            <w:r>
              <w:rPr>
                <w:rFonts w:ascii="Arial" w:cs="Arial" w:eastAsia="Arial" w:hAnsi="Arial"/>
                <w:sz w:val="13"/>
                <w:szCs w:val="13"/>
                <w:b w:val="1"/>
                <w:bCs w:val="1"/>
                <w:color w:val="auto"/>
                <w:w w:val="95"/>
              </w:rPr>
              <w:t>Equity</w:t>
            </w:r>
          </w:p>
        </w:tc>
      </w:tr>
      <w:tr>
        <w:trPr>
          <w:trHeight w:val="23"/>
        </w:trPr>
        <w:tc>
          <w:tcPr>
            <w:tcW w:w="58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65"/>
        </w:trPr>
        <w:tc>
          <w:tcPr>
            <w:tcW w:w="58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jc w:val="right"/>
              <w:ind w:right="67"/>
              <w:spacing w:after="0"/>
              <w:rPr>
                <w:sz w:val="20"/>
                <w:szCs w:val="20"/>
                <w:color w:val="auto"/>
              </w:rPr>
            </w:pPr>
            <w:r>
              <w:rPr>
                <w:rFonts w:ascii="Arial" w:cs="Arial" w:eastAsia="Arial" w:hAnsi="Arial"/>
                <w:sz w:val="13"/>
                <w:szCs w:val="13"/>
                <w:i w:val="1"/>
                <w:iCs w:val="1"/>
                <w:color w:val="auto"/>
                <w:w w:val="99"/>
              </w:rPr>
              <w:t>(millions of dollars)</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14"/>
        </w:trPr>
        <w:tc>
          <w:tcPr>
            <w:tcW w:w="58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Fair value at January 1</w:t>
            </w:r>
          </w:p>
        </w:tc>
        <w:tc>
          <w:tcPr>
            <w:tcW w:w="1260" w:type="dxa"/>
            <w:vAlign w:val="bottom"/>
          </w:tcPr>
          <w:p>
            <w:pPr>
              <w:jc w:val="right"/>
              <w:ind w:right="204"/>
              <w:spacing w:after="0"/>
              <w:rPr>
                <w:sz w:val="20"/>
                <w:szCs w:val="20"/>
                <w:color w:val="auto"/>
              </w:rPr>
            </w:pPr>
            <w:r>
              <w:rPr>
                <w:rFonts w:ascii="Arial" w:cs="Arial" w:eastAsia="Arial" w:hAnsi="Arial"/>
                <w:sz w:val="16"/>
                <w:szCs w:val="16"/>
                <w:color w:val="auto"/>
              </w:rPr>
              <w:t>523</w:t>
            </w: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jc w:val="right"/>
              <w:ind w:right="907"/>
              <w:spacing w:after="0"/>
              <w:rPr>
                <w:sz w:val="20"/>
                <w:szCs w:val="20"/>
                <w:color w:val="auto"/>
              </w:rPr>
            </w:pPr>
            <w:r>
              <w:rPr>
                <w:rFonts w:ascii="Arial" w:cs="Arial" w:eastAsia="Arial" w:hAnsi="Arial"/>
                <w:sz w:val="16"/>
                <w:szCs w:val="16"/>
                <w:color w:val="auto"/>
                <w:w w:val="89"/>
              </w:rPr>
              <w:t>502</w:t>
            </w:r>
          </w:p>
        </w:tc>
        <w:tc>
          <w:tcPr>
            <w:tcW w:w="320" w:type="dxa"/>
            <w:vAlign w:val="bottom"/>
          </w:tcPr>
          <w:p>
            <w:pPr>
              <w:jc w:val="right"/>
              <w:spacing w:after="0"/>
              <w:rPr>
                <w:sz w:val="20"/>
                <w:szCs w:val="20"/>
                <w:color w:val="auto"/>
              </w:rPr>
            </w:pPr>
            <w:r>
              <w:rPr>
                <w:rFonts w:ascii="Arial" w:cs="Arial" w:eastAsia="Arial" w:hAnsi="Arial"/>
                <w:sz w:val="16"/>
                <w:szCs w:val="16"/>
                <w:color w:val="auto"/>
                <w:w w:val="97"/>
              </w:rPr>
              <w:t>136</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8"/>
        </w:trPr>
        <w:tc>
          <w:tcPr>
            <w:tcW w:w="5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Net realized gains/(losses)</w:t>
            </w:r>
          </w:p>
        </w:tc>
        <w:tc>
          <w:tcPr>
            <w:tcW w:w="1260" w:type="dxa"/>
            <w:vAlign w:val="bottom"/>
          </w:tcPr>
          <w:p>
            <w:pPr>
              <w:jc w:val="right"/>
              <w:ind w:right="204"/>
              <w:spacing w:after="0"/>
              <w:rPr>
                <w:sz w:val="20"/>
                <w:szCs w:val="20"/>
                <w:color w:val="auto"/>
              </w:rPr>
            </w:pPr>
            <w:r>
              <w:rPr>
                <w:rFonts w:ascii="Arial" w:cs="Arial" w:eastAsia="Arial" w:hAnsi="Arial"/>
                <w:sz w:val="16"/>
                <w:szCs w:val="16"/>
                <w:color w:val="auto"/>
              </w:rPr>
              <w:t>2</w:t>
            </w: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jc w:val="right"/>
              <w:ind w:right="907"/>
              <w:spacing w:after="0"/>
              <w:rPr>
                <w:sz w:val="20"/>
                <w:szCs w:val="20"/>
                <w:color w:val="auto"/>
              </w:rPr>
            </w:pPr>
            <w:r>
              <w:rPr>
                <w:rFonts w:ascii="Arial" w:cs="Arial" w:eastAsia="Arial" w:hAnsi="Arial"/>
                <w:sz w:val="16"/>
                <w:szCs w:val="16"/>
                <w:color w:val="auto"/>
              </w:rPr>
              <w:t>23</w:t>
            </w:r>
          </w:p>
        </w:tc>
        <w:tc>
          <w:tcPr>
            <w:tcW w:w="780" w:type="dxa"/>
            <w:vAlign w:val="bottom"/>
            <w:gridSpan w:val="2"/>
          </w:tcPr>
          <w:p>
            <w:pPr>
              <w:jc w:val="right"/>
              <w:ind w:right="460"/>
              <w:spacing w:after="0"/>
              <w:rPr>
                <w:sz w:val="20"/>
                <w:szCs w:val="20"/>
                <w:color w:val="auto"/>
              </w:rPr>
            </w:pPr>
            <w:r>
              <w:rPr>
                <w:rFonts w:ascii="Arial" w:cs="Arial" w:eastAsia="Arial" w:hAnsi="Arial"/>
                <w:sz w:val="16"/>
                <w:szCs w:val="16"/>
                <w:color w:val="auto"/>
              </w:rPr>
              <w:t>(17)</w:t>
            </w: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5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Net unrealized gains/(losses)</w:t>
            </w:r>
          </w:p>
        </w:tc>
        <w:tc>
          <w:tcPr>
            <w:tcW w:w="1260" w:type="dxa"/>
            <w:vAlign w:val="bottom"/>
          </w:tcPr>
          <w:p>
            <w:pPr>
              <w:jc w:val="right"/>
              <w:ind w:right="204"/>
              <w:spacing w:after="0"/>
              <w:rPr>
                <w:sz w:val="20"/>
                <w:szCs w:val="20"/>
                <w:color w:val="auto"/>
              </w:rPr>
            </w:pPr>
            <w:r>
              <w:rPr>
                <w:rFonts w:ascii="Arial" w:cs="Arial" w:eastAsia="Arial" w:hAnsi="Arial"/>
                <w:sz w:val="16"/>
                <w:szCs w:val="16"/>
                <w:color w:val="auto"/>
              </w:rPr>
              <w:t>89</w:t>
            </w: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jc w:val="right"/>
              <w:ind w:right="907"/>
              <w:spacing w:after="0"/>
              <w:rPr>
                <w:sz w:val="20"/>
                <w:szCs w:val="20"/>
                <w:color w:val="auto"/>
              </w:rPr>
            </w:pPr>
            <w:r>
              <w:rPr>
                <w:rFonts w:ascii="Arial" w:cs="Arial" w:eastAsia="Arial" w:hAnsi="Arial"/>
                <w:sz w:val="16"/>
                <w:szCs w:val="16"/>
                <w:color w:val="auto"/>
              </w:rPr>
              <w:t>31</w:t>
            </w:r>
          </w:p>
        </w:tc>
        <w:tc>
          <w:tcPr>
            <w:tcW w:w="320" w:type="dxa"/>
            <w:vAlign w:val="bottom"/>
          </w:tcPr>
          <w:p>
            <w:pPr>
              <w:jc w:val="right"/>
              <w:spacing w:after="0"/>
              <w:rPr>
                <w:sz w:val="20"/>
                <w:szCs w:val="20"/>
                <w:color w:val="auto"/>
              </w:rPr>
            </w:pPr>
            <w:r>
              <w:rPr>
                <w:rFonts w:ascii="Arial" w:cs="Arial" w:eastAsia="Arial" w:hAnsi="Arial"/>
                <w:sz w:val="16"/>
                <w:szCs w:val="16"/>
                <w:color w:val="auto"/>
              </w:rPr>
              <w:t>8</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Net purchases/(sales)</w:t>
            </w:r>
          </w:p>
        </w:tc>
        <w:tc>
          <w:tcPr>
            <w:tcW w:w="126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color w:val="auto"/>
              </w:rPr>
              <w:t>(52)</w:t>
            </w: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67"/>
              <w:spacing w:after="0"/>
              <w:rPr>
                <w:sz w:val="20"/>
                <w:szCs w:val="20"/>
                <w:color w:val="auto"/>
              </w:rPr>
            </w:pPr>
            <w:r>
              <w:rPr>
                <w:rFonts w:ascii="Arial" w:cs="Arial" w:eastAsia="Arial" w:hAnsi="Arial"/>
                <w:sz w:val="16"/>
                <w:szCs w:val="16"/>
                <w:color w:val="auto"/>
                <w:w w:val="98"/>
              </w:rPr>
              <w:t>(21)</w:t>
            </w:r>
          </w:p>
        </w:tc>
        <w:tc>
          <w:tcPr>
            <w:tcW w:w="7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6"/>
                <w:szCs w:val="16"/>
                <w:color w:val="auto"/>
              </w:rPr>
              <w:t>(70)</w:t>
            </w: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196"/>
        </w:trPr>
        <w:tc>
          <w:tcPr>
            <w:tcW w:w="580" w:type="dxa"/>
            <w:vAlign w:val="bottom"/>
          </w:tcPr>
          <w:p>
            <w:pPr>
              <w:spacing w:after="0"/>
              <w:rPr>
                <w:sz w:val="17"/>
                <w:szCs w:val="17"/>
                <w:color w:val="auto"/>
              </w:rPr>
            </w:pPr>
          </w:p>
        </w:tc>
        <w:tc>
          <w:tcPr>
            <w:tcW w:w="5380" w:type="dxa"/>
            <w:vAlign w:val="bottom"/>
          </w:tcPr>
          <w:p>
            <w:pPr>
              <w:spacing w:after="0" w:line="183" w:lineRule="exact"/>
              <w:rPr>
                <w:sz w:val="20"/>
                <w:szCs w:val="20"/>
                <w:color w:val="auto"/>
              </w:rPr>
            </w:pPr>
            <w:r>
              <w:rPr>
                <w:rFonts w:ascii="Arial" w:cs="Arial" w:eastAsia="Arial" w:hAnsi="Arial"/>
                <w:sz w:val="16"/>
                <w:szCs w:val="16"/>
                <w:color w:val="auto"/>
              </w:rPr>
              <w:t>Fair value at December 31</w:t>
            </w:r>
          </w:p>
        </w:tc>
        <w:tc>
          <w:tcPr>
            <w:tcW w:w="126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auto"/>
              </w:rPr>
              <w:t>562</w:t>
            </w:r>
          </w:p>
        </w:tc>
        <w:tc>
          <w:tcPr>
            <w:tcW w:w="4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907"/>
              <w:spacing w:after="0"/>
              <w:rPr>
                <w:sz w:val="20"/>
                <w:szCs w:val="20"/>
                <w:color w:val="auto"/>
              </w:rPr>
            </w:pPr>
            <w:r>
              <w:rPr>
                <w:rFonts w:ascii="Arial" w:cs="Arial" w:eastAsia="Arial" w:hAnsi="Arial"/>
                <w:sz w:val="16"/>
                <w:szCs w:val="16"/>
                <w:color w:val="auto"/>
                <w:w w:val="89"/>
              </w:rPr>
              <w:t>535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677"/>
        </w:trPr>
        <w:tc>
          <w:tcPr>
            <w:tcW w:w="5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260" w:type="dxa"/>
            <w:vAlign w:val="bottom"/>
          </w:tcPr>
          <w:p>
            <w:pPr>
              <w:jc w:val="right"/>
              <w:ind w:right="784"/>
              <w:spacing w:after="0"/>
              <w:rPr>
                <w:sz w:val="20"/>
                <w:szCs w:val="20"/>
                <w:color w:val="auto"/>
              </w:rPr>
            </w:pPr>
            <w:r>
              <w:rPr>
                <w:rFonts w:ascii="Arial" w:cs="Arial" w:eastAsia="Arial" w:hAnsi="Arial"/>
                <w:sz w:val="16"/>
                <w:szCs w:val="16"/>
                <w:color w:val="auto"/>
              </w:rPr>
              <w:t>88</w:t>
            </w: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45"/>
        </w:trPr>
        <w:tc>
          <w:tcPr>
            <w:tcW w:w="580" w:type="dxa"/>
            <w:vAlign w:val="bottom"/>
            <w:tcBorders>
              <w:bottom w:val="single" w:sz="8" w:color="808080"/>
            </w:tcBorders>
          </w:tcPr>
          <w:p>
            <w:pPr>
              <w:spacing w:after="0"/>
              <w:rPr>
                <w:sz w:val="24"/>
                <w:szCs w:val="24"/>
                <w:color w:val="auto"/>
              </w:rPr>
            </w:pPr>
          </w:p>
        </w:tc>
        <w:tc>
          <w:tcPr>
            <w:tcW w:w="538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589" w:right="13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2013 fair value of the benefit plan assets, including the level within the fair value hierarchy, is shown in the tables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40" w:type="dxa"/>
            <w:vAlign w:val="bottom"/>
            <w:gridSpan w:val="2"/>
          </w:tcPr>
          <w:p>
            <w:pPr>
              <w:jc w:val="center"/>
              <w:ind w:left="6"/>
              <w:spacing w:after="0"/>
              <w:rPr>
                <w:sz w:val="20"/>
                <w:szCs w:val="20"/>
                <w:color w:val="auto"/>
              </w:rPr>
            </w:pPr>
            <w:r>
              <w:rPr>
                <w:rFonts w:ascii="Arial" w:cs="Arial" w:eastAsia="Arial" w:hAnsi="Arial"/>
                <w:sz w:val="13"/>
                <w:szCs w:val="13"/>
                <w:b w:val="1"/>
                <w:bCs w:val="1"/>
                <w:color w:val="auto"/>
                <w:w w:val="88"/>
              </w:rPr>
              <w:t>U.S. Pension</w:t>
            </w: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gridSpan w:val="2"/>
          </w:tcPr>
          <w:p>
            <w:pPr>
              <w:jc w:val="center"/>
              <w:ind w:right="215"/>
              <w:spacing w:after="0"/>
              <w:rPr>
                <w:sz w:val="20"/>
                <w:szCs w:val="20"/>
                <w:color w:val="auto"/>
              </w:rPr>
            </w:pPr>
            <w:r>
              <w:rPr>
                <w:rFonts w:ascii="Arial" w:cs="Arial" w:eastAsia="Arial" w:hAnsi="Arial"/>
                <w:sz w:val="13"/>
                <w:szCs w:val="13"/>
                <w:b w:val="1"/>
                <w:bCs w:val="1"/>
                <w:color w:val="auto"/>
                <w:w w:val="87"/>
              </w:rPr>
              <w:t>Non-U.S. Pension</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7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40" w:type="dxa"/>
            <w:vAlign w:val="bottom"/>
            <w:gridSpan w:val="2"/>
          </w:tcPr>
          <w:p>
            <w:pPr>
              <w:jc w:val="center"/>
              <w:ind w:left="6"/>
              <w:spacing w:after="0"/>
              <w:rPr>
                <w:sz w:val="20"/>
                <w:szCs w:val="20"/>
                <w:color w:val="auto"/>
              </w:rPr>
            </w:pPr>
            <w:r>
              <w:rPr>
                <w:rFonts w:ascii="Arial" w:cs="Arial" w:eastAsia="Arial" w:hAnsi="Arial"/>
                <w:sz w:val="13"/>
                <w:szCs w:val="13"/>
                <w:b w:val="1"/>
                <w:bCs w:val="1"/>
                <w:color w:val="auto"/>
                <w:w w:val="92"/>
              </w:rPr>
              <w:t>Fair Value Measurement</w:t>
            </w: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00" w:type="dxa"/>
            <w:vAlign w:val="bottom"/>
            <w:gridSpan w:val="3"/>
          </w:tcPr>
          <w:p>
            <w:pPr>
              <w:jc w:val="center"/>
              <w:ind w:left="955"/>
              <w:spacing w:after="0"/>
              <w:rPr>
                <w:sz w:val="20"/>
                <w:szCs w:val="20"/>
                <w:color w:val="auto"/>
              </w:rPr>
            </w:pPr>
            <w:r>
              <w:rPr>
                <w:rFonts w:ascii="Arial" w:cs="Arial" w:eastAsia="Arial" w:hAnsi="Arial"/>
                <w:sz w:val="13"/>
                <w:szCs w:val="13"/>
                <w:b w:val="1"/>
                <w:bCs w:val="1"/>
                <w:color w:val="auto"/>
                <w:w w:val="93"/>
              </w:rPr>
              <w:t>Fair Value Measurement</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40" w:type="dxa"/>
            <w:vAlign w:val="bottom"/>
            <w:gridSpan w:val="4"/>
          </w:tcPr>
          <w:p>
            <w:pPr>
              <w:jc w:val="center"/>
              <w:ind w:right="1220"/>
              <w:spacing w:after="0"/>
              <w:rPr>
                <w:sz w:val="20"/>
                <w:szCs w:val="20"/>
                <w:color w:val="auto"/>
              </w:rPr>
            </w:pPr>
            <w:r>
              <w:rPr>
                <w:rFonts w:ascii="Arial" w:cs="Arial" w:eastAsia="Arial" w:hAnsi="Arial"/>
                <w:sz w:val="13"/>
                <w:szCs w:val="13"/>
                <w:b w:val="1"/>
                <w:bCs w:val="1"/>
                <w:color w:val="auto"/>
                <w:w w:val="90"/>
              </w:rPr>
              <w:t>at December 31, 2013, Using:</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3"/>
          </w:tcPr>
          <w:p>
            <w:pPr>
              <w:jc w:val="center"/>
              <w:ind w:left="955"/>
              <w:spacing w:after="0"/>
              <w:rPr>
                <w:sz w:val="20"/>
                <w:szCs w:val="20"/>
                <w:color w:val="auto"/>
              </w:rPr>
            </w:pPr>
            <w:r>
              <w:rPr>
                <w:rFonts w:ascii="Arial" w:cs="Arial" w:eastAsia="Arial" w:hAnsi="Arial"/>
                <w:sz w:val="13"/>
                <w:szCs w:val="13"/>
                <w:b w:val="1"/>
                <w:bCs w:val="1"/>
                <w:color w:val="auto"/>
                <w:w w:val="91"/>
              </w:rPr>
              <w:t>at December 31, 2013, Using:</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2"/>
              </w:rPr>
              <w:t>Quoted</w:t>
            </w: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2"/>
              </w:rPr>
              <w:t>Quoted</w:t>
            </w: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6"/>
              </w:rPr>
              <w:t>Prices</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86"/>
              </w:rPr>
              <w:t>Prices</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2"/>
              </w:rPr>
              <w:t>in Active</w:t>
            </w:r>
          </w:p>
        </w:tc>
        <w:tc>
          <w:tcPr>
            <w:tcW w:w="1120" w:type="dxa"/>
            <w:vAlign w:val="bottom"/>
          </w:tcPr>
          <w:p>
            <w:pPr>
              <w:jc w:val="center"/>
              <w:ind w:left="206"/>
              <w:spacing w:after="0"/>
              <w:rPr>
                <w:sz w:val="20"/>
                <w:szCs w:val="20"/>
                <w:color w:val="auto"/>
              </w:rPr>
            </w:pPr>
            <w:r>
              <w:rPr>
                <w:rFonts w:ascii="Arial" w:cs="Arial" w:eastAsia="Arial" w:hAnsi="Arial"/>
                <w:sz w:val="13"/>
                <w:szCs w:val="13"/>
                <w:b w:val="1"/>
                <w:bCs w:val="1"/>
                <w:color w:val="auto"/>
                <w:w w:val="90"/>
              </w:rPr>
              <w:t>Significant</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2"/>
              </w:rPr>
              <w:t>in Active</w:t>
            </w:r>
          </w:p>
        </w:tc>
        <w:tc>
          <w:tcPr>
            <w:tcW w:w="980" w:type="dxa"/>
            <w:vAlign w:val="bottom"/>
          </w:tcPr>
          <w:p>
            <w:pPr>
              <w:jc w:val="center"/>
              <w:ind w:left="65"/>
              <w:spacing w:after="0"/>
              <w:rPr>
                <w:sz w:val="20"/>
                <w:szCs w:val="20"/>
                <w:color w:val="auto"/>
              </w:rPr>
            </w:pPr>
            <w:r>
              <w:rPr>
                <w:rFonts w:ascii="Arial" w:cs="Arial" w:eastAsia="Arial" w:hAnsi="Arial"/>
                <w:sz w:val="13"/>
                <w:szCs w:val="13"/>
                <w:b w:val="1"/>
                <w:bCs w:val="1"/>
                <w:color w:val="auto"/>
                <w:w w:val="90"/>
              </w:rPr>
              <w:t>Significant</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4"/>
              </w:rPr>
              <w:t>Markets for</w:t>
            </w:r>
          </w:p>
        </w:tc>
        <w:tc>
          <w:tcPr>
            <w:tcW w:w="1120" w:type="dxa"/>
            <w:vAlign w:val="bottom"/>
          </w:tcPr>
          <w:p>
            <w:pPr>
              <w:jc w:val="center"/>
              <w:ind w:left="186"/>
              <w:spacing w:after="0"/>
              <w:rPr>
                <w:sz w:val="20"/>
                <w:szCs w:val="20"/>
                <w:color w:val="auto"/>
              </w:rPr>
            </w:pPr>
            <w:r>
              <w:rPr>
                <w:rFonts w:ascii="Arial" w:cs="Arial" w:eastAsia="Arial" w:hAnsi="Arial"/>
                <w:sz w:val="13"/>
                <w:szCs w:val="13"/>
                <w:b w:val="1"/>
                <w:bCs w:val="1"/>
                <w:color w:val="auto"/>
                <w:w w:val="97"/>
              </w:rPr>
              <w:t>Other</w:t>
            </w:r>
          </w:p>
        </w:tc>
        <w:tc>
          <w:tcPr>
            <w:tcW w:w="4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3"/>
              </w:rPr>
              <w:t>Significant</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6"/>
              </w:rPr>
              <w:t>Markets for</w:t>
            </w:r>
          </w:p>
        </w:tc>
        <w:tc>
          <w:tcPr>
            <w:tcW w:w="980" w:type="dxa"/>
            <w:vAlign w:val="bottom"/>
          </w:tcPr>
          <w:p>
            <w:pPr>
              <w:jc w:val="center"/>
              <w:ind w:left="85"/>
              <w:spacing w:after="0"/>
              <w:rPr>
                <w:sz w:val="20"/>
                <w:szCs w:val="20"/>
                <w:color w:val="auto"/>
              </w:rPr>
            </w:pPr>
            <w:r>
              <w:rPr>
                <w:rFonts w:ascii="Arial" w:cs="Arial" w:eastAsia="Arial" w:hAnsi="Arial"/>
                <w:sz w:val="13"/>
                <w:szCs w:val="13"/>
                <w:b w:val="1"/>
                <w:bCs w:val="1"/>
                <w:color w:val="auto"/>
                <w:w w:val="97"/>
              </w:rPr>
              <w:t>Other</w:t>
            </w:r>
          </w:p>
        </w:tc>
        <w:tc>
          <w:tcPr>
            <w:tcW w:w="420" w:type="dxa"/>
            <w:vAlign w:val="bottom"/>
          </w:tcPr>
          <w:p>
            <w:pPr>
              <w:spacing w:after="0"/>
              <w:rPr>
                <w:sz w:val="18"/>
                <w:szCs w:val="18"/>
                <w:color w:val="auto"/>
              </w:rPr>
            </w:pPr>
          </w:p>
        </w:tc>
        <w:tc>
          <w:tcPr>
            <w:tcW w:w="1420" w:type="dxa"/>
            <w:vAlign w:val="bottom"/>
            <w:gridSpan w:val="3"/>
          </w:tcPr>
          <w:p>
            <w:pPr>
              <w:jc w:val="center"/>
              <w:ind w:right="620"/>
              <w:spacing w:after="0"/>
              <w:rPr>
                <w:sz w:val="20"/>
                <w:szCs w:val="20"/>
                <w:color w:val="auto"/>
              </w:rPr>
            </w:pPr>
            <w:r>
              <w:rPr>
                <w:rFonts w:ascii="Arial" w:cs="Arial" w:eastAsia="Arial" w:hAnsi="Arial"/>
                <w:sz w:val="13"/>
                <w:szCs w:val="13"/>
                <w:b w:val="1"/>
                <w:bCs w:val="1"/>
                <w:color w:val="auto"/>
                <w:w w:val="90"/>
              </w:rPr>
              <w:t>Significant</w:t>
            </w:r>
          </w:p>
        </w:tc>
        <w:tc>
          <w:tcPr>
            <w:tcW w:w="0" w:type="dxa"/>
            <w:vAlign w:val="bottom"/>
          </w:tcPr>
          <w:p>
            <w:pPr>
              <w:spacing w:after="0"/>
              <w:rPr>
                <w:sz w:val="1"/>
                <w:szCs w:val="1"/>
                <w:color w:val="auto"/>
              </w:rPr>
            </w:pPr>
          </w:p>
        </w:tc>
      </w:tr>
      <w:tr>
        <w:trPr>
          <w:trHeight w:val="208"/>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4"/>
              </w:rPr>
              <w:t>Identical</w:t>
            </w:r>
          </w:p>
        </w:tc>
        <w:tc>
          <w:tcPr>
            <w:tcW w:w="1120" w:type="dxa"/>
            <w:vAlign w:val="bottom"/>
          </w:tcPr>
          <w:p>
            <w:pPr>
              <w:jc w:val="center"/>
              <w:ind w:left="206"/>
              <w:spacing w:after="0"/>
              <w:rPr>
                <w:sz w:val="20"/>
                <w:szCs w:val="20"/>
                <w:color w:val="auto"/>
              </w:rPr>
            </w:pPr>
            <w:r>
              <w:rPr>
                <w:rFonts w:ascii="Arial" w:cs="Arial" w:eastAsia="Arial" w:hAnsi="Arial"/>
                <w:sz w:val="13"/>
                <w:szCs w:val="13"/>
                <w:b w:val="1"/>
                <w:bCs w:val="1"/>
                <w:color w:val="auto"/>
                <w:w w:val="90"/>
              </w:rPr>
              <w:t>Observable</w:t>
            </w:r>
          </w:p>
        </w:tc>
        <w:tc>
          <w:tcPr>
            <w:tcW w:w="4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0"/>
              </w:rPr>
              <w:t>Unobservable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4"/>
              </w:rPr>
              <w:t>Identical</w:t>
            </w:r>
          </w:p>
        </w:tc>
        <w:tc>
          <w:tcPr>
            <w:tcW w:w="980" w:type="dxa"/>
            <w:vAlign w:val="bottom"/>
          </w:tcPr>
          <w:p>
            <w:pPr>
              <w:jc w:val="center"/>
              <w:ind w:left="65"/>
              <w:spacing w:after="0"/>
              <w:rPr>
                <w:sz w:val="20"/>
                <w:szCs w:val="20"/>
                <w:color w:val="auto"/>
              </w:rPr>
            </w:pPr>
            <w:r>
              <w:rPr>
                <w:rFonts w:ascii="Arial" w:cs="Arial" w:eastAsia="Arial" w:hAnsi="Arial"/>
                <w:sz w:val="13"/>
                <w:szCs w:val="13"/>
                <w:b w:val="1"/>
                <w:bCs w:val="1"/>
                <w:color w:val="auto"/>
                <w:w w:val="90"/>
              </w:rPr>
              <w:t>Observable</w:t>
            </w:r>
          </w:p>
        </w:tc>
        <w:tc>
          <w:tcPr>
            <w:tcW w:w="420" w:type="dxa"/>
            <w:vAlign w:val="bottom"/>
          </w:tcPr>
          <w:p>
            <w:pPr>
              <w:spacing w:after="0"/>
              <w:rPr>
                <w:sz w:val="18"/>
                <w:szCs w:val="18"/>
                <w:color w:val="auto"/>
              </w:rPr>
            </w:pPr>
          </w:p>
        </w:tc>
        <w:tc>
          <w:tcPr>
            <w:tcW w:w="1420" w:type="dxa"/>
            <w:vAlign w:val="bottom"/>
            <w:gridSpan w:val="3"/>
          </w:tcPr>
          <w:p>
            <w:pPr>
              <w:jc w:val="center"/>
              <w:ind w:right="620"/>
              <w:spacing w:after="0"/>
              <w:rPr>
                <w:sz w:val="20"/>
                <w:szCs w:val="20"/>
                <w:color w:val="auto"/>
              </w:rPr>
            </w:pPr>
            <w:r>
              <w:rPr>
                <w:rFonts w:ascii="Arial" w:cs="Arial" w:eastAsia="Arial" w:hAnsi="Arial"/>
                <w:sz w:val="13"/>
                <w:szCs w:val="13"/>
                <w:b w:val="1"/>
                <w:bCs w:val="1"/>
                <w:color w:val="auto"/>
                <w:w w:val="88"/>
              </w:rPr>
              <w:t>Unobservable</w:t>
            </w:r>
          </w:p>
        </w:tc>
        <w:tc>
          <w:tcPr>
            <w:tcW w:w="0" w:type="dxa"/>
            <w:vAlign w:val="bottom"/>
          </w:tcPr>
          <w:p>
            <w:pPr>
              <w:spacing w:after="0"/>
              <w:rPr>
                <w:sz w:val="1"/>
                <w:szCs w:val="1"/>
                <w:color w:val="auto"/>
              </w:rPr>
            </w:pPr>
          </w:p>
        </w:tc>
      </w:tr>
      <w:tr>
        <w:trPr>
          <w:trHeight w:val="208"/>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79"/>
              </w:rPr>
              <w:t>Assets</w:t>
            </w:r>
          </w:p>
        </w:tc>
        <w:tc>
          <w:tcPr>
            <w:tcW w:w="1120" w:type="dxa"/>
            <w:vAlign w:val="bottom"/>
          </w:tcPr>
          <w:p>
            <w:pPr>
              <w:jc w:val="center"/>
              <w:ind w:left="206"/>
              <w:spacing w:after="0"/>
              <w:rPr>
                <w:sz w:val="20"/>
                <w:szCs w:val="20"/>
                <w:color w:val="auto"/>
              </w:rPr>
            </w:pPr>
            <w:r>
              <w:rPr>
                <w:rFonts w:ascii="Arial" w:cs="Arial" w:eastAsia="Arial" w:hAnsi="Arial"/>
                <w:sz w:val="13"/>
                <w:szCs w:val="13"/>
                <w:b w:val="1"/>
                <w:bCs w:val="1"/>
                <w:color w:val="auto"/>
                <w:w w:val="92"/>
              </w:rPr>
              <w:t>Inputs</w:t>
            </w:r>
          </w:p>
        </w:tc>
        <w:tc>
          <w:tcPr>
            <w:tcW w:w="4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7"/>
              </w:rPr>
              <w:t>Inputs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79"/>
              </w:rPr>
              <w:t>Assets</w:t>
            </w:r>
          </w:p>
        </w:tc>
        <w:tc>
          <w:tcPr>
            <w:tcW w:w="980" w:type="dxa"/>
            <w:vAlign w:val="bottom"/>
          </w:tcPr>
          <w:p>
            <w:pPr>
              <w:jc w:val="center"/>
              <w:ind w:left="65"/>
              <w:spacing w:after="0"/>
              <w:rPr>
                <w:sz w:val="20"/>
                <w:szCs w:val="20"/>
                <w:color w:val="auto"/>
              </w:rPr>
            </w:pPr>
            <w:r>
              <w:rPr>
                <w:rFonts w:ascii="Arial" w:cs="Arial" w:eastAsia="Arial" w:hAnsi="Arial"/>
                <w:sz w:val="13"/>
                <w:szCs w:val="13"/>
                <w:b w:val="1"/>
                <w:bCs w:val="1"/>
                <w:color w:val="auto"/>
                <w:w w:val="92"/>
              </w:rPr>
              <w:t>Inputs</w:t>
            </w:r>
          </w:p>
        </w:tc>
        <w:tc>
          <w:tcPr>
            <w:tcW w:w="420" w:type="dxa"/>
            <w:vAlign w:val="bottom"/>
          </w:tcPr>
          <w:p>
            <w:pPr>
              <w:spacing w:after="0"/>
              <w:rPr>
                <w:sz w:val="18"/>
                <w:szCs w:val="18"/>
                <w:color w:val="auto"/>
              </w:rPr>
            </w:pPr>
          </w:p>
        </w:tc>
        <w:tc>
          <w:tcPr>
            <w:tcW w:w="1420" w:type="dxa"/>
            <w:vAlign w:val="bottom"/>
            <w:gridSpan w:val="3"/>
          </w:tcPr>
          <w:p>
            <w:pPr>
              <w:jc w:val="center"/>
              <w:ind w:right="620"/>
              <w:spacing w:after="0"/>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208"/>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4"/>
              </w:rPr>
              <w:t>(Level 1)</w:t>
            </w:r>
          </w:p>
        </w:tc>
        <w:tc>
          <w:tcPr>
            <w:tcW w:w="1120" w:type="dxa"/>
            <w:vAlign w:val="bottom"/>
          </w:tcPr>
          <w:p>
            <w:pPr>
              <w:jc w:val="center"/>
              <w:ind w:left="206"/>
              <w:spacing w:after="0"/>
              <w:rPr>
                <w:sz w:val="20"/>
                <w:szCs w:val="20"/>
                <w:color w:val="auto"/>
              </w:rPr>
            </w:pPr>
            <w:r>
              <w:rPr>
                <w:rFonts w:ascii="Arial" w:cs="Arial" w:eastAsia="Arial" w:hAnsi="Arial"/>
                <w:sz w:val="13"/>
                <w:szCs w:val="13"/>
                <w:b w:val="1"/>
                <w:bCs w:val="1"/>
                <w:color w:val="auto"/>
                <w:w w:val="90"/>
              </w:rPr>
              <w:t>(Level 2)</w:t>
            </w:r>
          </w:p>
        </w:tc>
        <w:tc>
          <w:tcPr>
            <w:tcW w:w="4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4"/>
              </w:rPr>
              <w:t>(Level 3)</w:t>
            </w:r>
          </w:p>
        </w:tc>
        <w:tc>
          <w:tcPr>
            <w:tcW w:w="680" w:type="dxa"/>
            <w:vAlign w:val="bottom"/>
          </w:tcPr>
          <w:p>
            <w:pPr>
              <w:jc w:val="right"/>
              <w:ind w:right="121"/>
              <w:spacing w:after="0"/>
              <w:rPr>
                <w:sz w:val="20"/>
                <w:szCs w:val="20"/>
                <w:color w:val="auto"/>
              </w:rPr>
            </w:pPr>
            <w:r>
              <w:rPr>
                <w:rFonts w:ascii="Arial" w:cs="Arial" w:eastAsia="Arial" w:hAnsi="Arial"/>
                <w:sz w:val="13"/>
                <w:szCs w:val="13"/>
                <w:b w:val="1"/>
                <w:bCs w:val="1"/>
                <w:color w:val="auto"/>
              </w:rPr>
              <w:t>Total</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4"/>
              </w:rPr>
              <w:t>(Level 1)</w:t>
            </w:r>
          </w:p>
        </w:tc>
        <w:tc>
          <w:tcPr>
            <w:tcW w:w="980" w:type="dxa"/>
            <w:vAlign w:val="bottom"/>
          </w:tcPr>
          <w:p>
            <w:pPr>
              <w:jc w:val="center"/>
              <w:ind w:left="85"/>
              <w:spacing w:after="0"/>
              <w:rPr>
                <w:sz w:val="20"/>
                <w:szCs w:val="20"/>
                <w:color w:val="auto"/>
              </w:rPr>
            </w:pPr>
            <w:r>
              <w:rPr>
                <w:rFonts w:ascii="Arial" w:cs="Arial" w:eastAsia="Arial" w:hAnsi="Arial"/>
                <w:sz w:val="13"/>
                <w:szCs w:val="13"/>
                <w:b w:val="1"/>
                <w:bCs w:val="1"/>
                <w:color w:val="auto"/>
                <w:w w:val="94"/>
              </w:rPr>
              <w:t>(Level 2)</w:t>
            </w:r>
          </w:p>
        </w:tc>
        <w:tc>
          <w:tcPr>
            <w:tcW w:w="420" w:type="dxa"/>
            <w:vAlign w:val="bottom"/>
          </w:tcPr>
          <w:p>
            <w:pPr>
              <w:spacing w:after="0"/>
              <w:rPr>
                <w:sz w:val="18"/>
                <w:szCs w:val="18"/>
                <w:color w:val="auto"/>
              </w:rPr>
            </w:pPr>
          </w:p>
        </w:tc>
        <w:tc>
          <w:tcPr>
            <w:tcW w:w="1420" w:type="dxa"/>
            <w:vAlign w:val="bottom"/>
            <w:gridSpan w:val="3"/>
          </w:tcPr>
          <w:p>
            <w:pPr>
              <w:jc w:val="center"/>
              <w:ind w:right="620"/>
              <w:spacing w:after="0"/>
              <w:rPr>
                <w:sz w:val="20"/>
                <w:szCs w:val="20"/>
                <w:color w:val="auto"/>
              </w:rPr>
            </w:pPr>
            <w:r>
              <w:rPr>
                <w:rFonts w:ascii="Arial" w:cs="Arial" w:eastAsia="Arial" w:hAnsi="Arial"/>
                <w:sz w:val="13"/>
                <w:szCs w:val="13"/>
                <w:b w:val="1"/>
                <w:bCs w:val="1"/>
                <w:color w:val="auto"/>
                <w:w w:val="90"/>
              </w:rPr>
              <w:t>(Level 3)</w:t>
            </w:r>
          </w:p>
        </w:tc>
        <w:tc>
          <w:tcPr>
            <w:tcW w:w="0" w:type="dxa"/>
            <w:vAlign w:val="bottom"/>
          </w:tcPr>
          <w:p>
            <w:pPr>
              <w:spacing w:after="0"/>
              <w:rPr>
                <w:sz w:val="1"/>
                <w:szCs w:val="1"/>
                <w:color w:val="auto"/>
              </w:rPr>
            </w:pPr>
          </w:p>
        </w:tc>
      </w:tr>
      <w:tr>
        <w:trPr>
          <w:trHeight w:val="23"/>
        </w:trPr>
        <w:tc>
          <w:tcPr>
            <w:tcW w:w="2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3"/>
          </w:tcPr>
          <w:p>
            <w:pPr>
              <w:jc w:val="right"/>
              <w:ind w:right="775"/>
              <w:spacing w:after="0"/>
              <w:rPr>
                <w:sz w:val="20"/>
                <w:szCs w:val="20"/>
                <w:color w:val="auto"/>
              </w:rPr>
            </w:pPr>
            <w:r>
              <w:rPr>
                <w:rFonts w:ascii="Arial" w:cs="Arial" w:eastAsia="Arial" w:hAnsi="Arial"/>
                <w:sz w:val="13"/>
                <w:szCs w:val="13"/>
                <w:i w:val="1"/>
                <w:iCs w:val="1"/>
                <w:color w:val="auto"/>
              </w:rPr>
              <w:t>(millions of dollars)</w:t>
            </w: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300" w:type="dxa"/>
            <w:vAlign w:val="bottom"/>
            <w:gridSpan w:val="2"/>
          </w:tcPr>
          <w:p>
            <w:pPr>
              <w:spacing w:after="0"/>
              <w:rPr>
                <w:sz w:val="20"/>
                <w:szCs w:val="20"/>
                <w:color w:val="auto"/>
              </w:rPr>
            </w:pPr>
            <w:r>
              <w:rPr>
                <w:rFonts w:ascii="Arial" w:cs="Arial" w:eastAsia="Arial" w:hAnsi="Arial"/>
                <w:sz w:val="16"/>
                <w:szCs w:val="16"/>
                <w:color w:val="auto"/>
              </w:rPr>
              <w:t>Asset category:</w:t>
            </w: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gridSpan w:val="2"/>
          </w:tcPr>
          <w:p>
            <w:pPr>
              <w:ind w:left="240"/>
              <w:spacing w:after="0"/>
              <w:rPr>
                <w:sz w:val="20"/>
                <w:szCs w:val="20"/>
                <w:color w:val="auto"/>
              </w:rPr>
            </w:pPr>
            <w:r>
              <w:rPr>
                <w:rFonts w:ascii="Arial" w:cs="Arial" w:eastAsia="Arial" w:hAnsi="Arial"/>
                <w:sz w:val="16"/>
                <w:szCs w:val="16"/>
                <w:color w:val="auto"/>
              </w:rPr>
              <w:t>Equity securities</w:t>
            </w: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vMerge w:val="restart"/>
          </w:tcPr>
          <w:p>
            <w:pPr>
              <w:jc w:val="right"/>
              <w:ind w:right="195"/>
              <w:spacing w:after="0"/>
              <w:rPr>
                <w:sz w:val="20"/>
                <w:szCs w:val="20"/>
                <w:color w:val="auto"/>
              </w:rPr>
            </w:pPr>
            <w:r>
              <w:rPr>
                <w:rFonts w:ascii="Arial" w:cs="Arial" w:eastAsia="Arial" w:hAnsi="Arial"/>
                <w:sz w:val="13"/>
                <w:szCs w:val="13"/>
                <w:i w:val="1"/>
                <w:iCs w:val="1"/>
                <w:color w:val="auto"/>
                <w:w w:val="87"/>
              </w:rPr>
              <w:t>(1)</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vMerge w:val="restart"/>
          </w:tcPr>
          <w:p>
            <w:pPr>
              <w:jc w:val="right"/>
              <w:ind w:right="175"/>
              <w:spacing w:after="0"/>
              <w:rPr>
                <w:sz w:val="20"/>
                <w:szCs w:val="20"/>
                <w:color w:val="auto"/>
              </w:rPr>
            </w:pPr>
            <w:r>
              <w:rPr>
                <w:rFonts w:ascii="Arial" w:cs="Arial" w:eastAsia="Arial" w:hAnsi="Arial"/>
                <w:sz w:val="13"/>
                <w:szCs w:val="13"/>
                <w:i w:val="1"/>
                <w:iCs w:val="1"/>
                <w:color w:val="auto"/>
              </w:rPr>
              <w:t>(1)</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300" w:type="dxa"/>
            <w:vAlign w:val="bottom"/>
            <w:gridSpan w:val="2"/>
          </w:tcPr>
          <w:p>
            <w:pPr>
              <w:ind w:left="480"/>
              <w:spacing w:after="0"/>
              <w:rPr>
                <w:sz w:val="20"/>
                <w:szCs w:val="20"/>
                <w:color w:val="auto"/>
              </w:rPr>
            </w:pPr>
            <w:r>
              <w:rPr>
                <w:rFonts w:ascii="Arial" w:cs="Arial" w:eastAsia="Arial" w:hAnsi="Arial"/>
                <w:sz w:val="16"/>
                <w:szCs w:val="16"/>
                <w:color w:val="auto"/>
              </w:rPr>
              <w:t>U.S.</w:t>
            </w:r>
          </w:p>
        </w:tc>
        <w:tc>
          <w:tcPr>
            <w:tcW w:w="76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2,514</w:t>
            </w:r>
          </w:p>
        </w:tc>
        <w:tc>
          <w:tcPr>
            <w:tcW w:w="420" w:type="dxa"/>
            <w:vAlign w:val="bottom"/>
            <w:vMerge w:val="continue"/>
          </w:tcPr>
          <w:p>
            <w:pPr>
              <w:spacing w:after="0"/>
              <w:rPr>
                <w:sz w:val="17"/>
                <w:szCs w:val="17"/>
                <w:color w:val="auto"/>
              </w:rPr>
            </w:pPr>
          </w:p>
        </w:tc>
        <w:tc>
          <w:tcPr>
            <w:tcW w:w="1060" w:type="dxa"/>
            <w:vAlign w:val="bottom"/>
          </w:tcPr>
          <w:p>
            <w:pPr>
              <w:jc w:val="right"/>
              <w:ind w:right="28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2,514</w:t>
            </w:r>
          </w:p>
        </w:tc>
        <w:tc>
          <w:tcPr>
            <w:tcW w:w="1540" w:type="dxa"/>
            <w:vAlign w:val="bottom"/>
            <w:gridSpan w:val="2"/>
          </w:tcPr>
          <w:p>
            <w:pPr>
              <w:jc w:val="right"/>
              <w:ind w:right="335"/>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3,046</w:t>
            </w:r>
          </w:p>
        </w:tc>
        <w:tc>
          <w:tcPr>
            <w:tcW w:w="420" w:type="dxa"/>
            <w:vAlign w:val="bottom"/>
            <w:vMerge w:val="continue"/>
          </w:tcPr>
          <w:p>
            <w:pPr>
              <w:spacing w:after="0"/>
              <w:rPr>
                <w:sz w:val="17"/>
                <w:szCs w:val="17"/>
                <w:color w:val="auto"/>
              </w:rPr>
            </w:pPr>
          </w:p>
        </w:tc>
        <w:tc>
          <w:tcPr>
            <w:tcW w:w="1020" w:type="dxa"/>
            <w:vAlign w:val="bottom"/>
          </w:tcPr>
          <w:p>
            <w:pPr>
              <w:jc w:val="right"/>
              <w:ind w:right="26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300" w:type="dxa"/>
            <w:vAlign w:val="bottom"/>
            <w:gridSpan w:val="2"/>
          </w:tcPr>
          <w:p>
            <w:pPr>
              <w:ind w:left="480"/>
              <w:spacing w:after="0"/>
              <w:rPr>
                <w:sz w:val="20"/>
                <w:szCs w:val="20"/>
                <w:color w:val="auto"/>
              </w:rPr>
            </w:pPr>
            <w:r>
              <w:rPr>
                <w:rFonts w:ascii="Arial" w:cs="Arial" w:eastAsia="Arial" w:hAnsi="Arial"/>
                <w:sz w:val="16"/>
                <w:szCs w:val="16"/>
                <w:color w:val="auto"/>
              </w:rPr>
              <w:t>Non-U.S.</w:t>
            </w:r>
          </w:p>
        </w:tc>
        <w:tc>
          <w:tcPr>
            <w:tcW w:w="76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2,622</w:t>
            </w:r>
          </w:p>
        </w:tc>
        <w:tc>
          <w:tcPr>
            <w:tcW w:w="420" w:type="dxa"/>
            <w:vAlign w:val="bottom"/>
          </w:tcPr>
          <w:p>
            <w:pPr>
              <w:jc w:val="right"/>
              <w:ind w:right="195"/>
              <w:spacing w:after="0"/>
              <w:rPr>
                <w:sz w:val="20"/>
                <w:szCs w:val="20"/>
                <w:color w:val="auto"/>
              </w:rPr>
            </w:pPr>
            <w:r>
              <w:rPr>
                <w:rFonts w:ascii="Arial" w:cs="Arial" w:eastAsia="Arial" w:hAnsi="Arial"/>
                <w:sz w:val="13"/>
                <w:szCs w:val="13"/>
                <w:i w:val="1"/>
                <w:iCs w:val="1"/>
                <w:color w:val="auto"/>
                <w:w w:val="87"/>
              </w:rPr>
              <w:t>(1)</w:t>
            </w:r>
          </w:p>
        </w:tc>
        <w:tc>
          <w:tcPr>
            <w:tcW w:w="1060" w:type="dxa"/>
            <w:vAlign w:val="bottom"/>
          </w:tcPr>
          <w:p>
            <w:pPr>
              <w:jc w:val="right"/>
              <w:ind w:right="28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2,622</w:t>
            </w:r>
          </w:p>
        </w:tc>
        <w:tc>
          <w:tcPr>
            <w:tcW w:w="1540" w:type="dxa"/>
            <w:vAlign w:val="bottom"/>
            <w:gridSpan w:val="2"/>
          </w:tcPr>
          <w:p>
            <w:pPr>
              <w:jc w:val="right"/>
              <w:ind w:right="15"/>
              <w:spacing w:after="0" w:line="221" w:lineRule="exact"/>
              <w:rPr>
                <w:sz w:val="20"/>
                <w:szCs w:val="20"/>
                <w:color w:val="auto"/>
              </w:rPr>
            </w:pPr>
            <w:r>
              <w:rPr>
                <w:rFonts w:ascii="Arial" w:cs="Arial" w:eastAsia="Arial" w:hAnsi="Arial"/>
                <w:sz w:val="16"/>
                <w:szCs w:val="16"/>
                <w:color w:val="auto"/>
              </w:rPr>
              <w:t xml:space="preserve">294 </w:t>
            </w:r>
            <w:r>
              <w:rPr>
                <w:rFonts w:ascii="Arial" w:cs="Arial" w:eastAsia="Arial" w:hAnsi="Arial"/>
                <w:sz w:val="25"/>
                <w:szCs w:val="25"/>
                <w:i w:val="1"/>
                <w:iCs w:val="1"/>
                <w:color w:val="auto"/>
                <w:vertAlign w:val="superscript"/>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5,608</w:t>
            </w:r>
          </w:p>
        </w:tc>
        <w:tc>
          <w:tcPr>
            <w:tcW w:w="420" w:type="dxa"/>
            <w:vAlign w:val="bottom"/>
          </w:tcPr>
          <w:p>
            <w:pPr>
              <w:jc w:val="right"/>
              <w:ind w:right="175"/>
              <w:spacing w:after="0"/>
              <w:rPr>
                <w:sz w:val="20"/>
                <w:szCs w:val="20"/>
                <w:color w:val="auto"/>
              </w:rPr>
            </w:pPr>
            <w:r>
              <w:rPr>
                <w:rFonts w:ascii="Arial" w:cs="Arial" w:eastAsia="Arial" w:hAnsi="Arial"/>
                <w:sz w:val="13"/>
                <w:szCs w:val="13"/>
                <w:i w:val="1"/>
                <w:iCs w:val="1"/>
                <w:color w:val="auto"/>
              </w:rPr>
              <w:t>(1)</w:t>
            </w:r>
          </w:p>
        </w:tc>
        <w:tc>
          <w:tcPr>
            <w:tcW w:w="1020" w:type="dxa"/>
            <w:vAlign w:val="bottom"/>
          </w:tcPr>
          <w:p>
            <w:pPr>
              <w:jc w:val="right"/>
              <w:ind w:right="26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300" w:type="dxa"/>
            <w:vAlign w:val="bottom"/>
            <w:gridSpan w:val="2"/>
          </w:tcPr>
          <w:p>
            <w:pPr>
              <w:ind w:left="240"/>
              <w:spacing w:after="0"/>
              <w:rPr>
                <w:sz w:val="20"/>
                <w:szCs w:val="20"/>
                <w:color w:val="auto"/>
              </w:rPr>
            </w:pPr>
            <w:r>
              <w:rPr>
                <w:rFonts w:ascii="Arial" w:cs="Arial" w:eastAsia="Arial" w:hAnsi="Arial"/>
                <w:sz w:val="16"/>
                <w:szCs w:val="16"/>
                <w:color w:val="auto"/>
              </w:rPr>
              <w:t>Private equity</w:t>
            </w:r>
          </w:p>
        </w:tc>
        <w:tc>
          <w:tcPr>
            <w:tcW w:w="76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6"/>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60" w:type="dxa"/>
            <w:vAlign w:val="bottom"/>
          </w:tcPr>
          <w:p>
            <w:pPr>
              <w:ind w:left="580"/>
              <w:spacing w:after="0" w:line="236" w:lineRule="exact"/>
              <w:rPr>
                <w:sz w:val="20"/>
                <w:szCs w:val="20"/>
                <w:color w:val="auto"/>
              </w:rPr>
            </w:pPr>
            <w:r>
              <w:rPr>
                <w:rFonts w:ascii="Arial" w:cs="Arial" w:eastAsia="Arial" w:hAnsi="Arial"/>
                <w:sz w:val="16"/>
                <w:szCs w:val="16"/>
                <w:color w:val="auto"/>
                <w:w w:val="87"/>
              </w:rPr>
              <w:t xml:space="preserve">523 </w:t>
            </w:r>
            <w:r>
              <w:rPr>
                <w:rFonts w:ascii="Arial" w:cs="Arial" w:eastAsia="Arial" w:hAnsi="Arial"/>
                <w:sz w:val="26"/>
                <w:szCs w:val="26"/>
                <w:i w:val="1"/>
                <w:iCs w:val="1"/>
                <w:color w:val="auto"/>
                <w:w w:val="87"/>
                <w:vertAlign w:val="superscript"/>
              </w:rPr>
              <w:t>(3)</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523</w:t>
            </w:r>
          </w:p>
        </w:tc>
        <w:tc>
          <w:tcPr>
            <w:tcW w:w="1540" w:type="dxa"/>
            <w:vAlign w:val="bottom"/>
            <w:gridSpan w:val="2"/>
          </w:tcPr>
          <w:p>
            <w:pPr>
              <w:jc w:val="right"/>
              <w:ind w:right="335"/>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5"/>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20" w:type="dxa"/>
            <w:vAlign w:val="bottom"/>
          </w:tcPr>
          <w:p>
            <w:pPr>
              <w:ind w:left="560"/>
              <w:spacing w:after="0" w:line="236" w:lineRule="exact"/>
              <w:rPr>
                <w:sz w:val="20"/>
                <w:szCs w:val="20"/>
                <w:color w:val="auto"/>
              </w:rPr>
            </w:pPr>
            <w:r>
              <w:rPr>
                <w:rFonts w:ascii="Arial" w:cs="Arial" w:eastAsia="Arial" w:hAnsi="Arial"/>
                <w:sz w:val="16"/>
                <w:szCs w:val="16"/>
                <w:color w:val="auto"/>
                <w:w w:val="84"/>
              </w:rPr>
              <w:t xml:space="preserve">502 </w:t>
            </w:r>
            <w:r>
              <w:rPr>
                <w:rFonts w:ascii="Arial" w:cs="Arial" w:eastAsia="Arial" w:hAnsi="Arial"/>
                <w:sz w:val="26"/>
                <w:szCs w:val="26"/>
                <w:i w:val="1"/>
                <w:iCs w:val="1"/>
                <w:color w:val="auto"/>
                <w:w w:val="84"/>
                <w:vertAlign w:val="superscript"/>
              </w:rPr>
              <w:t>(3)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300" w:type="dxa"/>
            <w:vAlign w:val="bottom"/>
            <w:gridSpan w:val="2"/>
          </w:tcPr>
          <w:p>
            <w:pPr>
              <w:ind w:left="240"/>
              <w:spacing w:after="0"/>
              <w:rPr>
                <w:sz w:val="20"/>
                <w:szCs w:val="20"/>
                <w:color w:val="auto"/>
              </w:rPr>
            </w:pPr>
            <w:r>
              <w:rPr>
                <w:rFonts w:ascii="Arial" w:cs="Arial" w:eastAsia="Arial" w:hAnsi="Arial"/>
                <w:sz w:val="16"/>
                <w:szCs w:val="16"/>
                <w:color w:val="auto"/>
              </w:rPr>
              <w:t>Debt securities</w:t>
            </w: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vMerge w:val="restart"/>
          </w:tcPr>
          <w:p>
            <w:pPr>
              <w:jc w:val="right"/>
              <w:ind w:right="195"/>
              <w:spacing w:after="0"/>
              <w:rPr>
                <w:sz w:val="20"/>
                <w:szCs w:val="20"/>
                <w:color w:val="auto"/>
              </w:rPr>
            </w:pPr>
            <w:r>
              <w:rPr>
                <w:rFonts w:ascii="Arial" w:cs="Arial" w:eastAsia="Arial" w:hAnsi="Arial"/>
                <w:sz w:val="13"/>
                <w:szCs w:val="13"/>
                <w:i w:val="1"/>
                <w:iCs w:val="1"/>
                <w:color w:val="auto"/>
                <w:w w:val="87"/>
              </w:rPr>
              <w:t>(4)</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vMerge w:val="restart"/>
          </w:tcPr>
          <w:p>
            <w:pPr>
              <w:jc w:val="right"/>
              <w:ind w:right="175"/>
              <w:spacing w:after="0"/>
              <w:rPr>
                <w:sz w:val="20"/>
                <w:szCs w:val="20"/>
                <w:color w:val="auto"/>
              </w:rPr>
            </w:pPr>
            <w:r>
              <w:rPr>
                <w:rFonts w:ascii="Arial" w:cs="Arial" w:eastAsia="Arial" w:hAnsi="Arial"/>
                <w:sz w:val="13"/>
                <w:szCs w:val="13"/>
                <w:i w:val="1"/>
                <w:iCs w:val="1"/>
                <w:color w:val="auto"/>
              </w:rPr>
              <w:t>(4)</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300" w:type="dxa"/>
            <w:vAlign w:val="bottom"/>
            <w:gridSpan w:val="2"/>
          </w:tcPr>
          <w:p>
            <w:pPr>
              <w:ind w:left="480"/>
              <w:spacing w:after="0"/>
              <w:rPr>
                <w:sz w:val="20"/>
                <w:szCs w:val="20"/>
                <w:color w:val="auto"/>
              </w:rPr>
            </w:pPr>
            <w:r>
              <w:rPr>
                <w:rFonts w:ascii="Arial" w:cs="Arial" w:eastAsia="Arial" w:hAnsi="Arial"/>
                <w:sz w:val="16"/>
                <w:szCs w:val="16"/>
                <w:color w:val="auto"/>
              </w:rPr>
              <w:t>Corporate</w:t>
            </w:r>
          </w:p>
        </w:tc>
        <w:tc>
          <w:tcPr>
            <w:tcW w:w="76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3,430</w:t>
            </w:r>
          </w:p>
        </w:tc>
        <w:tc>
          <w:tcPr>
            <w:tcW w:w="420" w:type="dxa"/>
            <w:vAlign w:val="bottom"/>
            <w:vMerge w:val="continue"/>
          </w:tcPr>
          <w:p>
            <w:pPr>
              <w:spacing w:after="0"/>
              <w:rPr>
                <w:sz w:val="18"/>
                <w:szCs w:val="18"/>
                <w:color w:val="auto"/>
              </w:rPr>
            </w:pPr>
          </w:p>
        </w:tc>
        <w:tc>
          <w:tcPr>
            <w:tcW w:w="1060" w:type="dxa"/>
            <w:vAlign w:val="bottom"/>
          </w:tcPr>
          <w:p>
            <w:pPr>
              <w:jc w:val="right"/>
              <w:ind w:right="28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3,430</w:t>
            </w:r>
          </w:p>
        </w:tc>
        <w:tc>
          <w:tcPr>
            <w:tcW w:w="1540" w:type="dxa"/>
            <w:vAlign w:val="bottom"/>
            <w:gridSpan w:val="2"/>
          </w:tcPr>
          <w:p>
            <w:pPr>
              <w:jc w:val="right"/>
              <w:ind w:right="335"/>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2,125</w:t>
            </w:r>
          </w:p>
        </w:tc>
        <w:tc>
          <w:tcPr>
            <w:tcW w:w="420" w:type="dxa"/>
            <w:vAlign w:val="bottom"/>
            <w:vMerge w:val="continue"/>
          </w:tcPr>
          <w:p>
            <w:pPr>
              <w:spacing w:after="0"/>
              <w:rPr>
                <w:sz w:val="18"/>
                <w:szCs w:val="18"/>
                <w:color w:val="auto"/>
              </w:rPr>
            </w:pPr>
          </w:p>
        </w:tc>
        <w:tc>
          <w:tcPr>
            <w:tcW w:w="1020" w:type="dxa"/>
            <w:vAlign w:val="bottom"/>
          </w:tcPr>
          <w:p>
            <w:pPr>
              <w:jc w:val="right"/>
              <w:ind w:right="26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300" w:type="dxa"/>
            <w:vAlign w:val="bottom"/>
            <w:gridSpan w:val="2"/>
          </w:tcPr>
          <w:p>
            <w:pPr>
              <w:ind w:left="480"/>
              <w:spacing w:after="0"/>
              <w:rPr>
                <w:sz w:val="20"/>
                <w:szCs w:val="20"/>
                <w:color w:val="auto"/>
              </w:rPr>
            </w:pPr>
            <w:r>
              <w:rPr>
                <w:rFonts w:ascii="Arial" w:cs="Arial" w:eastAsia="Arial" w:hAnsi="Arial"/>
                <w:sz w:val="16"/>
                <w:szCs w:val="16"/>
                <w:color w:val="auto"/>
              </w:rPr>
              <w:t>Government</w:t>
            </w:r>
          </w:p>
        </w:tc>
        <w:tc>
          <w:tcPr>
            <w:tcW w:w="76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2,056</w:t>
            </w:r>
          </w:p>
        </w:tc>
        <w:tc>
          <w:tcPr>
            <w:tcW w:w="420" w:type="dxa"/>
            <w:vAlign w:val="bottom"/>
          </w:tcPr>
          <w:p>
            <w:pPr>
              <w:jc w:val="right"/>
              <w:ind w:right="195"/>
              <w:spacing w:after="0"/>
              <w:rPr>
                <w:sz w:val="20"/>
                <w:szCs w:val="20"/>
                <w:color w:val="auto"/>
              </w:rPr>
            </w:pPr>
            <w:r>
              <w:rPr>
                <w:rFonts w:ascii="Arial" w:cs="Arial" w:eastAsia="Arial" w:hAnsi="Arial"/>
                <w:sz w:val="13"/>
                <w:szCs w:val="13"/>
                <w:i w:val="1"/>
                <w:iCs w:val="1"/>
                <w:color w:val="auto"/>
                <w:w w:val="87"/>
              </w:rPr>
              <w:t>(4)</w:t>
            </w:r>
          </w:p>
        </w:tc>
        <w:tc>
          <w:tcPr>
            <w:tcW w:w="1060" w:type="dxa"/>
            <w:vAlign w:val="bottom"/>
          </w:tcPr>
          <w:p>
            <w:pPr>
              <w:jc w:val="right"/>
              <w:ind w:right="28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2,056</w:t>
            </w:r>
          </w:p>
        </w:tc>
        <w:tc>
          <w:tcPr>
            <w:tcW w:w="1540" w:type="dxa"/>
            <w:vAlign w:val="bottom"/>
            <w:gridSpan w:val="2"/>
          </w:tcPr>
          <w:p>
            <w:pPr>
              <w:jc w:val="right"/>
              <w:ind w:right="15"/>
              <w:spacing w:after="0" w:line="221" w:lineRule="exact"/>
              <w:rPr>
                <w:sz w:val="20"/>
                <w:szCs w:val="20"/>
                <w:color w:val="auto"/>
              </w:rPr>
            </w:pPr>
            <w:r>
              <w:rPr>
                <w:rFonts w:ascii="Arial" w:cs="Arial" w:eastAsia="Arial" w:hAnsi="Arial"/>
                <w:sz w:val="25"/>
                <w:szCs w:val="25"/>
                <w:color w:val="auto"/>
                <w:vertAlign w:val="subscript"/>
              </w:rPr>
              <w:t>272</w:t>
            </w:r>
            <w:r>
              <w:rPr>
                <w:rFonts w:ascii="Arial" w:cs="Arial" w:eastAsia="Arial" w:hAnsi="Arial"/>
                <w:sz w:val="11"/>
                <w:szCs w:val="11"/>
                <w:i w:val="1"/>
                <w:iCs w:val="1"/>
                <w:color w:val="auto"/>
              </w:rPr>
              <w:t xml:space="preserve"> (5)</w:t>
            </w:r>
          </w:p>
        </w:tc>
        <w:tc>
          <w:tcPr>
            <w:tcW w:w="980" w:type="dxa"/>
            <w:vAlign w:val="bottom"/>
          </w:tcPr>
          <w:p>
            <w:pPr>
              <w:jc w:val="right"/>
              <w:spacing w:after="0"/>
              <w:rPr>
                <w:sz w:val="20"/>
                <w:szCs w:val="20"/>
                <w:color w:val="auto"/>
              </w:rPr>
            </w:pPr>
            <w:r>
              <w:rPr>
                <w:rFonts w:ascii="Arial" w:cs="Arial" w:eastAsia="Arial" w:hAnsi="Arial"/>
                <w:sz w:val="16"/>
                <w:szCs w:val="16"/>
                <w:color w:val="auto"/>
              </w:rPr>
              <w:t>7,100</w:t>
            </w:r>
          </w:p>
        </w:tc>
        <w:tc>
          <w:tcPr>
            <w:tcW w:w="420" w:type="dxa"/>
            <w:vAlign w:val="bottom"/>
          </w:tcPr>
          <w:p>
            <w:pPr>
              <w:jc w:val="right"/>
              <w:ind w:right="175"/>
              <w:spacing w:after="0"/>
              <w:rPr>
                <w:sz w:val="20"/>
                <w:szCs w:val="20"/>
                <w:color w:val="auto"/>
              </w:rPr>
            </w:pPr>
            <w:r>
              <w:rPr>
                <w:rFonts w:ascii="Arial" w:cs="Arial" w:eastAsia="Arial" w:hAnsi="Arial"/>
                <w:sz w:val="13"/>
                <w:szCs w:val="13"/>
                <w:i w:val="1"/>
                <w:iCs w:val="1"/>
                <w:color w:val="auto"/>
              </w:rPr>
              <w:t>(4)</w:t>
            </w:r>
          </w:p>
        </w:tc>
        <w:tc>
          <w:tcPr>
            <w:tcW w:w="1020" w:type="dxa"/>
            <w:vAlign w:val="bottom"/>
          </w:tcPr>
          <w:p>
            <w:pPr>
              <w:jc w:val="right"/>
              <w:ind w:right="26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300" w:type="dxa"/>
            <w:vAlign w:val="bottom"/>
            <w:gridSpan w:val="2"/>
          </w:tcPr>
          <w:p>
            <w:pPr>
              <w:ind w:left="480"/>
              <w:spacing w:after="0"/>
              <w:rPr>
                <w:sz w:val="20"/>
                <w:szCs w:val="20"/>
                <w:color w:val="auto"/>
              </w:rPr>
            </w:pPr>
            <w:r>
              <w:rPr>
                <w:rFonts w:ascii="Arial" w:cs="Arial" w:eastAsia="Arial" w:hAnsi="Arial"/>
                <w:sz w:val="16"/>
                <w:szCs w:val="16"/>
                <w:color w:val="auto"/>
              </w:rPr>
              <w:t>Asset-backed</w:t>
            </w:r>
          </w:p>
        </w:tc>
        <w:tc>
          <w:tcPr>
            <w:tcW w:w="76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420" w:type="dxa"/>
            <w:vAlign w:val="bottom"/>
          </w:tcPr>
          <w:p>
            <w:pPr>
              <w:jc w:val="right"/>
              <w:ind w:right="195"/>
              <w:spacing w:after="0"/>
              <w:rPr>
                <w:sz w:val="20"/>
                <w:szCs w:val="20"/>
                <w:color w:val="auto"/>
              </w:rPr>
            </w:pPr>
            <w:r>
              <w:rPr>
                <w:rFonts w:ascii="Arial" w:cs="Arial" w:eastAsia="Arial" w:hAnsi="Arial"/>
                <w:sz w:val="13"/>
                <w:szCs w:val="13"/>
                <w:i w:val="1"/>
                <w:iCs w:val="1"/>
                <w:color w:val="auto"/>
                <w:w w:val="87"/>
              </w:rPr>
              <w:t>(4)</w:t>
            </w:r>
          </w:p>
        </w:tc>
        <w:tc>
          <w:tcPr>
            <w:tcW w:w="1060" w:type="dxa"/>
            <w:vAlign w:val="bottom"/>
          </w:tcPr>
          <w:p>
            <w:pPr>
              <w:jc w:val="right"/>
              <w:ind w:right="28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w:t>
            </w:r>
          </w:p>
        </w:tc>
        <w:tc>
          <w:tcPr>
            <w:tcW w:w="1540" w:type="dxa"/>
            <w:vAlign w:val="bottom"/>
            <w:gridSpan w:val="2"/>
          </w:tcPr>
          <w:p>
            <w:pPr>
              <w:jc w:val="right"/>
              <w:ind w:right="335"/>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103</w:t>
            </w:r>
          </w:p>
        </w:tc>
        <w:tc>
          <w:tcPr>
            <w:tcW w:w="420" w:type="dxa"/>
            <w:vAlign w:val="bottom"/>
          </w:tcPr>
          <w:p>
            <w:pPr>
              <w:jc w:val="right"/>
              <w:ind w:right="175"/>
              <w:spacing w:after="0"/>
              <w:rPr>
                <w:sz w:val="20"/>
                <w:szCs w:val="20"/>
                <w:color w:val="auto"/>
              </w:rPr>
            </w:pPr>
            <w:r>
              <w:rPr>
                <w:rFonts w:ascii="Arial" w:cs="Arial" w:eastAsia="Arial" w:hAnsi="Arial"/>
                <w:sz w:val="13"/>
                <w:szCs w:val="13"/>
                <w:i w:val="1"/>
                <w:iCs w:val="1"/>
                <w:color w:val="auto"/>
              </w:rPr>
              <w:t>(4)</w:t>
            </w:r>
          </w:p>
        </w:tc>
        <w:tc>
          <w:tcPr>
            <w:tcW w:w="1020" w:type="dxa"/>
            <w:vAlign w:val="bottom"/>
          </w:tcPr>
          <w:p>
            <w:pPr>
              <w:jc w:val="right"/>
              <w:ind w:right="26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300" w:type="dxa"/>
            <w:vAlign w:val="bottom"/>
            <w:gridSpan w:val="2"/>
          </w:tcPr>
          <w:p>
            <w:pPr>
              <w:ind w:left="240"/>
              <w:spacing w:after="0"/>
              <w:rPr>
                <w:sz w:val="20"/>
                <w:szCs w:val="20"/>
                <w:color w:val="auto"/>
              </w:rPr>
            </w:pPr>
            <w:r>
              <w:rPr>
                <w:rFonts w:ascii="Arial" w:cs="Arial" w:eastAsia="Arial" w:hAnsi="Arial"/>
                <w:sz w:val="16"/>
                <w:szCs w:val="16"/>
                <w:color w:val="auto"/>
              </w:rPr>
              <w:t>Real estate funds</w:t>
            </w:r>
          </w:p>
        </w:tc>
        <w:tc>
          <w:tcPr>
            <w:tcW w:w="76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6"/>
              <w:spacing w:after="0"/>
              <w:rPr>
                <w:sz w:val="20"/>
                <w:szCs w:val="20"/>
                <w:color w:val="auto"/>
              </w:rPr>
            </w:pPr>
            <w:r>
              <w:rPr>
                <w:rFonts w:ascii="Arial" w:cs="Arial" w:eastAsia="Arial" w:hAnsi="Arial"/>
                <w:sz w:val="16"/>
                <w:szCs w:val="16"/>
                <w:color w:val="auto"/>
              </w:rPr>
              <w:t>-</w:t>
            </w:r>
          </w:p>
        </w:tc>
        <w:tc>
          <w:tcPr>
            <w:tcW w:w="420" w:type="dxa"/>
            <w:vAlign w:val="bottom"/>
            <w:vMerge w:val="restart"/>
          </w:tcPr>
          <w:p>
            <w:pPr>
              <w:jc w:val="right"/>
              <w:ind w:right="195"/>
              <w:spacing w:after="0"/>
              <w:rPr>
                <w:sz w:val="20"/>
                <w:szCs w:val="20"/>
                <w:color w:val="auto"/>
              </w:rPr>
            </w:pPr>
            <w:r>
              <w:rPr>
                <w:rFonts w:ascii="Arial" w:cs="Arial" w:eastAsia="Arial" w:hAnsi="Arial"/>
                <w:sz w:val="13"/>
                <w:szCs w:val="13"/>
                <w:i w:val="1"/>
                <w:iCs w:val="1"/>
                <w:color w:val="auto"/>
                <w:w w:val="87"/>
              </w:rPr>
              <w:t>(7)</w:t>
            </w:r>
          </w:p>
        </w:tc>
        <w:tc>
          <w:tcPr>
            <w:tcW w:w="1060" w:type="dxa"/>
            <w:vAlign w:val="bottom"/>
          </w:tcPr>
          <w:p>
            <w:pPr>
              <w:jc w:val="right"/>
              <w:ind w:right="28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335"/>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5"/>
              <w:spacing w:after="0"/>
              <w:rPr>
                <w:sz w:val="20"/>
                <w:szCs w:val="20"/>
                <w:color w:val="auto"/>
              </w:rPr>
            </w:pPr>
            <w:r>
              <w:rPr>
                <w:rFonts w:ascii="Arial" w:cs="Arial" w:eastAsia="Arial" w:hAnsi="Arial"/>
                <w:sz w:val="16"/>
                <w:szCs w:val="16"/>
                <w:color w:val="auto"/>
              </w:rPr>
              <w:t>-</w:t>
            </w:r>
          </w:p>
        </w:tc>
        <w:tc>
          <w:tcPr>
            <w:tcW w:w="420" w:type="dxa"/>
            <w:vAlign w:val="bottom"/>
            <w:vMerge w:val="restart"/>
          </w:tcPr>
          <w:p>
            <w:pPr>
              <w:jc w:val="right"/>
              <w:ind w:right="175"/>
              <w:spacing w:after="0"/>
              <w:rPr>
                <w:sz w:val="20"/>
                <w:szCs w:val="20"/>
                <w:color w:val="auto"/>
              </w:rPr>
            </w:pPr>
            <w:r>
              <w:rPr>
                <w:rFonts w:ascii="Arial" w:cs="Arial" w:eastAsia="Arial" w:hAnsi="Arial"/>
                <w:sz w:val="13"/>
                <w:szCs w:val="13"/>
                <w:i w:val="1"/>
                <w:iCs w:val="1"/>
                <w:color w:val="auto"/>
              </w:rPr>
              <w:t>(8)</w:t>
            </w:r>
          </w:p>
        </w:tc>
        <w:tc>
          <w:tcPr>
            <w:tcW w:w="1020" w:type="dxa"/>
            <w:vAlign w:val="bottom"/>
          </w:tcPr>
          <w:p>
            <w:pPr>
              <w:ind w:left="560"/>
              <w:spacing w:after="0" w:line="236" w:lineRule="exact"/>
              <w:rPr>
                <w:sz w:val="20"/>
                <w:szCs w:val="20"/>
                <w:color w:val="auto"/>
              </w:rPr>
            </w:pPr>
            <w:r>
              <w:rPr>
                <w:rFonts w:ascii="Arial" w:cs="Arial" w:eastAsia="Arial" w:hAnsi="Arial"/>
                <w:sz w:val="16"/>
                <w:szCs w:val="16"/>
                <w:color w:val="auto"/>
                <w:w w:val="84"/>
              </w:rPr>
              <w:t xml:space="preserve">136 </w:t>
            </w:r>
            <w:r>
              <w:rPr>
                <w:rFonts w:ascii="Arial" w:cs="Arial" w:eastAsia="Arial" w:hAnsi="Arial"/>
                <w:sz w:val="26"/>
                <w:szCs w:val="26"/>
                <w:i w:val="1"/>
                <w:iCs w:val="1"/>
                <w:color w:val="auto"/>
                <w:w w:val="84"/>
                <w:vertAlign w:val="superscript"/>
              </w:rPr>
              <w:t>(6)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300" w:type="dxa"/>
            <w:vAlign w:val="bottom"/>
            <w:gridSpan w:val="2"/>
          </w:tcPr>
          <w:p>
            <w:pPr>
              <w:ind w:left="240"/>
              <w:spacing w:after="0"/>
              <w:rPr>
                <w:sz w:val="20"/>
                <w:szCs w:val="20"/>
                <w:color w:val="auto"/>
              </w:rPr>
            </w:pPr>
            <w:r>
              <w:rPr>
                <w:rFonts w:ascii="Arial" w:cs="Arial" w:eastAsia="Arial" w:hAnsi="Arial"/>
                <w:sz w:val="16"/>
                <w:szCs w:val="16"/>
                <w:color w:val="auto"/>
              </w:rPr>
              <w:t>Cash</w:t>
            </w: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4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540" w:type="dxa"/>
            <w:vAlign w:val="bottom"/>
            <w:tcBorders>
              <w:bottom w:val="single" w:sz="8" w:color="auto"/>
            </w:tcBorders>
            <w:gridSpan w:val="2"/>
          </w:tcPr>
          <w:p>
            <w:pPr>
              <w:jc w:val="right"/>
              <w:ind w:right="215"/>
              <w:spacing w:after="0"/>
              <w:rPr>
                <w:sz w:val="20"/>
                <w:szCs w:val="20"/>
                <w:color w:val="auto"/>
              </w:rPr>
            </w:pPr>
            <w:r>
              <w:rPr>
                <w:rFonts w:ascii="Arial" w:cs="Arial" w:eastAsia="Arial" w:hAnsi="Arial"/>
                <w:sz w:val="16"/>
                <w:szCs w:val="16"/>
                <w:color w:val="auto"/>
              </w:rPr>
              <w:t>57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4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gridSpan w:val="2"/>
          </w:tcPr>
          <w:p>
            <w:pPr>
              <w:spacing w:after="0"/>
              <w:rPr>
                <w:sz w:val="20"/>
                <w:szCs w:val="20"/>
                <w:color w:val="auto"/>
              </w:rPr>
            </w:pPr>
            <w:r>
              <w:rPr>
                <w:rFonts w:ascii="Arial" w:cs="Arial" w:eastAsia="Arial" w:hAnsi="Arial"/>
                <w:sz w:val="16"/>
                <w:szCs w:val="16"/>
                <w:color w:val="auto"/>
              </w:rPr>
              <w:t>Total at fair value</w:t>
            </w:r>
          </w:p>
        </w:tc>
        <w:tc>
          <w:tcPr>
            <w:tcW w:w="76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10,655</w:t>
            </w:r>
          </w:p>
        </w:tc>
        <w:tc>
          <w:tcPr>
            <w:tcW w:w="42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Arial" w:cs="Arial" w:eastAsia="Arial" w:hAnsi="Arial"/>
                <w:sz w:val="16"/>
                <w:szCs w:val="16"/>
                <w:color w:val="auto"/>
              </w:rPr>
              <w:t>523</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11,178</w:t>
            </w:r>
          </w:p>
        </w:tc>
        <w:tc>
          <w:tcPr>
            <w:tcW w:w="1540" w:type="dxa"/>
            <w:vAlign w:val="bottom"/>
            <w:gridSpan w:val="2"/>
          </w:tcPr>
          <w:p>
            <w:pPr>
              <w:jc w:val="right"/>
              <w:ind w:right="215"/>
              <w:spacing w:after="0"/>
              <w:rPr>
                <w:sz w:val="20"/>
                <w:szCs w:val="20"/>
                <w:color w:val="auto"/>
              </w:rPr>
            </w:pPr>
            <w:r>
              <w:rPr>
                <w:rFonts w:ascii="Arial" w:cs="Arial" w:eastAsia="Arial" w:hAnsi="Arial"/>
                <w:sz w:val="16"/>
                <w:szCs w:val="16"/>
                <w:color w:val="auto"/>
              </w:rPr>
              <w:t>623</w:t>
            </w:r>
          </w:p>
        </w:tc>
        <w:tc>
          <w:tcPr>
            <w:tcW w:w="980" w:type="dxa"/>
            <w:vAlign w:val="bottom"/>
          </w:tcPr>
          <w:p>
            <w:pPr>
              <w:jc w:val="right"/>
              <w:spacing w:after="0"/>
              <w:rPr>
                <w:sz w:val="20"/>
                <w:szCs w:val="20"/>
                <w:color w:val="auto"/>
              </w:rPr>
            </w:pPr>
            <w:r>
              <w:rPr>
                <w:rFonts w:ascii="Arial" w:cs="Arial" w:eastAsia="Arial" w:hAnsi="Arial"/>
                <w:sz w:val="16"/>
                <w:szCs w:val="16"/>
                <w:color w:val="auto"/>
              </w:rPr>
              <w:t>18,002</w:t>
            </w:r>
          </w:p>
        </w:tc>
        <w:tc>
          <w:tcPr>
            <w:tcW w:w="420" w:type="dxa"/>
            <w:vAlign w:val="bottom"/>
          </w:tcPr>
          <w:p>
            <w:pPr>
              <w:spacing w:after="0"/>
              <w:rPr>
                <w:sz w:val="18"/>
                <w:szCs w:val="18"/>
                <w:color w:val="auto"/>
              </w:rPr>
            </w:pPr>
          </w:p>
        </w:tc>
        <w:tc>
          <w:tcPr>
            <w:tcW w:w="1020" w:type="dxa"/>
            <w:vAlign w:val="bottom"/>
          </w:tcPr>
          <w:p>
            <w:pPr>
              <w:ind w:left="560"/>
              <w:spacing w:after="0"/>
              <w:rPr>
                <w:sz w:val="20"/>
                <w:szCs w:val="20"/>
                <w:color w:val="auto"/>
              </w:rPr>
            </w:pPr>
            <w:r>
              <w:rPr>
                <w:rFonts w:ascii="Arial" w:cs="Arial" w:eastAsia="Arial" w:hAnsi="Arial"/>
                <w:sz w:val="16"/>
                <w:szCs w:val="16"/>
                <w:color w:val="auto"/>
              </w:rPr>
              <w:t>638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300" w:type="dxa"/>
            <w:vAlign w:val="bottom"/>
            <w:gridSpan w:val="2"/>
          </w:tcPr>
          <w:p>
            <w:pPr>
              <w:ind w:left="240"/>
              <w:spacing w:after="0"/>
              <w:rPr>
                <w:sz w:val="20"/>
                <w:szCs w:val="20"/>
                <w:color w:val="auto"/>
              </w:rPr>
            </w:pPr>
            <w:r>
              <w:rPr>
                <w:rFonts w:ascii="Arial" w:cs="Arial" w:eastAsia="Arial" w:hAnsi="Arial"/>
                <w:sz w:val="16"/>
                <w:szCs w:val="16"/>
                <w:color w:val="auto"/>
              </w:rPr>
              <w:t>Insurance contracts</w:t>
            </w:r>
          </w:p>
        </w:tc>
        <w:tc>
          <w:tcPr>
            <w:tcW w:w="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00" w:type="dxa"/>
            <w:vAlign w:val="bottom"/>
            <w:gridSpan w:val="2"/>
          </w:tcPr>
          <w:p>
            <w:pPr>
              <w:ind w:left="480"/>
              <w:spacing w:after="0"/>
              <w:rPr>
                <w:sz w:val="20"/>
                <w:szCs w:val="20"/>
                <w:color w:val="auto"/>
              </w:rPr>
            </w:pPr>
            <w:r>
              <w:rPr>
                <w:rFonts w:ascii="Arial" w:cs="Arial" w:eastAsia="Arial" w:hAnsi="Arial"/>
                <w:sz w:val="16"/>
                <w:szCs w:val="16"/>
                <w:color w:val="auto"/>
              </w:rPr>
              <w:t>at contract value</w:t>
            </w:r>
          </w:p>
        </w:tc>
        <w:tc>
          <w:tcPr>
            <w:tcW w:w="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300" w:type="dxa"/>
            <w:vAlign w:val="bottom"/>
            <w:gridSpan w:val="2"/>
          </w:tcPr>
          <w:p>
            <w:pPr>
              <w:spacing w:after="0"/>
              <w:rPr>
                <w:sz w:val="20"/>
                <w:szCs w:val="20"/>
                <w:color w:val="auto"/>
              </w:rPr>
            </w:pPr>
            <w:r>
              <w:rPr>
                <w:rFonts w:ascii="Arial" w:cs="Arial" w:eastAsia="Arial" w:hAnsi="Arial"/>
                <w:sz w:val="16"/>
                <w:szCs w:val="16"/>
                <w:color w:val="auto"/>
              </w:rPr>
              <w:t>Total plan assets</w:t>
            </w: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11,190</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300" w:right="80" w:hanging="294"/>
        <w:spacing w:after="0" w:line="286" w:lineRule="auto"/>
        <w:tabs>
          <w:tab w:leader="none" w:pos="336"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For U.S. and non-U.S. equity securities held in the form of fund units that are redeemable at the measurement date, the unit value is treated as a Level 2 input. value of the securities owned by the funds is based on observable quoted prices on active exchanges, which are Level 1 inputs.</w:t>
      </w:r>
    </w:p>
    <w:p>
      <w:pPr>
        <w:spacing w:after="0" w:line="2" w:lineRule="exact"/>
        <w:rPr>
          <w:rFonts w:ascii="Arial" w:cs="Arial" w:eastAsia="Arial" w:hAnsi="Arial"/>
          <w:sz w:val="16"/>
          <w:szCs w:val="16"/>
          <w:i w:val="1"/>
          <w:iCs w:val="1"/>
          <w:color w:val="auto"/>
        </w:rPr>
      </w:pPr>
    </w:p>
    <w:p>
      <w:pPr>
        <w:ind w:left="320" w:hanging="314"/>
        <w:spacing w:after="0"/>
        <w:tabs>
          <w:tab w:leader="none" w:pos="32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For non-U.S. equity securities held in separate accounts, fair value is based on observable quoted prices on active exchanges.</w:t>
      </w:r>
    </w:p>
    <w:p>
      <w:pPr>
        <w:spacing w:after="0" w:line="61" w:lineRule="exact"/>
        <w:rPr>
          <w:rFonts w:ascii="Arial" w:cs="Arial" w:eastAsia="Arial" w:hAnsi="Arial"/>
          <w:sz w:val="16"/>
          <w:szCs w:val="16"/>
          <w:i w:val="1"/>
          <w:iCs w:val="1"/>
          <w:color w:val="auto"/>
        </w:rPr>
      </w:pPr>
    </w:p>
    <w:p>
      <w:pPr>
        <w:ind w:left="320" w:hanging="314"/>
        <w:spacing w:after="0"/>
        <w:tabs>
          <w:tab w:leader="none" w:pos="320" w:val="left"/>
        </w:tabs>
        <w:numPr>
          <w:ilvl w:val="0"/>
          <w:numId w:val="34"/>
        </w:numPr>
        <w:rPr>
          <w:rFonts w:ascii="Arial" w:cs="Arial" w:eastAsia="Arial" w:hAnsi="Arial"/>
          <w:sz w:val="15"/>
          <w:szCs w:val="15"/>
          <w:i w:val="1"/>
          <w:iCs w:val="1"/>
          <w:color w:val="auto"/>
        </w:rPr>
      </w:pPr>
      <w:r>
        <w:rPr>
          <w:rFonts w:ascii="Arial" w:cs="Arial" w:eastAsia="Arial" w:hAnsi="Arial"/>
          <w:sz w:val="15"/>
          <w:szCs w:val="15"/>
          <w:i w:val="1"/>
          <w:iCs w:val="1"/>
          <w:color w:val="auto"/>
        </w:rPr>
        <w:t>For private equity, fair value is generally established by using revenue or earnings multiples or other relevant market data including Initial Public Offerings.</w:t>
      </w:r>
    </w:p>
    <w:p>
      <w:pPr>
        <w:spacing w:after="0" w:line="72" w:lineRule="exact"/>
        <w:rPr>
          <w:rFonts w:ascii="Arial" w:cs="Arial" w:eastAsia="Arial" w:hAnsi="Arial"/>
          <w:sz w:val="15"/>
          <w:szCs w:val="15"/>
          <w:i w:val="1"/>
          <w:iCs w:val="1"/>
          <w:color w:val="auto"/>
        </w:rPr>
      </w:pPr>
    </w:p>
    <w:p>
      <w:pPr>
        <w:ind w:left="320" w:hanging="314"/>
        <w:spacing w:after="0"/>
        <w:tabs>
          <w:tab w:leader="none" w:pos="32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For corporate, government and asset-backed debt securities, fair value is based on observable inputs of comparable market transactions.</w:t>
      </w:r>
    </w:p>
    <w:p>
      <w:pPr>
        <w:spacing w:after="0" w:line="61" w:lineRule="exact"/>
        <w:rPr>
          <w:rFonts w:ascii="Arial" w:cs="Arial" w:eastAsia="Arial" w:hAnsi="Arial"/>
          <w:sz w:val="16"/>
          <w:szCs w:val="16"/>
          <w:i w:val="1"/>
          <w:iCs w:val="1"/>
          <w:color w:val="auto"/>
        </w:rPr>
      </w:pPr>
    </w:p>
    <w:p>
      <w:pPr>
        <w:ind w:left="320" w:hanging="314"/>
        <w:spacing w:after="0"/>
        <w:tabs>
          <w:tab w:leader="none" w:pos="32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For corporate and government debt securities that are traded on active exchanges, fair value is based on observable quoted prices.</w:t>
      </w:r>
    </w:p>
    <w:p>
      <w:pPr>
        <w:spacing w:after="0" w:line="61" w:lineRule="exact"/>
        <w:rPr>
          <w:rFonts w:ascii="Arial" w:cs="Arial" w:eastAsia="Arial" w:hAnsi="Arial"/>
          <w:sz w:val="16"/>
          <w:szCs w:val="16"/>
          <w:i w:val="1"/>
          <w:iCs w:val="1"/>
          <w:color w:val="auto"/>
        </w:rPr>
      </w:pPr>
    </w:p>
    <w:p>
      <w:pPr>
        <w:ind w:left="320" w:hanging="314"/>
        <w:spacing w:after="0"/>
        <w:tabs>
          <w:tab w:leader="none" w:pos="32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For real estate funds, fair value is based on appraised values developed using comparable market transactions.</w:t>
      </w:r>
    </w:p>
    <w:p>
      <w:pPr>
        <w:spacing w:after="0" w:line="61" w:lineRule="exact"/>
        <w:rPr>
          <w:rFonts w:ascii="Arial" w:cs="Arial" w:eastAsia="Arial" w:hAnsi="Arial"/>
          <w:sz w:val="16"/>
          <w:szCs w:val="16"/>
          <w:i w:val="1"/>
          <w:iCs w:val="1"/>
          <w:color w:val="auto"/>
        </w:rPr>
      </w:pPr>
    </w:p>
    <w:p>
      <w:pPr>
        <w:ind w:left="320" w:hanging="314"/>
        <w:spacing w:after="0"/>
        <w:tabs>
          <w:tab w:leader="none" w:pos="32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For cash balances held in the form of short-term fund units that are redeemable at the measurement date, the fair value is treated as a Level 2 input.</w:t>
      </w:r>
    </w:p>
    <w:p>
      <w:pPr>
        <w:spacing w:after="0" w:line="61" w:lineRule="exact"/>
        <w:rPr>
          <w:rFonts w:ascii="Arial" w:cs="Arial" w:eastAsia="Arial" w:hAnsi="Arial"/>
          <w:sz w:val="16"/>
          <w:szCs w:val="16"/>
          <w:i w:val="1"/>
          <w:iCs w:val="1"/>
          <w:color w:val="auto"/>
        </w:rPr>
      </w:pPr>
    </w:p>
    <w:p>
      <w:pPr>
        <w:ind w:left="320" w:hanging="314"/>
        <w:spacing w:after="0"/>
        <w:tabs>
          <w:tab w:leader="none" w:pos="32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For cash balances that are subject to withdrawal penalties or other adjustments, the fair value is treated as a Level 2 input.</w:t>
      </w:r>
    </w:p>
    <w:p>
      <w:pPr>
        <w:spacing w:after="0" w:line="200" w:lineRule="exact"/>
        <w:rPr>
          <w:sz w:val="20"/>
          <w:szCs w:val="20"/>
          <w:color w:val="auto"/>
        </w:rPr>
      </w:pPr>
    </w:p>
    <w:p>
      <w:pPr>
        <w:spacing w:after="0" w:line="351"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8" w:right="139" w:bottom="1440" w:gutter="0" w:footer="0" w:header="0"/>
        </w:sectPr>
      </w:pPr>
    </w:p>
    <w:bookmarkStart w:id="91" w:name="page92"/>
    <w:bookmarkEnd w:id="91"/>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78" w:lineRule="exact"/>
        <w:rPr>
          <w:sz w:val="20"/>
          <w:szCs w:val="20"/>
          <w:color w:val="auto"/>
        </w:rPr>
      </w:pPr>
    </w:p>
    <w:tbl>
      <w:tblPr>
        <w:tblLayout w:type="fixed"/>
        <w:tblInd w:w="580" w:type="dxa"/>
        <w:tblCellMar>
          <w:top w:w="0" w:type="dxa"/>
          <w:left w:w="0" w:type="dxa"/>
          <w:bottom w:w="0" w:type="dxa"/>
          <w:right w:w="0" w:type="dxa"/>
        </w:tblCellMar>
      </w:tblPr>
      <w:tr>
        <w:trPr>
          <w:trHeight w:val="155"/>
        </w:trPr>
        <w:tc>
          <w:tcPr>
            <w:tcW w:w="5280" w:type="dxa"/>
            <w:vAlign w:val="bottom"/>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3"/>
                <w:szCs w:val="13"/>
                <w:b w:val="1"/>
                <w:bCs w:val="1"/>
                <w:color w:val="auto"/>
              </w:rPr>
              <w:t>Other Postretirement</w:t>
            </w:r>
          </w:p>
        </w:tc>
        <w:tc>
          <w:tcPr>
            <w:tcW w:w="13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00" w:type="dxa"/>
            <w:vAlign w:val="bottom"/>
            <w:gridSpan w:val="2"/>
          </w:tcPr>
          <w:p>
            <w:pPr>
              <w:jc w:val="right"/>
              <w:ind w:right="515"/>
              <w:spacing w:after="0"/>
              <w:rPr>
                <w:sz w:val="20"/>
                <w:szCs w:val="20"/>
                <w:color w:val="auto"/>
              </w:rPr>
            </w:pPr>
            <w:r>
              <w:rPr>
                <w:rFonts w:ascii="Arial" w:cs="Arial" w:eastAsia="Arial" w:hAnsi="Arial"/>
                <w:sz w:val="13"/>
                <w:szCs w:val="13"/>
                <w:b w:val="1"/>
                <w:bCs w:val="1"/>
                <w:color w:val="auto"/>
              </w:rPr>
              <w:t>Fair Value Measurement</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28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2"/>
          </w:tcPr>
          <w:p>
            <w:pPr>
              <w:jc w:val="right"/>
              <w:ind w:right="395"/>
              <w:spacing w:after="0"/>
              <w:rPr>
                <w:sz w:val="20"/>
                <w:szCs w:val="20"/>
                <w:color w:val="auto"/>
              </w:rPr>
            </w:pPr>
            <w:r>
              <w:rPr>
                <w:rFonts w:ascii="Arial" w:cs="Arial" w:eastAsia="Arial" w:hAnsi="Arial"/>
                <w:sz w:val="13"/>
                <w:szCs w:val="13"/>
                <w:b w:val="1"/>
                <w:bCs w:val="1"/>
                <w:color w:val="auto"/>
              </w:rPr>
              <w:t>at December 31, 2013, Using:</w:t>
            </w:r>
          </w:p>
        </w:tc>
        <w:tc>
          <w:tcPr>
            <w:tcW w:w="130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5280" w:type="dxa"/>
            <w:vAlign w:val="bottom"/>
          </w:tcPr>
          <w:p>
            <w:pPr>
              <w:spacing w:after="0"/>
              <w:rPr>
                <w:sz w:val="14"/>
                <w:szCs w:val="14"/>
                <w:color w:val="auto"/>
              </w:rPr>
            </w:pPr>
          </w:p>
        </w:tc>
        <w:tc>
          <w:tcPr>
            <w:tcW w:w="1540" w:type="dxa"/>
            <w:vAlign w:val="bottom"/>
          </w:tcPr>
          <w:p>
            <w:pPr>
              <w:jc w:val="center"/>
              <w:ind w:left="326"/>
              <w:spacing w:after="0"/>
              <w:rPr>
                <w:sz w:val="20"/>
                <w:szCs w:val="20"/>
                <w:color w:val="auto"/>
              </w:rPr>
            </w:pPr>
            <w:r>
              <w:rPr>
                <w:rFonts w:ascii="Arial" w:cs="Arial" w:eastAsia="Arial" w:hAnsi="Arial"/>
                <w:sz w:val="13"/>
                <w:szCs w:val="13"/>
                <w:b w:val="1"/>
                <w:bCs w:val="1"/>
                <w:color w:val="auto"/>
                <w:w w:val="92"/>
              </w:rPr>
              <w:t>Quoted</w:t>
            </w: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280" w:type="dxa"/>
            <w:vAlign w:val="bottom"/>
          </w:tcPr>
          <w:p>
            <w:pPr>
              <w:spacing w:after="0"/>
              <w:rPr>
                <w:sz w:val="18"/>
                <w:szCs w:val="18"/>
                <w:color w:val="auto"/>
              </w:rPr>
            </w:pPr>
          </w:p>
        </w:tc>
        <w:tc>
          <w:tcPr>
            <w:tcW w:w="1540" w:type="dxa"/>
            <w:vAlign w:val="bottom"/>
          </w:tcPr>
          <w:p>
            <w:pPr>
              <w:jc w:val="center"/>
              <w:ind w:left="326"/>
              <w:spacing w:after="0"/>
              <w:rPr>
                <w:sz w:val="20"/>
                <w:szCs w:val="20"/>
                <w:color w:val="auto"/>
              </w:rPr>
            </w:pPr>
            <w:r>
              <w:rPr>
                <w:rFonts w:ascii="Arial" w:cs="Arial" w:eastAsia="Arial" w:hAnsi="Arial"/>
                <w:sz w:val="13"/>
                <w:szCs w:val="13"/>
                <w:b w:val="1"/>
                <w:bCs w:val="1"/>
                <w:color w:val="auto"/>
                <w:w w:val="86"/>
              </w:rPr>
              <w:t>Prices</w:t>
            </w: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80" w:type="dxa"/>
            <w:vAlign w:val="bottom"/>
          </w:tcPr>
          <w:p>
            <w:pPr>
              <w:spacing w:after="0"/>
              <w:rPr>
                <w:sz w:val="18"/>
                <w:szCs w:val="18"/>
                <w:color w:val="auto"/>
              </w:rPr>
            </w:pPr>
          </w:p>
        </w:tc>
        <w:tc>
          <w:tcPr>
            <w:tcW w:w="1540" w:type="dxa"/>
            <w:vAlign w:val="bottom"/>
          </w:tcPr>
          <w:p>
            <w:pPr>
              <w:jc w:val="center"/>
              <w:ind w:left="326"/>
              <w:spacing w:after="0"/>
              <w:rPr>
                <w:sz w:val="20"/>
                <w:szCs w:val="20"/>
                <w:color w:val="auto"/>
              </w:rPr>
            </w:pPr>
            <w:r>
              <w:rPr>
                <w:rFonts w:ascii="Arial" w:cs="Arial" w:eastAsia="Arial" w:hAnsi="Arial"/>
                <w:sz w:val="13"/>
                <w:szCs w:val="13"/>
                <w:b w:val="1"/>
                <w:bCs w:val="1"/>
                <w:color w:val="auto"/>
                <w:w w:val="92"/>
              </w:rPr>
              <w:t>in Active</w:t>
            </w:r>
          </w:p>
        </w:tc>
        <w:tc>
          <w:tcPr>
            <w:tcW w:w="23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Significant</w:t>
            </w: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80" w:type="dxa"/>
            <w:vAlign w:val="bottom"/>
          </w:tcPr>
          <w:p>
            <w:pPr>
              <w:spacing w:after="0"/>
              <w:rPr>
                <w:sz w:val="18"/>
                <w:szCs w:val="18"/>
                <w:color w:val="auto"/>
              </w:rPr>
            </w:pPr>
          </w:p>
        </w:tc>
        <w:tc>
          <w:tcPr>
            <w:tcW w:w="1540" w:type="dxa"/>
            <w:vAlign w:val="bottom"/>
          </w:tcPr>
          <w:p>
            <w:pPr>
              <w:jc w:val="center"/>
              <w:ind w:left="346"/>
              <w:spacing w:after="0"/>
              <w:rPr>
                <w:sz w:val="20"/>
                <w:szCs w:val="20"/>
                <w:color w:val="auto"/>
              </w:rPr>
            </w:pPr>
            <w:r>
              <w:rPr>
                <w:rFonts w:ascii="Arial" w:cs="Arial" w:eastAsia="Arial" w:hAnsi="Arial"/>
                <w:sz w:val="13"/>
                <w:szCs w:val="13"/>
                <w:b w:val="1"/>
                <w:bCs w:val="1"/>
                <w:color w:val="auto"/>
                <w:w w:val="96"/>
              </w:rPr>
              <w:t>Markets for</w:t>
            </w:r>
          </w:p>
        </w:tc>
        <w:tc>
          <w:tcPr>
            <w:tcW w:w="1360" w:type="dxa"/>
            <w:vAlign w:val="bottom"/>
          </w:tcPr>
          <w:p>
            <w:pPr>
              <w:jc w:val="center"/>
              <w:ind w:left="887"/>
              <w:spacing w:after="0"/>
              <w:rPr>
                <w:sz w:val="20"/>
                <w:szCs w:val="20"/>
                <w:color w:val="auto"/>
              </w:rPr>
            </w:pPr>
            <w:r>
              <w:rPr>
                <w:rFonts w:ascii="Arial" w:cs="Arial" w:eastAsia="Arial" w:hAnsi="Arial"/>
                <w:sz w:val="13"/>
                <w:szCs w:val="13"/>
                <w:b w:val="1"/>
                <w:bCs w:val="1"/>
                <w:color w:val="auto"/>
                <w:w w:val="92"/>
              </w:rPr>
              <w:t>Other</w:t>
            </w:r>
          </w:p>
        </w:tc>
        <w:tc>
          <w:tcPr>
            <w:tcW w:w="940" w:type="dxa"/>
            <w:vAlign w:val="bottom"/>
          </w:tcPr>
          <w:p>
            <w:pPr>
              <w:spacing w:after="0"/>
              <w:rPr>
                <w:sz w:val="18"/>
                <w:szCs w:val="18"/>
                <w:color w:val="auto"/>
              </w:rPr>
            </w:pPr>
          </w:p>
        </w:tc>
        <w:tc>
          <w:tcPr>
            <w:tcW w:w="182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0"/>
              </w:rPr>
              <w:t>Significant</w:t>
            </w:r>
          </w:p>
        </w:tc>
        <w:tc>
          <w:tcPr>
            <w:tcW w:w="0" w:type="dxa"/>
            <w:vAlign w:val="bottom"/>
          </w:tcPr>
          <w:p>
            <w:pPr>
              <w:spacing w:after="0"/>
              <w:rPr>
                <w:sz w:val="1"/>
                <w:szCs w:val="1"/>
                <w:color w:val="auto"/>
              </w:rPr>
            </w:pPr>
          </w:p>
        </w:tc>
      </w:tr>
      <w:tr>
        <w:trPr>
          <w:trHeight w:val="208"/>
        </w:trPr>
        <w:tc>
          <w:tcPr>
            <w:tcW w:w="5280" w:type="dxa"/>
            <w:vAlign w:val="bottom"/>
          </w:tcPr>
          <w:p>
            <w:pPr>
              <w:spacing w:after="0"/>
              <w:rPr>
                <w:sz w:val="18"/>
                <w:szCs w:val="18"/>
                <w:color w:val="auto"/>
              </w:rPr>
            </w:pPr>
          </w:p>
        </w:tc>
        <w:tc>
          <w:tcPr>
            <w:tcW w:w="1540" w:type="dxa"/>
            <w:vAlign w:val="bottom"/>
          </w:tcPr>
          <w:p>
            <w:pPr>
              <w:jc w:val="center"/>
              <w:ind w:left="326"/>
              <w:spacing w:after="0"/>
              <w:rPr>
                <w:sz w:val="20"/>
                <w:szCs w:val="20"/>
                <w:color w:val="auto"/>
              </w:rPr>
            </w:pPr>
            <w:r>
              <w:rPr>
                <w:rFonts w:ascii="Arial" w:cs="Arial" w:eastAsia="Arial" w:hAnsi="Arial"/>
                <w:sz w:val="13"/>
                <w:szCs w:val="13"/>
                <w:b w:val="1"/>
                <w:bCs w:val="1"/>
                <w:color w:val="auto"/>
                <w:w w:val="94"/>
              </w:rPr>
              <w:t>Identical</w:t>
            </w:r>
          </w:p>
        </w:tc>
        <w:tc>
          <w:tcPr>
            <w:tcW w:w="23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Observable</w:t>
            </w:r>
          </w:p>
        </w:tc>
        <w:tc>
          <w:tcPr>
            <w:tcW w:w="182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90"/>
              </w:rPr>
              <w:t>Unobservable</w:t>
            </w:r>
          </w:p>
        </w:tc>
        <w:tc>
          <w:tcPr>
            <w:tcW w:w="0" w:type="dxa"/>
            <w:vAlign w:val="bottom"/>
          </w:tcPr>
          <w:p>
            <w:pPr>
              <w:spacing w:after="0"/>
              <w:rPr>
                <w:sz w:val="1"/>
                <w:szCs w:val="1"/>
                <w:color w:val="auto"/>
              </w:rPr>
            </w:pPr>
          </w:p>
        </w:tc>
      </w:tr>
      <w:tr>
        <w:trPr>
          <w:trHeight w:val="208"/>
        </w:trPr>
        <w:tc>
          <w:tcPr>
            <w:tcW w:w="5280" w:type="dxa"/>
            <w:vAlign w:val="bottom"/>
          </w:tcPr>
          <w:p>
            <w:pPr>
              <w:spacing w:after="0"/>
              <w:rPr>
                <w:sz w:val="18"/>
                <w:szCs w:val="18"/>
                <w:color w:val="auto"/>
              </w:rPr>
            </w:pPr>
          </w:p>
        </w:tc>
        <w:tc>
          <w:tcPr>
            <w:tcW w:w="1540" w:type="dxa"/>
            <w:vAlign w:val="bottom"/>
          </w:tcPr>
          <w:p>
            <w:pPr>
              <w:jc w:val="center"/>
              <w:ind w:left="326"/>
              <w:spacing w:after="0"/>
              <w:rPr>
                <w:sz w:val="20"/>
                <w:szCs w:val="20"/>
                <w:color w:val="auto"/>
              </w:rPr>
            </w:pPr>
            <w:r>
              <w:rPr>
                <w:rFonts w:ascii="Arial" w:cs="Arial" w:eastAsia="Arial" w:hAnsi="Arial"/>
                <w:sz w:val="13"/>
                <w:szCs w:val="13"/>
                <w:b w:val="1"/>
                <w:bCs w:val="1"/>
                <w:color w:val="auto"/>
                <w:w w:val="79"/>
              </w:rPr>
              <w:t>Assets</w:t>
            </w:r>
          </w:p>
        </w:tc>
        <w:tc>
          <w:tcPr>
            <w:tcW w:w="1360" w:type="dxa"/>
            <w:vAlign w:val="bottom"/>
          </w:tcPr>
          <w:p>
            <w:pPr>
              <w:jc w:val="center"/>
              <w:ind w:left="887"/>
              <w:spacing w:after="0"/>
              <w:rPr>
                <w:sz w:val="20"/>
                <w:szCs w:val="20"/>
                <w:color w:val="auto"/>
              </w:rPr>
            </w:pPr>
            <w:r>
              <w:rPr>
                <w:rFonts w:ascii="Arial" w:cs="Arial" w:eastAsia="Arial" w:hAnsi="Arial"/>
                <w:sz w:val="13"/>
                <w:szCs w:val="13"/>
                <w:b w:val="1"/>
                <w:bCs w:val="1"/>
                <w:color w:val="auto"/>
                <w:w w:val="92"/>
              </w:rPr>
              <w:t>Inputs</w:t>
            </w:r>
          </w:p>
        </w:tc>
        <w:tc>
          <w:tcPr>
            <w:tcW w:w="940" w:type="dxa"/>
            <w:vAlign w:val="bottom"/>
          </w:tcPr>
          <w:p>
            <w:pPr>
              <w:spacing w:after="0"/>
              <w:rPr>
                <w:sz w:val="18"/>
                <w:szCs w:val="18"/>
                <w:color w:val="auto"/>
              </w:rPr>
            </w:pPr>
          </w:p>
        </w:tc>
        <w:tc>
          <w:tcPr>
            <w:tcW w:w="182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208"/>
        </w:trPr>
        <w:tc>
          <w:tcPr>
            <w:tcW w:w="5280" w:type="dxa"/>
            <w:vAlign w:val="bottom"/>
          </w:tcPr>
          <w:p>
            <w:pPr>
              <w:spacing w:after="0"/>
              <w:rPr>
                <w:sz w:val="18"/>
                <w:szCs w:val="18"/>
                <w:color w:val="auto"/>
              </w:rPr>
            </w:pPr>
          </w:p>
        </w:tc>
        <w:tc>
          <w:tcPr>
            <w:tcW w:w="1540" w:type="dxa"/>
            <w:vAlign w:val="bottom"/>
          </w:tcPr>
          <w:p>
            <w:pPr>
              <w:jc w:val="center"/>
              <w:ind w:left="346"/>
              <w:spacing w:after="0"/>
              <w:rPr>
                <w:sz w:val="20"/>
                <w:szCs w:val="20"/>
                <w:color w:val="auto"/>
              </w:rPr>
            </w:pPr>
            <w:r>
              <w:rPr>
                <w:rFonts w:ascii="Arial" w:cs="Arial" w:eastAsia="Arial" w:hAnsi="Arial"/>
                <w:sz w:val="13"/>
                <w:szCs w:val="13"/>
                <w:b w:val="1"/>
                <w:bCs w:val="1"/>
                <w:color w:val="auto"/>
                <w:w w:val="90"/>
              </w:rPr>
              <w:t>(Level 1)</w:t>
            </w:r>
          </w:p>
        </w:tc>
        <w:tc>
          <w:tcPr>
            <w:tcW w:w="23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(Level 2)</w:t>
            </w:r>
          </w:p>
        </w:tc>
        <w:tc>
          <w:tcPr>
            <w:tcW w:w="182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94"/>
              </w:rPr>
              <w:t>(Level 3)</w:t>
            </w:r>
          </w:p>
        </w:tc>
        <w:tc>
          <w:tcPr>
            <w:tcW w:w="0" w:type="dxa"/>
            <w:vAlign w:val="bottom"/>
          </w:tcPr>
          <w:p>
            <w:pPr>
              <w:spacing w:after="0"/>
              <w:rPr>
                <w:sz w:val="1"/>
                <w:szCs w:val="1"/>
                <w:color w:val="auto"/>
              </w:rPr>
            </w:pPr>
          </w:p>
        </w:tc>
      </w:tr>
      <w:tr>
        <w:trPr>
          <w:trHeight w:val="23"/>
        </w:trPr>
        <w:tc>
          <w:tcPr>
            <w:tcW w:w="5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5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00" w:type="dxa"/>
            <w:vAlign w:val="bottom"/>
            <w:gridSpan w:val="2"/>
          </w:tcPr>
          <w:p>
            <w:pPr>
              <w:jc w:val="right"/>
              <w:ind w:right="175"/>
              <w:spacing w:after="0"/>
              <w:rPr>
                <w:sz w:val="20"/>
                <w:szCs w:val="20"/>
                <w:color w:val="auto"/>
              </w:rPr>
            </w:pPr>
            <w:r>
              <w:rPr>
                <w:rFonts w:ascii="Arial" w:cs="Arial" w:eastAsia="Arial" w:hAnsi="Arial"/>
                <w:sz w:val="13"/>
                <w:szCs w:val="13"/>
                <w:i w:val="1"/>
                <w:iCs w:val="1"/>
                <w:color w:val="auto"/>
              </w:rPr>
              <w:t>(millions of dollars)</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280" w:type="dxa"/>
            <w:vAlign w:val="bottom"/>
          </w:tcPr>
          <w:p>
            <w:pPr>
              <w:spacing w:after="0"/>
              <w:rPr>
                <w:sz w:val="20"/>
                <w:szCs w:val="20"/>
                <w:color w:val="auto"/>
              </w:rPr>
            </w:pPr>
            <w:r>
              <w:rPr>
                <w:rFonts w:ascii="Arial" w:cs="Arial" w:eastAsia="Arial" w:hAnsi="Arial"/>
                <w:sz w:val="16"/>
                <w:szCs w:val="16"/>
                <w:color w:val="auto"/>
              </w:rPr>
              <w:t>Asset category:</w:t>
            </w: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80" w:type="dxa"/>
            <w:vAlign w:val="bottom"/>
          </w:tcPr>
          <w:p>
            <w:pPr>
              <w:ind w:left="240"/>
              <w:spacing w:after="0"/>
              <w:rPr>
                <w:sz w:val="20"/>
                <w:szCs w:val="20"/>
                <w:color w:val="auto"/>
              </w:rPr>
            </w:pPr>
            <w:r>
              <w:rPr>
                <w:rFonts w:ascii="Arial" w:cs="Arial" w:eastAsia="Arial" w:hAnsi="Arial"/>
                <w:sz w:val="16"/>
                <w:szCs w:val="16"/>
                <w:color w:val="auto"/>
              </w:rPr>
              <w:t>Equity securities</w:t>
            </w: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0" w:type="dxa"/>
            <w:vAlign w:val="bottom"/>
            <w:vMerge w:val="restart"/>
          </w:tcPr>
          <w:p>
            <w:pPr>
              <w:jc w:val="right"/>
              <w:ind w:right="715"/>
              <w:spacing w:after="0"/>
              <w:rPr>
                <w:sz w:val="20"/>
                <w:szCs w:val="20"/>
                <w:color w:val="auto"/>
              </w:rPr>
            </w:pPr>
            <w:r>
              <w:rPr>
                <w:rFonts w:ascii="Arial" w:cs="Arial" w:eastAsia="Arial" w:hAnsi="Arial"/>
                <w:sz w:val="13"/>
                <w:szCs w:val="13"/>
                <w:i w:val="1"/>
                <w:iCs w:val="1"/>
                <w:color w:val="auto"/>
                <w:w w:val="87"/>
              </w:rPr>
              <w:t>(1)</w:t>
            </w: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80" w:type="dxa"/>
            <w:vAlign w:val="bottom"/>
          </w:tcPr>
          <w:p>
            <w:pPr>
              <w:ind w:left="480"/>
              <w:spacing w:after="0"/>
              <w:rPr>
                <w:sz w:val="20"/>
                <w:szCs w:val="20"/>
                <w:color w:val="auto"/>
              </w:rPr>
            </w:pPr>
            <w:r>
              <w:rPr>
                <w:rFonts w:ascii="Arial" w:cs="Arial" w:eastAsia="Arial" w:hAnsi="Arial"/>
                <w:sz w:val="16"/>
                <w:szCs w:val="16"/>
                <w:color w:val="auto"/>
              </w:rPr>
              <w:t>U.S.</w:t>
            </w:r>
          </w:p>
        </w:tc>
        <w:tc>
          <w:tcPr>
            <w:tcW w:w="1540" w:type="dxa"/>
            <w:vAlign w:val="bottom"/>
          </w:tcPr>
          <w:p>
            <w:pPr>
              <w:jc w:val="center"/>
              <w:ind w:left="366"/>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157</w:t>
            </w:r>
          </w:p>
        </w:tc>
        <w:tc>
          <w:tcPr>
            <w:tcW w:w="940" w:type="dxa"/>
            <w:vAlign w:val="bottom"/>
            <w:vMerge w:val="continue"/>
          </w:tcPr>
          <w:p>
            <w:pPr>
              <w:spacing w:after="0"/>
              <w:rPr>
                <w:sz w:val="17"/>
                <w:szCs w:val="17"/>
                <w:color w:val="auto"/>
              </w:rPr>
            </w:pPr>
          </w:p>
        </w:tc>
        <w:tc>
          <w:tcPr>
            <w:tcW w:w="1300" w:type="dxa"/>
            <w:vAlign w:val="bottom"/>
          </w:tcPr>
          <w:p>
            <w:pPr>
              <w:jc w:val="center"/>
              <w:ind w:right="66"/>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280" w:type="dxa"/>
            <w:vAlign w:val="bottom"/>
          </w:tcPr>
          <w:p>
            <w:pPr>
              <w:ind w:left="480"/>
              <w:spacing w:after="0"/>
              <w:rPr>
                <w:sz w:val="20"/>
                <w:szCs w:val="20"/>
                <w:color w:val="auto"/>
              </w:rPr>
            </w:pPr>
            <w:r>
              <w:rPr>
                <w:rFonts w:ascii="Arial" w:cs="Arial" w:eastAsia="Arial" w:hAnsi="Arial"/>
                <w:sz w:val="16"/>
                <w:szCs w:val="16"/>
                <w:color w:val="auto"/>
              </w:rPr>
              <w:t>Non-U.S.</w:t>
            </w:r>
          </w:p>
        </w:tc>
        <w:tc>
          <w:tcPr>
            <w:tcW w:w="1540" w:type="dxa"/>
            <w:vAlign w:val="bottom"/>
          </w:tcPr>
          <w:p>
            <w:pPr>
              <w:jc w:val="center"/>
              <w:ind w:left="366"/>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149</w:t>
            </w:r>
          </w:p>
        </w:tc>
        <w:tc>
          <w:tcPr>
            <w:tcW w:w="940" w:type="dxa"/>
            <w:vAlign w:val="bottom"/>
          </w:tcPr>
          <w:p>
            <w:pPr>
              <w:jc w:val="right"/>
              <w:ind w:right="715"/>
              <w:spacing w:after="0"/>
              <w:rPr>
                <w:sz w:val="20"/>
                <w:szCs w:val="20"/>
                <w:color w:val="auto"/>
              </w:rPr>
            </w:pPr>
            <w:r>
              <w:rPr>
                <w:rFonts w:ascii="Arial" w:cs="Arial" w:eastAsia="Arial" w:hAnsi="Arial"/>
                <w:sz w:val="13"/>
                <w:szCs w:val="13"/>
                <w:i w:val="1"/>
                <w:iCs w:val="1"/>
                <w:color w:val="auto"/>
                <w:w w:val="87"/>
              </w:rPr>
              <w:t>(1)</w:t>
            </w:r>
          </w:p>
        </w:tc>
        <w:tc>
          <w:tcPr>
            <w:tcW w:w="1300" w:type="dxa"/>
            <w:vAlign w:val="bottom"/>
          </w:tcPr>
          <w:p>
            <w:pPr>
              <w:jc w:val="center"/>
              <w:ind w:right="66"/>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280" w:type="dxa"/>
            <w:vAlign w:val="bottom"/>
          </w:tcPr>
          <w:p>
            <w:pPr>
              <w:ind w:left="240"/>
              <w:spacing w:after="0"/>
              <w:rPr>
                <w:sz w:val="20"/>
                <w:szCs w:val="20"/>
                <w:color w:val="auto"/>
              </w:rPr>
            </w:pPr>
            <w:r>
              <w:rPr>
                <w:rFonts w:ascii="Arial" w:cs="Arial" w:eastAsia="Arial" w:hAnsi="Arial"/>
                <w:sz w:val="16"/>
                <w:szCs w:val="16"/>
                <w:color w:val="auto"/>
              </w:rPr>
              <w:t>Private equity</w:t>
            </w:r>
          </w:p>
        </w:tc>
        <w:tc>
          <w:tcPr>
            <w:tcW w:w="1540" w:type="dxa"/>
            <w:vAlign w:val="bottom"/>
          </w:tcPr>
          <w:p>
            <w:pPr>
              <w:jc w:val="center"/>
              <w:ind w:left="366"/>
              <w:spacing w:after="0"/>
              <w:rPr>
                <w:sz w:val="20"/>
                <w:szCs w:val="20"/>
                <w:color w:val="auto"/>
              </w:rPr>
            </w:pPr>
            <w:r>
              <w:rPr>
                <w:rFonts w:ascii="Arial" w:cs="Arial" w:eastAsia="Arial" w:hAnsi="Arial"/>
                <w:sz w:val="16"/>
                <w:szCs w:val="16"/>
                <w:color w:val="auto"/>
              </w:rPr>
              <w:t>-</w:t>
            </w:r>
          </w:p>
        </w:tc>
        <w:tc>
          <w:tcPr>
            <w:tcW w:w="1360" w:type="dxa"/>
            <w:vAlign w:val="bottom"/>
          </w:tcPr>
          <w:p>
            <w:pPr>
              <w:jc w:val="center"/>
              <w:ind w:left="907"/>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0"/>
                <w:szCs w:val="20"/>
                <w:color w:val="auto"/>
              </w:rPr>
            </w:pPr>
          </w:p>
        </w:tc>
        <w:tc>
          <w:tcPr>
            <w:tcW w:w="1300" w:type="dxa"/>
            <w:vAlign w:val="bottom"/>
          </w:tcPr>
          <w:p>
            <w:pPr>
              <w:ind w:left="660"/>
              <w:spacing w:after="0" w:line="236" w:lineRule="exact"/>
              <w:rPr>
                <w:sz w:val="20"/>
                <w:szCs w:val="20"/>
                <w:color w:val="auto"/>
              </w:rPr>
            </w:pPr>
            <w:r>
              <w:rPr>
                <w:rFonts w:ascii="Arial" w:cs="Arial" w:eastAsia="Arial" w:hAnsi="Arial"/>
                <w:sz w:val="27"/>
                <w:szCs w:val="27"/>
                <w:color w:val="auto"/>
                <w:vertAlign w:val="subscript"/>
              </w:rPr>
              <w:t>9</w:t>
            </w:r>
            <w:r>
              <w:rPr>
                <w:rFonts w:ascii="Arial" w:cs="Arial" w:eastAsia="Arial" w:hAnsi="Arial"/>
                <w:sz w:val="12"/>
                <w:szCs w:val="12"/>
                <w:i w:val="1"/>
                <w:iCs w:val="1"/>
                <w:color w:val="auto"/>
              </w:rPr>
              <w:t xml:space="preserve"> (2)</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280" w:type="dxa"/>
            <w:vAlign w:val="bottom"/>
          </w:tcPr>
          <w:p>
            <w:pPr>
              <w:ind w:left="240"/>
              <w:spacing w:after="0"/>
              <w:rPr>
                <w:sz w:val="20"/>
                <w:szCs w:val="20"/>
                <w:color w:val="auto"/>
              </w:rPr>
            </w:pPr>
            <w:r>
              <w:rPr>
                <w:rFonts w:ascii="Arial" w:cs="Arial" w:eastAsia="Arial" w:hAnsi="Arial"/>
                <w:sz w:val="16"/>
                <w:szCs w:val="16"/>
                <w:color w:val="auto"/>
              </w:rPr>
              <w:t>Debt securities</w:t>
            </w: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0" w:type="dxa"/>
            <w:vAlign w:val="bottom"/>
            <w:vMerge w:val="restart"/>
          </w:tcPr>
          <w:p>
            <w:pPr>
              <w:jc w:val="right"/>
              <w:ind w:right="715"/>
              <w:spacing w:after="0"/>
              <w:rPr>
                <w:sz w:val="20"/>
                <w:szCs w:val="20"/>
                <w:color w:val="auto"/>
              </w:rPr>
            </w:pPr>
            <w:r>
              <w:rPr>
                <w:rFonts w:ascii="Arial" w:cs="Arial" w:eastAsia="Arial" w:hAnsi="Arial"/>
                <w:sz w:val="13"/>
                <w:szCs w:val="13"/>
                <w:i w:val="1"/>
                <w:iCs w:val="1"/>
                <w:color w:val="auto"/>
                <w:w w:val="87"/>
              </w:rPr>
              <w:t>(3)</w:t>
            </w: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80" w:type="dxa"/>
            <w:vAlign w:val="bottom"/>
          </w:tcPr>
          <w:p>
            <w:pPr>
              <w:ind w:left="480"/>
              <w:spacing w:after="0"/>
              <w:rPr>
                <w:sz w:val="20"/>
                <w:szCs w:val="20"/>
                <w:color w:val="auto"/>
              </w:rPr>
            </w:pPr>
            <w:r>
              <w:rPr>
                <w:rFonts w:ascii="Arial" w:cs="Arial" w:eastAsia="Arial" w:hAnsi="Arial"/>
                <w:sz w:val="16"/>
                <w:szCs w:val="16"/>
                <w:color w:val="auto"/>
              </w:rPr>
              <w:t>Corporate</w:t>
            </w:r>
          </w:p>
        </w:tc>
        <w:tc>
          <w:tcPr>
            <w:tcW w:w="1540" w:type="dxa"/>
            <w:vAlign w:val="bottom"/>
          </w:tcPr>
          <w:p>
            <w:pPr>
              <w:jc w:val="center"/>
              <w:ind w:left="366"/>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129</w:t>
            </w:r>
          </w:p>
        </w:tc>
        <w:tc>
          <w:tcPr>
            <w:tcW w:w="940" w:type="dxa"/>
            <w:vAlign w:val="bottom"/>
            <w:vMerge w:val="continue"/>
          </w:tcPr>
          <w:p>
            <w:pPr>
              <w:spacing w:after="0"/>
              <w:rPr>
                <w:sz w:val="18"/>
                <w:szCs w:val="18"/>
                <w:color w:val="auto"/>
              </w:rPr>
            </w:pPr>
          </w:p>
        </w:tc>
        <w:tc>
          <w:tcPr>
            <w:tcW w:w="1300" w:type="dxa"/>
            <w:vAlign w:val="bottom"/>
          </w:tcPr>
          <w:p>
            <w:pPr>
              <w:jc w:val="center"/>
              <w:ind w:right="66"/>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80" w:type="dxa"/>
            <w:vAlign w:val="bottom"/>
          </w:tcPr>
          <w:p>
            <w:pPr>
              <w:ind w:left="480"/>
              <w:spacing w:after="0"/>
              <w:rPr>
                <w:sz w:val="20"/>
                <w:szCs w:val="20"/>
                <w:color w:val="auto"/>
              </w:rPr>
            </w:pPr>
            <w:r>
              <w:rPr>
                <w:rFonts w:ascii="Arial" w:cs="Arial" w:eastAsia="Arial" w:hAnsi="Arial"/>
                <w:sz w:val="16"/>
                <w:szCs w:val="16"/>
                <w:color w:val="auto"/>
              </w:rPr>
              <w:t>Government</w:t>
            </w:r>
          </w:p>
        </w:tc>
        <w:tc>
          <w:tcPr>
            <w:tcW w:w="1540" w:type="dxa"/>
            <w:vAlign w:val="bottom"/>
          </w:tcPr>
          <w:p>
            <w:pPr>
              <w:jc w:val="center"/>
              <w:ind w:left="366"/>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168</w:t>
            </w:r>
          </w:p>
        </w:tc>
        <w:tc>
          <w:tcPr>
            <w:tcW w:w="940" w:type="dxa"/>
            <w:vAlign w:val="bottom"/>
          </w:tcPr>
          <w:p>
            <w:pPr>
              <w:jc w:val="right"/>
              <w:ind w:right="715"/>
              <w:spacing w:after="0"/>
              <w:rPr>
                <w:sz w:val="20"/>
                <w:szCs w:val="20"/>
                <w:color w:val="auto"/>
              </w:rPr>
            </w:pPr>
            <w:r>
              <w:rPr>
                <w:rFonts w:ascii="Arial" w:cs="Arial" w:eastAsia="Arial" w:hAnsi="Arial"/>
                <w:sz w:val="13"/>
                <w:szCs w:val="13"/>
                <w:i w:val="1"/>
                <w:iCs w:val="1"/>
                <w:color w:val="auto"/>
                <w:w w:val="87"/>
              </w:rPr>
              <w:t>(3)</w:t>
            </w:r>
          </w:p>
        </w:tc>
        <w:tc>
          <w:tcPr>
            <w:tcW w:w="1300" w:type="dxa"/>
            <w:vAlign w:val="bottom"/>
          </w:tcPr>
          <w:p>
            <w:pPr>
              <w:jc w:val="center"/>
              <w:ind w:right="66"/>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480"/>
              <w:spacing w:after="0"/>
              <w:rPr>
                <w:sz w:val="20"/>
                <w:szCs w:val="20"/>
                <w:color w:val="auto"/>
              </w:rPr>
            </w:pPr>
            <w:r>
              <w:rPr>
                <w:rFonts w:ascii="Arial" w:cs="Arial" w:eastAsia="Arial" w:hAnsi="Arial"/>
                <w:sz w:val="16"/>
                <w:szCs w:val="16"/>
                <w:color w:val="auto"/>
              </w:rPr>
              <w:t>Asset-backed</w:t>
            </w:r>
          </w:p>
        </w:tc>
        <w:tc>
          <w:tcPr>
            <w:tcW w:w="1540" w:type="dxa"/>
            <w:vAlign w:val="bottom"/>
          </w:tcPr>
          <w:p>
            <w:pPr>
              <w:jc w:val="center"/>
              <w:ind w:left="366"/>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w:t>
            </w:r>
          </w:p>
        </w:tc>
        <w:tc>
          <w:tcPr>
            <w:tcW w:w="940" w:type="dxa"/>
            <w:vAlign w:val="bottom"/>
          </w:tcPr>
          <w:p>
            <w:pPr>
              <w:jc w:val="right"/>
              <w:ind w:right="715"/>
              <w:spacing w:after="0"/>
              <w:rPr>
                <w:sz w:val="20"/>
                <w:szCs w:val="20"/>
                <w:color w:val="auto"/>
              </w:rPr>
            </w:pPr>
            <w:r>
              <w:rPr>
                <w:rFonts w:ascii="Arial" w:cs="Arial" w:eastAsia="Arial" w:hAnsi="Arial"/>
                <w:sz w:val="13"/>
                <w:szCs w:val="13"/>
                <w:i w:val="1"/>
                <w:iCs w:val="1"/>
                <w:color w:val="auto"/>
                <w:w w:val="87"/>
              </w:rPr>
              <w:t>(3)</w:t>
            </w:r>
          </w:p>
        </w:tc>
        <w:tc>
          <w:tcPr>
            <w:tcW w:w="1300" w:type="dxa"/>
            <w:vAlign w:val="bottom"/>
          </w:tcPr>
          <w:p>
            <w:pPr>
              <w:jc w:val="center"/>
              <w:ind w:right="66"/>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80" w:type="dxa"/>
            <w:vAlign w:val="bottom"/>
          </w:tcPr>
          <w:p>
            <w:pPr>
              <w:ind w:left="240"/>
              <w:spacing w:after="0"/>
              <w:rPr>
                <w:sz w:val="20"/>
                <w:szCs w:val="20"/>
                <w:color w:val="auto"/>
              </w:rPr>
            </w:pPr>
            <w:r>
              <w:rPr>
                <w:rFonts w:ascii="Arial" w:cs="Arial" w:eastAsia="Arial" w:hAnsi="Arial"/>
                <w:sz w:val="16"/>
                <w:szCs w:val="16"/>
                <w:color w:val="auto"/>
              </w:rPr>
              <w:t>Cash</w:t>
            </w:r>
          </w:p>
        </w:tc>
        <w:tc>
          <w:tcPr>
            <w:tcW w:w="1540" w:type="dxa"/>
            <w:vAlign w:val="bottom"/>
            <w:tcBorders>
              <w:bottom w:val="single" w:sz="8" w:color="auto"/>
            </w:tcBorders>
          </w:tcPr>
          <w:p>
            <w:pPr>
              <w:jc w:val="center"/>
              <w:ind w:left="366"/>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66"/>
              <w:spacing w:after="0"/>
              <w:rPr>
                <w:sz w:val="20"/>
                <w:szCs w:val="20"/>
                <w:color w:val="auto"/>
              </w:rPr>
            </w:pPr>
            <w:r>
              <w:rPr>
                <w:rFonts w:ascii="Arial" w:cs="Arial" w:eastAsia="Arial" w:hAnsi="Arial"/>
                <w:sz w:val="16"/>
                <w:szCs w:val="16"/>
                <w:color w:val="auto"/>
                <w:w w:val="74"/>
              </w:rPr>
              <w:t>-</w:t>
            </w: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280" w:type="dxa"/>
            <w:vAlign w:val="bottom"/>
          </w:tcPr>
          <w:p>
            <w:pPr>
              <w:spacing w:after="0"/>
              <w:rPr>
                <w:sz w:val="20"/>
                <w:szCs w:val="20"/>
                <w:color w:val="auto"/>
              </w:rPr>
            </w:pPr>
            <w:r>
              <w:rPr>
                <w:rFonts w:ascii="Arial" w:cs="Arial" w:eastAsia="Arial" w:hAnsi="Arial"/>
                <w:sz w:val="16"/>
                <w:szCs w:val="16"/>
                <w:color w:val="auto"/>
              </w:rPr>
              <w:t>Total at fair value</w:t>
            </w:r>
          </w:p>
        </w:tc>
        <w:tc>
          <w:tcPr>
            <w:tcW w:w="1540" w:type="dxa"/>
            <w:vAlign w:val="bottom"/>
            <w:tcBorders>
              <w:bottom w:val="single" w:sz="8" w:color="auto"/>
            </w:tcBorders>
          </w:tcPr>
          <w:p>
            <w:pPr>
              <w:jc w:val="center"/>
              <w:ind w:left="366"/>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w:t>
            </w:r>
          </w:p>
        </w:tc>
        <w:tc>
          <w:tcPr>
            <w:tcW w:w="9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9</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880" w:right="80" w:hanging="294"/>
        <w:spacing w:after="0" w:line="286" w:lineRule="auto"/>
        <w:tabs>
          <w:tab w:leader="none" w:pos="916"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For U.S. and non-U.S. equity securities held in the form of fund units that are redeemable at the measurement date, the unit value is treated as a Level 2 input. value of the securities owned by the funds is based on observable quoted prices on active exchanges, which are Level 1 inputs.</w:t>
      </w:r>
    </w:p>
    <w:p>
      <w:pPr>
        <w:spacing w:after="0" w:line="2" w:lineRule="exact"/>
        <w:rPr>
          <w:rFonts w:ascii="Arial" w:cs="Arial" w:eastAsia="Arial" w:hAnsi="Arial"/>
          <w:sz w:val="16"/>
          <w:szCs w:val="16"/>
          <w:i w:val="1"/>
          <w:iCs w:val="1"/>
          <w:color w:val="auto"/>
        </w:rPr>
      </w:pPr>
    </w:p>
    <w:p>
      <w:pPr>
        <w:ind w:left="900" w:hanging="314"/>
        <w:spacing w:after="0"/>
        <w:tabs>
          <w:tab w:leader="none" w:pos="900" w:val="left"/>
        </w:tabs>
        <w:numPr>
          <w:ilvl w:val="0"/>
          <w:numId w:val="35"/>
        </w:numPr>
        <w:rPr>
          <w:rFonts w:ascii="Arial" w:cs="Arial" w:eastAsia="Arial" w:hAnsi="Arial"/>
          <w:sz w:val="15"/>
          <w:szCs w:val="15"/>
          <w:i w:val="1"/>
          <w:iCs w:val="1"/>
          <w:color w:val="auto"/>
        </w:rPr>
      </w:pPr>
      <w:r>
        <w:rPr>
          <w:rFonts w:ascii="Arial" w:cs="Arial" w:eastAsia="Arial" w:hAnsi="Arial"/>
          <w:sz w:val="15"/>
          <w:szCs w:val="15"/>
          <w:i w:val="1"/>
          <w:iCs w:val="1"/>
          <w:color w:val="auto"/>
        </w:rPr>
        <w:t>For private equity, fair value is generally established by using revenue or earnings multiples or other relevant market data including Initial Public Offerings.</w:t>
      </w:r>
    </w:p>
    <w:p>
      <w:pPr>
        <w:spacing w:after="0" w:line="72" w:lineRule="exact"/>
        <w:rPr>
          <w:rFonts w:ascii="Arial" w:cs="Arial" w:eastAsia="Arial" w:hAnsi="Arial"/>
          <w:sz w:val="15"/>
          <w:szCs w:val="15"/>
          <w:i w:val="1"/>
          <w:iCs w:val="1"/>
          <w:color w:val="auto"/>
        </w:rPr>
      </w:pPr>
    </w:p>
    <w:p>
      <w:pPr>
        <w:ind w:left="900" w:hanging="314"/>
        <w:spacing w:after="0"/>
        <w:tabs>
          <w:tab w:leader="none" w:pos="90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For corporate, government and asset-backed debt securities, fair value is based on observable inputs of comparable market transactions.</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change in the fair value in 2013 of Level 3 assets that use significant unobservable inputs to measure fair value is shown in the table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jc w:val="right"/>
              <w:ind w:right="4"/>
              <w:spacing w:after="0"/>
              <w:rPr>
                <w:sz w:val="20"/>
                <w:szCs w:val="20"/>
                <w:color w:val="auto"/>
              </w:rPr>
            </w:pPr>
            <w:r>
              <w:rPr>
                <w:rFonts w:ascii="Arial" w:cs="Arial" w:eastAsia="Arial" w:hAnsi="Arial"/>
                <w:sz w:val="13"/>
                <w:szCs w:val="13"/>
                <w:b w:val="1"/>
                <w:bCs w:val="1"/>
                <w:color w:val="auto"/>
              </w:rPr>
              <w:t>2013</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
        </w:trPr>
        <w:tc>
          <w:tcPr>
            <w:tcW w:w="5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65"/>
        </w:trPr>
        <w:tc>
          <w:tcPr>
            <w:tcW w:w="58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b w:val="1"/>
                <w:bCs w:val="1"/>
                <w:color w:val="auto"/>
              </w:rPr>
              <w:t>Pension</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gridSpan w:val="2"/>
          </w:tcPr>
          <w:p>
            <w:pPr>
              <w:jc w:val="center"/>
              <w:ind w:left="435"/>
              <w:spacing w:after="0"/>
              <w:rPr>
                <w:sz w:val="20"/>
                <w:szCs w:val="20"/>
                <w:color w:val="auto"/>
              </w:rPr>
            </w:pPr>
            <w:r>
              <w:rPr>
                <w:rFonts w:ascii="Arial" w:cs="Arial" w:eastAsia="Arial" w:hAnsi="Arial"/>
                <w:sz w:val="13"/>
                <w:szCs w:val="13"/>
                <w:b w:val="1"/>
                <w:bCs w:val="1"/>
                <w:color w:val="auto"/>
                <w:w w:val="97"/>
              </w:rPr>
              <w:t>Other</w:t>
            </w:r>
          </w:p>
        </w:tc>
      </w:tr>
      <w:tr>
        <w:trPr>
          <w:trHeight w:val="23"/>
        </w:trPr>
        <w:tc>
          <w:tcPr>
            <w:tcW w:w="5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8"/>
        </w:trPr>
        <w:tc>
          <w:tcPr>
            <w:tcW w:w="58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2460" w:type="dxa"/>
            <w:vAlign w:val="bottom"/>
            <w:gridSpan w:val="4"/>
          </w:tcPr>
          <w:p>
            <w:pPr>
              <w:ind w:left="520"/>
              <w:spacing w:after="0"/>
              <w:rPr>
                <w:sz w:val="20"/>
                <w:szCs w:val="20"/>
                <w:color w:val="auto"/>
              </w:rPr>
            </w:pPr>
            <w:r>
              <w:rPr>
                <w:rFonts w:ascii="Arial" w:cs="Arial" w:eastAsia="Arial" w:hAnsi="Arial"/>
                <w:sz w:val="13"/>
                <w:szCs w:val="13"/>
                <w:b w:val="1"/>
                <w:bCs w:val="1"/>
                <w:color w:val="auto"/>
              </w:rPr>
              <w:t>U.S.</w:t>
            </w:r>
          </w:p>
        </w:tc>
        <w:tc>
          <w:tcPr>
            <w:tcW w:w="780" w:type="dxa"/>
            <w:vAlign w:val="bottom"/>
          </w:tcPr>
          <w:p>
            <w:pPr>
              <w:jc w:val="right"/>
              <w:ind w:right="24"/>
              <w:spacing w:after="0"/>
              <w:rPr>
                <w:sz w:val="20"/>
                <w:szCs w:val="20"/>
                <w:color w:val="auto"/>
              </w:rPr>
            </w:pPr>
            <w:r>
              <w:rPr>
                <w:rFonts w:ascii="Arial" w:cs="Arial" w:eastAsia="Arial" w:hAnsi="Arial"/>
                <w:sz w:val="13"/>
                <w:szCs w:val="13"/>
                <w:b w:val="1"/>
                <w:bCs w:val="1"/>
                <w:color w:val="auto"/>
              </w:rPr>
              <w:t>Non-U.S.</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gridSpan w:val="2"/>
          </w:tcPr>
          <w:p>
            <w:pPr>
              <w:ind w:left="380"/>
              <w:spacing w:after="0"/>
              <w:rPr>
                <w:sz w:val="20"/>
                <w:szCs w:val="20"/>
                <w:color w:val="auto"/>
              </w:rPr>
            </w:pPr>
            <w:r>
              <w:rPr>
                <w:rFonts w:ascii="Arial" w:cs="Arial" w:eastAsia="Arial" w:hAnsi="Arial"/>
                <w:sz w:val="13"/>
                <w:szCs w:val="13"/>
                <w:b w:val="1"/>
                <w:bCs w:val="1"/>
                <w:color w:val="auto"/>
                <w:w w:val="85"/>
              </w:rPr>
              <w:t>Postretireme</w:t>
            </w:r>
          </w:p>
        </w:tc>
      </w:tr>
      <w:tr>
        <w:trPr>
          <w:trHeight w:val="165"/>
        </w:trPr>
        <w:tc>
          <w:tcPr>
            <w:tcW w:w="58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740" w:type="dxa"/>
            <w:vAlign w:val="bottom"/>
            <w:tcBorders>
              <w:top w:val="single" w:sz="8" w:color="auto"/>
            </w:tcBorders>
          </w:tcPr>
          <w:p>
            <w:pPr>
              <w:ind w:left="320"/>
              <w:spacing w:after="0"/>
              <w:rPr>
                <w:sz w:val="20"/>
                <w:szCs w:val="20"/>
                <w:color w:val="auto"/>
              </w:rPr>
            </w:pPr>
            <w:r>
              <w:rPr>
                <w:rFonts w:ascii="Arial" w:cs="Arial" w:eastAsia="Arial" w:hAnsi="Arial"/>
                <w:sz w:val="13"/>
                <w:szCs w:val="13"/>
                <w:b w:val="1"/>
                <w:bCs w:val="1"/>
                <w:color w:val="auto"/>
                <w:w w:val="92"/>
              </w:rPr>
              <w:t>Private</w:t>
            </w:r>
          </w:p>
        </w:tc>
        <w:tc>
          <w:tcPr>
            <w:tcW w:w="52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Borders>
              <w:top w:val="single" w:sz="8" w:color="auto"/>
            </w:tcBorders>
          </w:tcPr>
          <w:p>
            <w:pPr>
              <w:ind w:left="300"/>
              <w:spacing w:after="0"/>
              <w:rPr>
                <w:sz w:val="20"/>
                <w:szCs w:val="20"/>
                <w:color w:val="auto"/>
              </w:rPr>
            </w:pPr>
            <w:r>
              <w:rPr>
                <w:rFonts w:ascii="Arial" w:cs="Arial" w:eastAsia="Arial" w:hAnsi="Arial"/>
                <w:sz w:val="13"/>
                <w:szCs w:val="13"/>
                <w:b w:val="1"/>
                <w:bCs w:val="1"/>
                <w:color w:val="auto"/>
                <w:w w:val="92"/>
              </w:rPr>
              <w:t>Private</w:t>
            </w:r>
          </w:p>
        </w:tc>
        <w:tc>
          <w:tcPr>
            <w:tcW w:w="7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center"/>
              <w:ind w:left="9"/>
              <w:spacing w:after="0"/>
              <w:rPr>
                <w:sz w:val="20"/>
                <w:szCs w:val="20"/>
                <w:color w:val="auto"/>
              </w:rPr>
            </w:pPr>
            <w:r>
              <w:rPr>
                <w:rFonts w:ascii="Arial" w:cs="Arial" w:eastAsia="Arial" w:hAnsi="Arial"/>
                <w:sz w:val="13"/>
                <w:szCs w:val="13"/>
                <w:b w:val="1"/>
                <w:bCs w:val="1"/>
                <w:color w:val="auto"/>
                <w:w w:val="94"/>
              </w:rPr>
              <w:t>Real</w:t>
            </w:r>
          </w:p>
        </w:tc>
        <w:tc>
          <w:tcPr>
            <w:tcW w:w="32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Borders>
              <w:top w:val="single" w:sz="8" w:color="auto"/>
            </w:tcBorders>
            <w:gridSpan w:val="2"/>
          </w:tcPr>
          <w:p>
            <w:pPr>
              <w:jc w:val="center"/>
              <w:ind w:left="435"/>
              <w:spacing w:after="0"/>
              <w:rPr>
                <w:sz w:val="20"/>
                <w:szCs w:val="20"/>
                <w:color w:val="auto"/>
              </w:rPr>
            </w:pPr>
            <w:r>
              <w:rPr>
                <w:rFonts w:ascii="Arial" w:cs="Arial" w:eastAsia="Arial" w:hAnsi="Arial"/>
                <w:sz w:val="13"/>
                <w:szCs w:val="13"/>
                <w:b w:val="1"/>
                <w:bCs w:val="1"/>
                <w:color w:val="auto"/>
                <w:w w:val="96"/>
              </w:rPr>
              <w:t>Private</w:t>
            </w:r>
          </w:p>
        </w:tc>
      </w:tr>
      <w:tr>
        <w:trPr>
          <w:trHeight w:val="208"/>
        </w:trPr>
        <w:tc>
          <w:tcPr>
            <w:tcW w:w="58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740" w:type="dxa"/>
            <w:vAlign w:val="bottom"/>
          </w:tcPr>
          <w:p>
            <w:pPr>
              <w:ind w:left="340"/>
              <w:spacing w:after="0"/>
              <w:rPr>
                <w:sz w:val="20"/>
                <w:szCs w:val="20"/>
                <w:color w:val="auto"/>
              </w:rPr>
            </w:pPr>
            <w:r>
              <w:rPr>
                <w:rFonts w:ascii="Arial" w:cs="Arial" w:eastAsia="Arial" w:hAnsi="Arial"/>
                <w:sz w:val="13"/>
                <w:szCs w:val="13"/>
                <w:b w:val="1"/>
                <w:bCs w:val="1"/>
                <w:color w:val="auto"/>
                <w:w w:val="95"/>
              </w:rPr>
              <w:t>Equity</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ind w:left="320"/>
              <w:spacing w:after="0"/>
              <w:rPr>
                <w:sz w:val="20"/>
                <w:szCs w:val="20"/>
                <w:color w:val="auto"/>
              </w:rPr>
            </w:pPr>
            <w:r>
              <w:rPr>
                <w:rFonts w:ascii="Arial" w:cs="Arial" w:eastAsia="Arial" w:hAnsi="Arial"/>
                <w:sz w:val="13"/>
                <w:szCs w:val="13"/>
                <w:b w:val="1"/>
                <w:bCs w:val="1"/>
                <w:color w:val="auto"/>
                <w:w w:val="95"/>
              </w:rPr>
              <w:t>Equity</w:t>
            </w:r>
          </w:p>
        </w:tc>
        <w:tc>
          <w:tcPr>
            <w:tcW w:w="780" w:type="dxa"/>
            <w:vAlign w:val="bottom"/>
          </w:tcPr>
          <w:p>
            <w:pPr>
              <w:spacing w:after="0"/>
              <w:rPr>
                <w:sz w:val="18"/>
                <w:szCs w:val="18"/>
                <w:color w:val="auto"/>
              </w:rPr>
            </w:pPr>
          </w:p>
        </w:tc>
        <w:tc>
          <w:tcPr>
            <w:tcW w:w="460" w:type="dxa"/>
            <w:vAlign w:val="bottom"/>
          </w:tcPr>
          <w:p>
            <w:pPr>
              <w:jc w:val="center"/>
              <w:ind w:left="9"/>
              <w:spacing w:after="0"/>
              <w:rPr>
                <w:sz w:val="20"/>
                <w:szCs w:val="20"/>
                <w:color w:val="auto"/>
              </w:rPr>
            </w:pPr>
            <w:r>
              <w:rPr>
                <w:rFonts w:ascii="Arial" w:cs="Arial" w:eastAsia="Arial" w:hAnsi="Arial"/>
                <w:sz w:val="13"/>
                <w:szCs w:val="13"/>
                <w:b w:val="1"/>
                <w:bCs w:val="1"/>
                <w:color w:val="auto"/>
                <w:w w:val="87"/>
              </w:rPr>
              <w:t>Estate</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center"/>
              <w:ind w:left="435"/>
              <w:spacing w:after="0"/>
              <w:rPr>
                <w:sz w:val="20"/>
                <w:szCs w:val="20"/>
                <w:color w:val="auto"/>
              </w:rPr>
            </w:pPr>
            <w:r>
              <w:rPr>
                <w:rFonts w:ascii="Arial" w:cs="Arial" w:eastAsia="Arial" w:hAnsi="Arial"/>
                <w:sz w:val="13"/>
                <w:szCs w:val="13"/>
                <w:b w:val="1"/>
                <w:bCs w:val="1"/>
                <w:color w:val="auto"/>
                <w:w w:val="95"/>
              </w:rPr>
              <w:t>Equity</w:t>
            </w:r>
          </w:p>
        </w:tc>
      </w:tr>
      <w:tr>
        <w:trPr>
          <w:trHeight w:val="23"/>
        </w:trPr>
        <w:tc>
          <w:tcPr>
            <w:tcW w:w="58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65"/>
        </w:trPr>
        <w:tc>
          <w:tcPr>
            <w:tcW w:w="58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i w:val="1"/>
                <w:iCs w:val="1"/>
                <w:color w:val="auto"/>
              </w:rPr>
              <w:t>(millions of dollars)</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27"/>
        </w:trPr>
        <w:tc>
          <w:tcPr>
            <w:tcW w:w="580" w:type="dxa"/>
            <w:vAlign w:val="bottom"/>
          </w:tcPr>
          <w:p>
            <w:pPr>
              <w:spacing w:after="0"/>
              <w:rPr>
                <w:sz w:val="24"/>
                <w:szCs w:val="24"/>
                <w:color w:val="auto"/>
              </w:rPr>
            </w:pPr>
          </w:p>
        </w:tc>
        <w:tc>
          <w:tcPr>
            <w:tcW w:w="6120" w:type="dxa"/>
            <w:vAlign w:val="bottom"/>
            <w:gridSpan w:val="2"/>
          </w:tcPr>
          <w:p>
            <w:pPr>
              <w:spacing w:after="0"/>
              <w:rPr>
                <w:sz w:val="20"/>
                <w:szCs w:val="20"/>
                <w:color w:val="auto"/>
              </w:rPr>
            </w:pPr>
            <w:r>
              <w:rPr>
                <w:rFonts w:ascii="Arial" w:cs="Arial" w:eastAsia="Arial" w:hAnsi="Arial"/>
                <w:sz w:val="16"/>
                <w:szCs w:val="16"/>
                <w:color w:val="auto"/>
              </w:rPr>
              <w:t>Fair value at January 1</w:t>
            </w:r>
          </w:p>
        </w:tc>
        <w:tc>
          <w:tcPr>
            <w:tcW w:w="520" w:type="dxa"/>
            <w:vAlign w:val="bottom"/>
          </w:tcPr>
          <w:p>
            <w:pPr>
              <w:jc w:val="right"/>
              <w:ind w:right="198"/>
              <w:spacing w:after="0"/>
              <w:rPr>
                <w:sz w:val="20"/>
                <w:szCs w:val="20"/>
                <w:color w:val="auto"/>
              </w:rPr>
            </w:pPr>
            <w:r>
              <w:rPr>
                <w:rFonts w:ascii="Arial" w:cs="Arial" w:eastAsia="Arial" w:hAnsi="Arial"/>
                <w:sz w:val="16"/>
                <w:szCs w:val="16"/>
                <w:color w:val="auto"/>
                <w:w w:val="82"/>
              </w:rPr>
              <w:t>489</w:t>
            </w: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jc w:val="right"/>
              <w:ind w:right="444"/>
              <w:spacing w:after="0"/>
              <w:rPr>
                <w:sz w:val="20"/>
                <w:szCs w:val="20"/>
                <w:color w:val="auto"/>
              </w:rPr>
            </w:pPr>
            <w:r>
              <w:rPr>
                <w:rFonts w:ascii="Arial" w:cs="Arial" w:eastAsia="Arial" w:hAnsi="Arial"/>
                <w:sz w:val="16"/>
                <w:szCs w:val="16"/>
                <w:color w:val="auto"/>
                <w:w w:val="89"/>
              </w:rPr>
              <w:t>448</w:t>
            </w:r>
          </w:p>
        </w:tc>
        <w:tc>
          <w:tcPr>
            <w:tcW w:w="4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7"/>
              </w:rPr>
              <w:t>293</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8"/>
        </w:trPr>
        <w:tc>
          <w:tcPr>
            <w:tcW w:w="58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6"/>
                <w:szCs w:val="16"/>
                <w:color w:val="auto"/>
              </w:rPr>
              <w:t>Net realized gains/(losses)</w:t>
            </w:r>
          </w:p>
        </w:tc>
        <w:tc>
          <w:tcPr>
            <w:tcW w:w="520" w:type="dxa"/>
            <w:vAlign w:val="bottom"/>
          </w:tcPr>
          <w:p>
            <w:pPr>
              <w:jc w:val="right"/>
              <w:ind w:right="138"/>
              <w:spacing w:after="0"/>
              <w:rPr>
                <w:sz w:val="20"/>
                <w:szCs w:val="20"/>
                <w:color w:val="auto"/>
              </w:rPr>
            </w:pPr>
            <w:r>
              <w:rPr>
                <w:rFonts w:ascii="Arial" w:cs="Arial" w:eastAsia="Arial" w:hAnsi="Arial"/>
                <w:sz w:val="16"/>
                <w:szCs w:val="16"/>
                <w:color w:val="auto"/>
              </w:rPr>
              <w:t>(1)</w:t>
            </w: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jc w:val="right"/>
              <w:ind w:right="444"/>
              <w:spacing w:after="0"/>
              <w:rPr>
                <w:sz w:val="20"/>
                <w:szCs w:val="20"/>
                <w:color w:val="auto"/>
              </w:rPr>
            </w:pPr>
            <w:r>
              <w:rPr>
                <w:rFonts w:ascii="Arial" w:cs="Arial" w:eastAsia="Arial" w:hAnsi="Arial"/>
                <w:sz w:val="16"/>
                <w:szCs w:val="16"/>
                <w:color w:val="auto"/>
              </w:rPr>
              <w:t>11</w:t>
            </w:r>
          </w:p>
        </w:tc>
        <w:tc>
          <w:tcPr>
            <w:tcW w:w="46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6"/>
                <w:szCs w:val="16"/>
                <w:color w:val="auto"/>
              </w:rPr>
              <w:t>(13)</w:t>
            </w: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58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6"/>
                <w:szCs w:val="16"/>
                <w:color w:val="auto"/>
              </w:rPr>
              <w:t>Net unrealized gains/(losses)</w:t>
            </w:r>
          </w:p>
        </w:tc>
        <w:tc>
          <w:tcPr>
            <w:tcW w:w="520" w:type="dxa"/>
            <w:vAlign w:val="bottom"/>
          </w:tcPr>
          <w:p>
            <w:pPr>
              <w:jc w:val="right"/>
              <w:ind w:right="198"/>
              <w:spacing w:after="0"/>
              <w:rPr>
                <w:sz w:val="20"/>
                <w:szCs w:val="20"/>
                <w:color w:val="auto"/>
              </w:rPr>
            </w:pPr>
            <w:r>
              <w:rPr>
                <w:rFonts w:ascii="Arial" w:cs="Arial" w:eastAsia="Arial" w:hAnsi="Arial"/>
                <w:sz w:val="16"/>
                <w:szCs w:val="16"/>
                <w:color w:val="auto"/>
              </w:rPr>
              <w:t>86</w:t>
            </w: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jc w:val="right"/>
              <w:ind w:right="444"/>
              <w:spacing w:after="0"/>
              <w:rPr>
                <w:sz w:val="20"/>
                <w:szCs w:val="20"/>
                <w:color w:val="auto"/>
              </w:rPr>
            </w:pPr>
            <w:r>
              <w:rPr>
                <w:rFonts w:ascii="Arial" w:cs="Arial" w:eastAsia="Arial" w:hAnsi="Arial"/>
                <w:sz w:val="16"/>
                <w:szCs w:val="16"/>
                <w:color w:val="auto"/>
              </w:rPr>
              <w:t>57</w:t>
            </w:r>
          </w:p>
        </w:tc>
        <w:tc>
          <w:tcPr>
            <w:tcW w:w="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10</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8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6"/>
                <w:szCs w:val="16"/>
                <w:color w:val="auto"/>
              </w:rPr>
              <w:t>Net purchases/(sales)</w:t>
            </w:r>
          </w:p>
        </w:tc>
        <w:tc>
          <w:tcPr>
            <w:tcW w:w="520" w:type="dxa"/>
            <w:vAlign w:val="bottom"/>
          </w:tcPr>
          <w:p>
            <w:pPr>
              <w:jc w:val="right"/>
              <w:ind w:right="138"/>
              <w:spacing w:after="0"/>
              <w:rPr>
                <w:sz w:val="20"/>
                <w:szCs w:val="20"/>
                <w:color w:val="auto"/>
              </w:rPr>
            </w:pPr>
            <w:r>
              <w:rPr>
                <w:rFonts w:ascii="Arial" w:cs="Arial" w:eastAsia="Arial" w:hAnsi="Arial"/>
                <w:sz w:val="16"/>
                <w:szCs w:val="16"/>
                <w:color w:val="auto"/>
                <w:w w:val="98"/>
              </w:rPr>
              <w:t>(51)</w:t>
            </w: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jc w:val="right"/>
              <w:ind w:right="404"/>
              <w:spacing w:after="0"/>
              <w:rPr>
                <w:sz w:val="20"/>
                <w:szCs w:val="20"/>
                <w:color w:val="auto"/>
              </w:rPr>
            </w:pPr>
            <w:r>
              <w:rPr>
                <w:rFonts w:ascii="Arial" w:cs="Arial" w:eastAsia="Arial" w:hAnsi="Arial"/>
                <w:sz w:val="16"/>
                <w:szCs w:val="16"/>
                <w:color w:val="auto"/>
                <w:w w:val="98"/>
              </w:rPr>
              <w:t>(14)</w:t>
            </w:r>
          </w:p>
        </w:tc>
        <w:tc>
          <w:tcPr>
            <w:tcW w:w="1240" w:type="dxa"/>
            <w:vAlign w:val="bottom"/>
            <w:gridSpan w:val="3"/>
          </w:tcPr>
          <w:p>
            <w:pPr>
              <w:jc w:val="right"/>
              <w:ind w:right="460"/>
              <w:spacing w:after="0"/>
              <w:rPr>
                <w:sz w:val="20"/>
                <w:szCs w:val="20"/>
                <w:color w:val="auto"/>
              </w:rPr>
            </w:pPr>
            <w:r>
              <w:rPr>
                <w:rFonts w:ascii="Arial" w:cs="Arial" w:eastAsia="Arial" w:hAnsi="Arial"/>
                <w:sz w:val="16"/>
                <w:szCs w:val="16"/>
                <w:color w:val="auto"/>
              </w:rPr>
              <w:t>(154)</w:t>
            </w: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580" w:type="dxa"/>
            <w:vAlign w:val="bottom"/>
          </w:tcPr>
          <w:p>
            <w:pPr>
              <w:spacing w:after="0"/>
              <w:rPr>
                <w:sz w:val="17"/>
                <w:szCs w:val="17"/>
                <w:color w:val="auto"/>
              </w:rPr>
            </w:pPr>
          </w:p>
        </w:tc>
        <w:tc>
          <w:tcPr>
            <w:tcW w:w="5380" w:type="dxa"/>
            <w:vAlign w:val="bottom"/>
          </w:tcPr>
          <w:p>
            <w:pPr>
              <w:spacing w:after="0" w:line="183" w:lineRule="exact"/>
              <w:rPr>
                <w:sz w:val="20"/>
                <w:szCs w:val="20"/>
                <w:color w:val="auto"/>
              </w:rPr>
            </w:pPr>
            <w:r>
              <w:rPr>
                <w:rFonts w:ascii="Arial" w:cs="Arial" w:eastAsia="Arial" w:hAnsi="Arial"/>
                <w:sz w:val="16"/>
                <w:szCs w:val="16"/>
                <w:color w:val="auto"/>
              </w:rPr>
              <w:t>Fair value at December 31</w:t>
            </w:r>
          </w:p>
        </w:tc>
        <w:tc>
          <w:tcPr>
            <w:tcW w:w="7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6"/>
                <w:szCs w:val="16"/>
                <w:color w:val="auto"/>
                <w:w w:val="82"/>
              </w:rPr>
              <w:t>523</w:t>
            </w:r>
          </w:p>
        </w:tc>
        <w:tc>
          <w:tcPr>
            <w:tcW w:w="4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6"/>
                <w:szCs w:val="16"/>
                <w:color w:val="auto"/>
                <w:w w:val="89"/>
              </w:rPr>
              <w:t>502</w:t>
            </w:r>
          </w:p>
        </w:tc>
        <w:tc>
          <w:tcPr>
            <w:tcW w:w="46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136</w:t>
            </w:r>
          </w:p>
        </w:tc>
        <w:tc>
          <w:tcPr>
            <w:tcW w:w="4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r>
      <w:tr>
        <w:trPr>
          <w:trHeight w:val="481"/>
        </w:trPr>
        <w:tc>
          <w:tcPr>
            <w:tcW w:w="580" w:type="dxa"/>
            <w:vAlign w:val="bottom"/>
          </w:tcPr>
          <w:p>
            <w:pPr>
              <w:spacing w:after="0"/>
              <w:rPr>
                <w:sz w:val="24"/>
                <w:szCs w:val="24"/>
                <w:color w:val="auto"/>
              </w:rPr>
            </w:pPr>
          </w:p>
        </w:tc>
        <w:tc>
          <w:tcPr>
            <w:tcW w:w="6120" w:type="dxa"/>
            <w:vAlign w:val="bottom"/>
            <w:gridSpan w:val="2"/>
          </w:tcPr>
          <w:p>
            <w:pPr>
              <w:ind w:left="5620"/>
              <w:spacing w:after="0"/>
              <w:rPr>
                <w:sz w:val="20"/>
                <w:szCs w:val="20"/>
                <w:color w:val="auto"/>
              </w:rPr>
            </w:pPr>
            <w:r>
              <w:rPr>
                <w:rFonts w:ascii="Arial" w:cs="Arial" w:eastAsia="Arial" w:hAnsi="Arial"/>
                <w:sz w:val="16"/>
                <w:szCs w:val="16"/>
                <w:color w:val="auto"/>
              </w:rPr>
              <w:t>90</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45"/>
        </w:trPr>
        <w:tc>
          <w:tcPr>
            <w:tcW w:w="580" w:type="dxa"/>
            <w:vAlign w:val="bottom"/>
            <w:tcBorders>
              <w:bottom w:val="single" w:sz="8" w:color="808080"/>
            </w:tcBorders>
          </w:tcPr>
          <w:p>
            <w:pPr>
              <w:spacing w:after="0"/>
              <w:rPr>
                <w:sz w:val="24"/>
                <w:szCs w:val="24"/>
                <w:color w:val="auto"/>
              </w:rPr>
            </w:pPr>
          </w:p>
        </w:tc>
        <w:tc>
          <w:tcPr>
            <w:tcW w:w="53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589" w:right="13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 summary of pension plans with an accumulated benefit obligation in excess of plan assets is shown in the table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0" w:type="dxa"/>
            <w:vAlign w:val="bottom"/>
            <w:gridSpan w:val="5"/>
          </w:tcPr>
          <w:p>
            <w:pPr>
              <w:jc w:val="right"/>
              <w:ind w:right="975"/>
              <w:spacing w:after="0"/>
              <w:rPr>
                <w:sz w:val="20"/>
                <w:szCs w:val="20"/>
                <w:color w:val="auto"/>
              </w:rPr>
            </w:pPr>
            <w:r>
              <w:rPr>
                <w:rFonts w:ascii="Arial" w:cs="Arial" w:eastAsia="Arial" w:hAnsi="Arial"/>
                <w:sz w:val="13"/>
                <w:szCs w:val="13"/>
                <w:b w:val="1"/>
                <w:bCs w:val="1"/>
                <w:color w:val="auto"/>
              </w:rPr>
              <w:t>Pension Benefits</w:t>
            </w:r>
          </w:p>
        </w:tc>
        <w:tc>
          <w:tcPr>
            <w:tcW w:w="740" w:type="dxa"/>
            <w:vAlign w:val="bottom"/>
          </w:tcPr>
          <w:p>
            <w:pPr>
              <w:spacing w:after="0"/>
              <w:rPr>
                <w:sz w:val="14"/>
                <w:szCs w:val="14"/>
                <w:color w:val="auto"/>
              </w:rPr>
            </w:pPr>
          </w:p>
        </w:tc>
      </w:tr>
      <w:tr>
        <w:trPr>
          <w:trHeight w:val="23"/>
        </w:trPr>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r>
      <w:tr>
        <w:trPr>
          <w:trHeight w:val="165"/>
        </w:trPr>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U.S.</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gridSpan w:val="2"/>
          </w:tcPr>
          <w:p>
            <w:pPr>
              <w:jc w:val="right"/>
              <w:ind w:right="435"/>
              <w:spacing w:after="0"/>
              <w:rPr>
                <w:sz w:val="20"/>
                <w:szCs w:val="20"/>
                <w:color w:val="auto"/>
              </w:rPr>
            </w:pPr>
            <w:r>
              <w:rPr>
                <w:rFonts w:ascii="Arial" w:cs="Arial" w:eastAsia="Arial" w:hAnsi="Arial"/>
                <w:sz w:val="13"/>
                <w:szCs w:val="13"/>
                <w:b w:val="1"/>
                <w:bCs w:val="1"/>
                <w:color w:val="auto"/>
              </w:rPr>
              <w:t>Non-U.S.</w:t>
            </w:r>
          </w:p>
        </w:tc>
      </w:tr>
      <w:tr>
        <w:trPr>
          <w:trHeight w:val="23"/>
        </w:trPr>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65"/>
        </w:trPr>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440" w:type="dxa"/>
            <w:vAlign w:val="bottom"/>
            <w:gridSpan w:val="2"/>
          </w:tcPr>
          <w:p>
            <w:pPr>
              <w:jc w:val="right"/>
              <w:ind w:right="435"/>
              <w:spacing w:after="0"/>
              <w:rPr>
                <w:sz w:val="20"/>
                <w:szCs w:val="20"/>
                <w:color w:val="auto"/>
              </w:rPr>
            </w:pPr>
            <w:r>
              <w:rPr>
                <w:rFonts w:ascii="Arial" w:cs="Arial" w:eastAsia="Arial" w:hAnsi="Arial"/>
                <w:sz w:val="13"/>
                <w:szCs w:val="13"/>
                <w:b w:val="1"/>
                <w:bCs w:val="1"/>
                <w:color w:val="auto"/>
              </w:rPr>
              <w:t>2014</w:t>
            </w:r>
          </w:p>
        </w:tc>
        <w:tc>
          <w:tcPr>
            <w:tcW w:w="1080" w:type="dxa"/>
            <w:vAlign w:val="bottom"/>
          </w:tcPr>
          <w:p>
            <w:pPr>
              <w:jc w:val="right"/>
              <w:ind w:right="245"/>
              <w:spacing w:after="0"/>
              <w:rPr>
                <w:sz w:val="20"/>
                <w:szCs w:val="20"/>
                <w:color w:val="auto"/>
              </w:rPr>
            </w:pPr>
            <w:r>
              <w:rPr>
                <w:rFonts w:ascii="Arial" w:cs="Arial" w:eastAsia="Arial" w:hAnsi="Arial"/>
                <w:sz w:val="13"/>
                <w:szCs w:val="13"/>
                <w:b w:val="1"/>
                <w:bCs w:val="1"/>
                <w:color w:val="auto"/>
              </w:rPr>
              <w:t>2013</w:t>
            </w:r>
          </w:p>
        </w:tc>
        <w:tc>
          <w:tcPr>
            <w:tcW w:w="240" w:type="dxa"/>
            <w:vAlign w:val="bottom"/>
          </w:tcPr>
          <w:p>
            <w:pPr>
              <w:spacing w:after="0"/>
              <w:rPr>
                <w:sz w:val="14"/>
                <w:szCs w:val="14"/>
                <w:color w:val="auto"/>
              </w:rPr>
            </w:pPr>
          </w:p>
        </w:tc>
        <w:tc>
          <w:tcPr>
            <w:tcW w:w="1480" w:type="dxa"/>
            <w:vAlign w:val="bottom"/>
            <w:gridSpan w:val="3"/>
          </w:tcPr>
          <w:p>
            <w:pPr>
              <w:jc w:val="right"/>
              <w:ind w:right="255"/>
              <w:spacing w:after="0"/>
              <w:rPr>
                <w:sz w:val="20"/>
                <w:szCs w:val="20"/>
                <w:color w:val="auto"/>
              </w:rPr>
            </w:pPr>
            <w:r>
              <w:rPr>
                <w:rFonts w:ascii="Arial" w:cs="Arial" w:eastAsia="Arial" w:hAnsi="Arial"/>
                <w:sz w:val="13"/>
                <w:szCs w:val="13"/>
                <w:b w:val="1"/>
                <w:bCs w:val="1"/>
                <w:color w:val="auto"/>
              </w:rPr>
              <w:t>2014</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w:t>
            </w:r>
          </w:p>
        </w:tc>
      </w:tr>
      <w:tr>
        <w:trPr>
          <w:trHeight w:val="23"/>
        </w:trPr>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65"/>
        </w:trPr>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0" w:type="dxa"/>
            <w:vAlign w:val="bottom"/>
            <w:gridSpan w:val="5"/>
          </w:tcPr>
          <w:p>
            <w:pPr>
              <w:jc w:val="right"/>
              <w:ind w:right="915"/>
              <w:spacing w:after="0"/>
              <w:rPr>
                <w:sz w:val="20"/>
                <w:szCs w:val="20"/>
                <w:color w:val="auto"/>
              </w:rPr>
            </w:pPr>
            <w:r>
              <w:rPr>
                <w:rFonts w:ascii="Arial" w:cs="Arial" w:eastAsia="Arial" w:hAnsi="Arial"/>
                <w:sz w:val="13"/>
                <w:szCs w:val="13"/>
                <w:i w:val="1"/>
                <w:iCs w:val="1"/>
                <w:color w:val="auto"/>
              </w:rPr>
              <w:t>(millions of dollars)</w:t>
            </w:r>
          </w:p>
        </w:tc>
        <w:tc>
          <w:tcPr>
            <w:tcW w:w="740" w:type="dxa"/>
            <w:vAlign w:val="bottom"/>
          </w:tcPr>
          <w:p>
            <w:pPr>
              <w:spacing w:after="0"/>
              <w:rPr>
                <w:sz w:val="14"/>
                <w:szCs w:val="14"/>
                <w:color w:val="auto"/>
              </w:rPr>
            </w:pPr>
          </w:p>
        </w:tc>
      </w:tr>
      <w:tr>
        <w:trPr>
          <w:trHeight w:val="183"/>
        </w:trPr>
        <w:tc>
          <w:tcPr>
            <w:tcW w:w="5960" w:type="dxa"/>
            <w:vAlign w:val="bottom"/>
            <w:gridSpan w:val="4"/>
          </w:tcPr>
          <w:p>
            <w:pPr>
              <w:spacing w:after="0" w:line="183" w:lineRule="exact"/>
              <w:rPr>
                <w:sz w:val="20"/>
                <w:szCs w:val="20"/>
                <w:color w:val="auto"/>
              </w:rPr>
            </w:pPr>
            <w:r>
              <w:rPr>
                <w:rFonts w:ascii="Arial" w:cs="Arial" w:eastAsia="Arial" w:hAnsi="Arial"/>
                <w:sz w:val="16"/>
                <w:szCs w:val="16"/>
                <w:color w:val="auto"/>
              </w:rPr>
              <w:t>For funded pension plans with an accumulated benefit obligation</w:t>
            </w: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4"/>
        </w:trPr>
        <w:tc>
          <w:tcPr>
            <w:tcW w:w="5960" w:type="dxa"/>
            <w:vAlign w:val="bottom"/>
            <w:gridSpan w:val="4"/>
          </w:tcPr>
          <w:p>
            <w:pPr>
              <w:ind w:left="240"/>
              <w:spacing w:after="0"/>
              <w:rPr>
                <w:sz w:val="20"/>
                <w:szCs w:val="20"/>
                <w:color w:val="auto"/>
              </w:rPr>
            </w:pPr>
            <w:r>
              <w:rPr>
                <w:rFonts w:ascii="Arial" w:cs="Arial" w:eastAsia="Arial" w:hAnsi="Arial"/>
                <w:sz w:val="16"/>
                <w:szCs w:val="16"/>
                <w:color w:val="auto"/>
              </w:rPr>
              <w:t>in excess of plan assets: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08"/>
        </w:trPr>
        <w:tc>
          <w:tcPr>
            <w:tcW w:w="5960" w:type="dxa"/>
            <w:vAlign w:val="bottom"/>
            <w:gridSpan w:val="4"/>
          </w:tcPr>
          <w:p>
            <w:pPr>
              <w:ind w:left="240"/>
              <w:spacing w:after="0"/>
              <w:rPr>
                <w:sz w:val="20"/>
                <w:szCs w:val="20"/>
                <w:color w:val="auto"/>
              </w:rPr>
            </w:pPr>
            <w:r>
              <w:rPr>
                <w:rFonts w:ascii="Arial" w:cs="Arial" w:eastAsia="Arial" w:hAnsi="Arial"/>
                <w:sz w:val="16"/>
                <w:szCs w:val="16"/>
                <w:color w:val="auto"/>
              </w:rPr>
              <w:t>Projected benefit obligation</w:t>
            </w:r>
          </w:p>
        </w:tc>
        <w:tc>
          <w:tcPr>
            <w:tcW w:w="1440" w:type="dxa"/>
            <w:vAlign w:val="bottom"/>
            <w:gridSpan w:val="2"/>
          </w:tcPr>
          <w:p>
            <w:pPr>
              <w:jc w:val="right"/>
              <w:ind w:right="155"/>
              <w:spacing w:after="0"/>
              <w:rPr>
                <w:sz w:val="20"/>
                <w:szCs w:val="20"/>
                <w:color w:val="auto"/>
              </w:rPr>
            </w:pPr>
            <w:r>
              <w:rPr>
                <w:rFonts w:ascii="Arial" w:cs="Arial" w:eastAsia="Arial" w:hAnsi="Arial"/>
                <w:sz w:val="16"/>
                <w:szCs w:val="16"/>
                <w:color w:val="auto"/>
              </w:rPr>
              <w:t>17,505</w:t>
            </w:r>
          </w:p>
        </w:tc>
        <w:tc>
          <w:tcPr>
            <w:tcW w:w="1080" w:type="dxa"/>
            <w:vAlign w:val="bottom"/>
          </w:tcPr>
          <w:p>
            <w:pPr>
              <w:jc w:val="right"/>
              <w:spacing w:after="0"/>
              <w:rPr>
                <w:sz w:val="20"/>
                <w:szCs w:val="20"/>
                <w:color w:val="auto"/>
              </w:rPr>
            </w:pPr>
            <w:r>
              <w:rPr>
                <w:rFonts w:ascii="Arial" w:cs="Arial" w:eastAsia="Arial" w:hAnsi="Arial"/>
                <w:sz w:val="16"/>
                <w:szCs w:val="16"/>
                <w:color w:val="auto"/>
              </w:rPr>
              <w:t>14,737</w:t>
            </w:r>
          </w:p>
        </w:tc>
        <w:tc>
          <w:tcPr>
            <w:tcW w:w="2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5,031</w:t>
            </w:r>
          </w:p>
        </w:tc>
        <w:tc>
          <w:tcPr>
            <w:tcW w:w="740" w:type="dxa"/>
            <w:vAlign w:val="bottom"/>
          </w:tcPr>
          <w:p>
            <w:pPr>
              <w:spacing w:after="0"/>
              <w:rPr>
                <w:sz w:val="18"/>
                <w:szCs w:val="18"/>
                <w:color w:val="auto"/>
              </w:rPr>
            </w:pPr>
          </w:p>
        </w:tc>
      </w:tr>
      <w:tr>
        <w:trPr>
          <w:trHeight w:val="208"/>
        </w:trPr>
        <w:tc>
          <w:tcPr>
            <w:tcW w:w="5960" w:type="dxa"/>
            <w:vAlign w:val="bottom"/>
            <w:gridSpan w:val="4"/>
          </w:tcPr>
          <w:p>
            <w:pPr>
              <w:ind w:left="240"/>
              <w:spacing w:after="0"/>
              <w:rPr>
                <w:sz w:val="20"/>
                <w:szCs w:val="20"/>
                <w:color w:val="auto"/>
              </w:rPr>
            </w:pPr>
            <w:r>
              <w:rPr>
                <w:rFonts w:ascii="Arial" w:cs="Arial" w:eastAsia="Arial" w:hAnsi="Arial"/>
                <w:sz w:val="16"/>
                <w:szCs w:val="16"/>
                <w:color w:val="auto"/>
              </w:rPr>
              <w:t>Accumulated benefit obligation</w:t>
            </w:r>
          </w:p>
        </w:tc>
        <w:tc>
          <w:tcPr>
            <w:tcW w:w="1440" w:type="dxa"/>
            <w:vAlign w:val="bottom"/>
            <w:gridSpan w:val="2"/>
          </w:tcPr>
          <w:p>
            <w:pPr>
              <w:jc w:val="right"/>
              <w:ind w:right="155"/>
              <w:spacing w:after="0"/>
              <w:rPr>
                <w:sz w:val="20"/>
                <w:szCs w:val="20"/>
                <w:color w:val="auto"/>
              </w:rPr>
            </w:pPr>
            <w:r>
              <w:rPr>
                <w:rFonts w:ascii="Arial" w:cs="Arial" w:eastAsia="Arial" w:hAnsi="Arial"/>
                <w:sz w:val="16"/>
                <w:szCs w:val="16"/>
                <w:color w:val="auto"/>
              </w:rPr>
              <w:t>14,493</w:t>
            </w:r>
          </w:p>
        </w:tc>
        <w:tc>
          <w:tcPr>
            <w:tcW w:w="1080" w:type="dxa"/>
            <w:vAlign w:val="bottom"/>
          </w:tcPr>
          <w:p>
            <w:pPr>
              <w:jc w:val="right"/>
              <w:spacing w:after="0"/>
              <w:rPr>
                <w:sz w:val="20"/>
                <w:szCs w:val="20"/>
                <w:color w:val="auto"/>
              </w:rPr>
            </w:pPr>
            <w:r>
              <w:rPr>
                <w:rFonts w:ascii="Arial" w:cs="Arial" w:eastAsia="Arial" w:hAnsi="Arial"/>
                <w:sz w:val="16"/>
                <w:szCs w:val="16"/>
                <w:color w:val="auto"/>
              </w:rPr>
              <w:t>12,342</w:t>
            </w:r>
          </w:p>
        </w:tc>
        <w:tc>
          <w:tcPr>
            <w:tcW w:w="2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4,590</w:t>
            </w:r>
          </w:p>
        </w:tc>
        <w:tc>
          <w:tcPr>
            <w:tcW w:w="740" w:type="dxa"/>
            <w:vAlign w:val="bottom"/>
          </w:tcPr>
          <w:p>
            <w:pPr>
              <w:spacing w:after="0"/>
              <w:rPr>
                <w:sz w:val="18"/>
                <w:szCs w:val="18"/>
                <w:color w:val="auto"/>
              </w:rPr>
            </w:pPr>
          </w:p>
        </w:tc>
      </w:tr>
      <w:tr>
        <w:trPr>
          <w:trHeight w:val="208"/>
        </w:trPr>
        <w:tc>
          <w:tcPr>
            <w:tcW w:w="5960" w:type="dxa"/>
            <w:vAlign w:val="bottom"/>
            <w:gridSpan w:val="4"/>
          </w:tcPr>
          <w:p>
            <w:pPr>
              <w:ind w:left="240"/>
              <w:spacing w:after="0"/>
              <w:rPr>
                <w:sz w:val="20"/>
                <w:szCs w:val="20"/>
                <w:color w:val="auto"/>
              </w:rPr>
            </w:pPr>
            <w:r>
              <w:rPr>
                <w:rFonts w:ascii="Arial" w:cs="Arial" w:eastAsia="Arial" w:hAnsi="Arial"/>
                <w:sz w:val="16"/>
                <w:szCs w:val="16"/>
                <w:color w:val="auto"/>
              </w:rPr>
              <w:t>Fair value of plan assets</w:t>
            </w:r>
          </w:p>
        </w:tc>
        <w:tc>
          <w:tcPr>
            <w:tcW w:w="1440" w:type="dxa"/>
            <w:vAlign w:val="bottom"/>
            <w:gridSpan w:val="2"/>
          </w:tcPr>
          <w:p>
            <w:pPr>
              <w:jc w:val="right"/>
              <w:ind w:right="155"/>
              <w:spacing w:after="0"/>
              <w:rPr>
                <w:sz w:val="20"/>
                <w:szCs w:val="20"/>
                <w:color w:val="auto"/>
              </w:rPr>
            </w:pPr>
            <w:r>
              <w:rPr>
                <w:rFonts w:ascii="Arial" w:cs="Arial" w:eastAsia="Arial" w:hAnsi="Arial"/>
                <w:sz w:val="16"/>
                <w:szCs w:val="16"/>
                <w:color w:val="auto"/>
              </w:rPr>
              <w:t>12,915</w:t>
            </w:r>
          </w:p>
        </w:tc>
        <w:tc>
          <w:tcPr>
            <w:tcW w:w="1080" w:type="dxa"/>
            <w:vAlign w:val="bottom"/>
          </w:tcPr>
          <w:p>
            <w:pPr>
              <w:jc w:val="right"/>
              <w:spacing w:after="0"/>
              <w:rPr>
                <w:sz w:val="20"/>
                <w:szCs w:val="20"/>
                <w:color w:val="auto"/>
              </w:rPr>
            </w:pPr>
            <w:r>
              <w:rPr>
                <w:rFonts w:ascii="Arial" w:cs="Arial" w:eastAsia="Arial" w:hAnsi="Arial"/>
                <w:sz w:val="16"/>
                <w:szCs w:val="16"/>
                <w:color w:val="auto"/>
              </w:rPr>
              <w:t>11,189</w:t>
            </w:r>
          </w:p>
        </w:tc>
        <w:tc>
          <w:tcPr>
            <w:tcW w:w="2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3,890</w:t>
            </w:r>
          </w:p>
        </w:tc>
        <w:tc>
          <w:tcPr>
            <w:tcW w:w="740" w:type="dxa"/>
            <w:vAlign w:val="bottom"/>
          </w:tcPr>
          <w:p>
            <w:pPr>
              <w:spacing w:after="0"/>
              <w:rPr>
                <w:sz w:val="18"/>
                <w:szCs w:val="18"/>
                <w:color w:val="auto"/>
              </w:rPr>
            </w:pPr>
          </w:p>
        </w:tc>
      </w:tr>
      <w:tr>
        <w:trPr>
          <w:trHeight w:val="381"/>
        </w:trPr>
        <w:tc>
          <w:tcPr>
            <w:tcW w:w="5960" w:type="dxa"/>
            <w:vAlign w:val="bottom"/>
            <w:gridSpan w:val="4"/>
          </w:tcPr>
          <w:p>
            <w:pPr>
              <w:spacing w:after="0"/>
              <w:rPr>
                <w:sz w:val="20"/>
                <w:szCs w:val="20"/>
                <w:color w:val="auto"/>
              </w:rPr>
            </w:pPr>
            <w:r>
              <w:rPr>
                <w:rFonts w:ascii="Arial" w:cs="Arial" w:eastAsia="Arial" w:hAnsi="Arial"/>
                <w:sz w:val="16"/>
                <w:szCs w:val="16"/>
                <w:color w:val="auto"/>
              </w:rPr>
              <w:t>For unfunded pension plans:</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4"/>
        </w:trPr>
        <w:tc>
          <w:tcPr>
            <w:tcW w:w="5960" w:type="dxa"/>
            <w:vAlign w:val="bottom"/>
            <w:gridSpan w:val="4"/>
          </w:tcPr>
          <w:p>
            <w:pPr>
              <w:ind w:left="240"/>
              <w:spacing w:after="0"/>
              <w:rPr>
                <w:sz w:val="20"/>
                <w:szCs w:val="20"/>
                <w:color w:val="auto"/>
              </w:rPr>
            </w:pPr>
            <w:r>
              <w:rPr>
                <w:rFonts w:ascii="Arial" w:cs="Arial" w:eastAsia="Arial" w:hAnsi="Arial"/>
                <w:sz w:val="16"/>
                <w:szCs w:val="16"/>
                <w:color w:val="auto"/>
              </w:rPr>
              <w:t>Projected benefit obligation</w:t>
            </w:r>
          </w:p>
        </w:tc>
        <w:tc>
          <w:tcPr>
            <w:tcW w:w="1440" w:type="dxa"/>
            <w:vAlign w:val="bottom"/>
            <w:gridSpan w:val="2"/>
          </w:tcPr>
          <w:p>
            <w:pPr>
              <w:jc w:val="right"/>
              <w:ind w:right="155"/>
              <w:spacing w:after="0"/>
              <w:rPr>
                <w:sz w:val="20"/>
                <w:szCs w:val="20"/>
                <w:color w:val="auto"/>
              </w:rPr>
            </w:pPr>
            <w:r>
              <w:rPr>
                <w:rFonts w:ascii="Arial" w:cs="Arial" w:eastAsia="Arial" w:hAnsi="Arial"/>
                <w:sz w:val="16"/>
                <w:szCs w:val="16"/>
                <w:color w:val="auto"/>
              </w:rPr>
              <w:t>3,024</w:t>
            </w:r>
          </w:p>
        </w:tc>
        <w:tc>
          <w:tcPr>
            <w:tcW w:w="1080" w:type="dxa"/>
            <w:vAlign w:val="bottom"/>
          </w:tcPr>
          <w:p>
            <w:pPr>
              <w:jc w:val="right"/>
              <w:spacing w:after="0"/>
              <w:rPr>
                <w:sz w:val="20"/>
                <w:szCs w:val="20"/>
                <w:color w:val="auto"/>
              </w:rPr>
            </w:pPr>
            <w:r>
              <w:rPr>
                <w:rFonts w:ascii="Arial" w:cs="Arial" w:eastAsia="Arial" w:hAnsi="Arial"/>
                <w:sz w:val="16"/>
                <w:szCs w:val="16"/>
                <w:color w:val="auto"/>
              </w:rPr>
              <w:t>2,567</w:t>
            </w:r>
          </w:p>
        </w:tc>
        <w:tc>
          <w:tcPr>
            <w:tcW w:w="24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7,839</w:t>
            </w:r>
          </w:p>
        </w:tc>
        <w:tc>
          <w:tcPr>
            <w:tcW w:w="740" w:type="dxa"/>
            <w:vAlign w:val="bottom"/>
          </w:tcPr>
          <w:p>
            <w:pPr>
              <w:spacing w:after="0"/>
              <w:rPr>
                <w:sz w:val="19"/>
                <w:szCs w:val="19"/>
                <w:color w:val="auto"/>
              </w:rPr>
            </w:pPr>
          </w:p>
        </w:tc>
      </w:tr>
      <w:tr>
        <w:trPr>
          <w:trHeight w:val="208"/>
        </w:trPr>
        <w:tc>
          <w:tcPr>
            <w:tcW w:w="5960" w:type="dxa"/>
            <w:vAlign w:val="bottom"/>
            <w:gridSpan w:val="4"/>
          </w:tcPr>
          <w:p>
            <w:pPr>
              <w:ind w:left="240"/>
              <w:spacing w:after="0"/>
              <w:rPr>
                <w:sz w:val="20"/>
                <w:szCs w:val="20"/>
                <w:color w:val="auto"/>
              </w:rPr>
            </w:pPr>
            <w:r>
              <w:rPr>
                <w:rFonts w:ascii="Arial" w:cs="Arial" w:eastAsia="Arial" w:hAnsi="Arial"/>
                <w:sz w:val="16"/>
                <w:szCs w:val="16"/>
                <w:color w:val="auto"/>
              </w:rPr>
              <w:t>Accumulated benefit obligation</w:t>
            </w:r>
          </w:p>
        </w:tc>
        <w:tc>
          <w:tcPr>
            <w:tcW w:w="1440" w:type="dxa"/>
            <w:vAlign w:val="bottom"/>
            <w:gridSpan w:val="2"/>
          </w:tcPr>
          <w:p>
            <w:pPr>
              <w:jc w:val="right"/>
              <w:ind w:right="155"/>
              <w:spacing w:after="0"/>
              <w:rPr>
                <w:sz w:val="20"/>
                <w:szCs w:val="20"/>
                <w:color w:val="auto"/>
              </w:rPr>
            </w:pPr>
            <w:r>
              <w:rPr>
                <w:rFonts w:ascii="Arial" w:cs="Arial" w:eastAsia="Arial" w:hAnsi="Arial"/>
                <w:sz w:val="16"/>
                <w:szCs w:val="16"/>
                <w:color w:val="auto"/>
              </w:rPr>
              <w:t>1,892</w:t>
            </w:r>
          </w:p>
        </w:tc>
        <w:tc>
          <w:tcPr>
            <w:tcW w:w="1080" w:type="dxa"/>
            <w:vAlign w:val="bottom"/>
          </w:tcPr>
          <w:p>
            <w:pPr>
              <w:jc w:val="right"/>
              <w:spacing w:after="0"/>
              <w:rPr>
                <w:sz w:val="20"/>
                <w:szCs w:val="20"/>
                <w:color w:val="auto"/>
              </w:rPr>
            </w:pPr>
            <w:r>
              <w:rPr>
                <w:rFonts w:ascii="Arial" w:cs="Arial" w:eastAsia="Arial" w:hAnsi="Arial"/>
                <w:sz w:val="16"/>
                <w:szCs w:val="16"/>
                <w:color w:val="auto"/>
              </w:rPr>
              <w:t>1,647</w:t>
            </w:r>
          </w:p>
        </w:tc>
        <w:tc>
          <w:tcPr>
            <w:tcW w:w="2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6,573</w:t>
            </w:r>
          </w:p>
        </w:tc>
        <w:tc>
          <w:tcPr>
            <w:tcW w:w="740" w:type="dxa"/>
            <w:vAlign w:val="bottom"/>
          </w:tcPr>
          <w:p>
            <w:pPr>
              <w:spacing w:after="0"/>
              <w:rPr>
                <w:sz w:val="18"/>
                <w:szCs w:val="18"/>
                <w:color w:val="auto"/>
              </w:rPr>
            </w:pPr>
          </w:p>
        </w:tc>
      </w:tr>
      <w:tr>
        <w:trPr>
          <w:trHeight w:val="394"/>
        </w:trPr>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jc w:val="center"/>
              <w:ind w:left="95"/>
              <w:spacing w:after="0"/>
              <w:rPr>
                <w:sz w:val="20"/>
                <w:szCs w:val="20"/>
                <w:color w:val="auto"/>
              </w:rPr>
            </w:pPr>
            <w:r>
              <w:rPr>
                <w:rFonts w:ascii="Arial" w:cs="Arial" w:eastAsia="Arial" w:hAnsi="Arial"/>
                <w:sz w:val="13"/>
                <w:szCs w:val="13"/>
                <w:b w:val="1"/>
                <w:bCs w:val="1"/>
                <w:color w:val="auto"/>
                <w:w w:val="97"/>
              </w:rPr>
              <w:t>Other</w:t>
            </w:r>
          </w:p>
        </w:tc>
      </w:tr>
      <w:tr>
        <w:trPr>
          <w:trHeight w:val="232"/>
        </w:trPr>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340"/>
              <w:spacing w:after="0"/>
              <w:rPr>
                <w:sz w:val="20"/>
                <w:szCs w:val="20"/>
                <w:color w:val="auto"/>
              </w:rPr>
            </w:pPr>
            <w:r>
              <w:rPr>
                <w:rFonts w:ascii="Arial" w:cs="Arial" w:eastAsia="Arial" w:hAnsi="Arial"/>
                <w:sz w:val="13"/>
                <w:szCs w:val="13"/>
                <w:b w:val="1"/>
                <w:bCs w:val="1"/>
                <w:color w:val="auto"/>
                <w:w w:val="90"/>
              </w:rPr>
              <w:t>Pension Benefits</w:t>
            </w: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w w:val="90"/>
              </w:rPr>
              <w:t>Postretireme</w:t>
            </w:r>
          </w:p>
        </w:tc>
      </w:tr>
      <w:tr>
        <w:trPr>
          <w:trHeight w:val="165"/>
        </w:trPr>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3"/>
                <w:szCs w:val="13"/>
                <w:b w:val="1"/>
                <w:bCs w:val="1"/>
                <w:color w:val="auto"/>
              </w:rPr>
              <w:t>U.S.</w:t>
            </w:r>
          </w:p>
        </w:tc>
        <w:tc>
          <w:tcPr>
            <w:tcW w:w="1480" w:type="dxa"/>
            <w:vAlign w:val="bottom"/>
            <w:gridSpan w:val="3"/>
          </w:tcPr>
          <w:p>
            <w:pPr>
              <w:jc w:val="right"/>
              <w:ind w:right="835"/>
              <w:spacing w:after="0"/>
              <w:rPr>
                <w:sz w:val="20"/>
                <w:szCs w:val="20"/>
                <w:color w:val="auto"/>
              </w:rPr>
            </w:pPr>
            <w:r>
              <w:rPr>
                <w:rFonts w:ascii="Arial" w:cs="Arial" w:eastAsia="Arial" w:hAnsi="Arial"/>
                <w:sz w:val="13"/>
                <w:szCs w:val="13"/>
                <w:b w:val="1"/>
                <w:bCs w:val="1"/>
                <w:color w:val="auto"/>
              </w:rPr>
              <w:t>Non-U.S.</w:t>
            </w:r>
          </w:p>
        </w:tc>
        <w:tc>
          <w:tcPr>
            <w:tcW w:w="740" w:type="dxa"/>
            <w:vAlign w:val="bottom"/>
          </w:tcPr>
          <w:p>
            <w:pPr>
              <w:jc w:val="center"/>
              <w:ind w:left="95"/>
              <w:spacing w:after="0"/>
              <w:rPr>
                <w:sz w:val="20"/>
                <w:szCs w:val="20"/>
                <w:color w:val="auto"/>
              </w:rPr>
            </w:pPr>
            <w:r>
              <w:rPr>
                <w:rFonts w:ascii="Arial" w:cs="Arial" w:eastAsia="Arial" w:hAnsi="Arial"/>
                <w:sz w:val="13"/>
                <w:szCs w:val="13"/>
                <w:b w:val="1"/>
                <w:bCs w:val="1"/>
                <w:color w:val="auto"/>
                <w:w w:val="89"/>
              </w:rPr>
              <w:t>Benefits</w:t>
            </w:r>
          </w:p>
        </w:tc>
      </w:tr>
      <w:tr>
        <w:trPr>
          <w:trHeight w:val="23"/>
        </w:trPr>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65"/>
        </w:trPr>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20" w:type="dxa"/>
            <w:vAlign w:val="bottom"/>
            <w:gridSpan w:val="4"/>
          </w:tcPr>
          <w:p>
            <w:pPr>
              <w:jc w:val="right"/>
              <w:ind w:right="455"/>
              <w:spacing w:after="0"/>
              <w:rPr>
                <w:sz w:val="20"/>
                <w:szCs w:val="20"/>
                <w:color w:val="auto"/>
              </w:rPr>
            </w:pPr>
            <w:r>
              <w:rPr>
                <w:rFonts w:ascii="Arial" w:cs="Arial" w:eastAsia="Arial" w:hAnsi="Arial"/>
                <w:sz w:val="13"/>
                <w:szCs w:val="13"/>
                <w:i w:val="1"/>
                <w:iCs w:val="1"/>
                <w:color w:val="auto"/>
              </w:rPr>
              <w:t>(millions of dollars)</w:t>
            </w:r>
          </w:p>
        </w:tc>
        <w:tc>
          <w:tcPr>
            <w:tcW w:w="740" w:type="dxa"/>
            <w:vAlign w:val="bottom"/>
          </w:tcPr>
          <w:p>
            <w:pPr>
              <w:spacing w:after="0"/>
              <w:rPr>
                <w:sz w:val="14"/>
                <w:szCs w:val="14"/>
                <w:color w:val="auto"/>
              </w:rPr>
            </w:pPr>
          </w:p>
        </w:tc>
      </w:tr>
      <w:tr>
        <w:trPr>
          <w:trHeight w:val="218"/>
        </w:trPr>
        <w:tc>
          <w:tcPr>
            <w:tcW w:w="5960" w:type="dxa"/>
            <w:vAlign w:val="bottom"/>
            <w:gridSpan w:val="4"/>
          </w:tcPr>
          <w:p>
            <w:pPr>
              <w:spacing w:after="0"/>
              <w:rPr>
                <w:sz w:val="20"/>
                <w:szCs w:val="20"/>
                <w:color w:val="auto"/>
              </w:rPr>
            </w:pPr>
            <w:r>
              <w:rPr>
                <w:rFonts w:ascii="Arial" w:cs="Arial" w:eastAsia="Arial" w:hAnsi="Arial"/>
                <w:sz w:val="16"/>
                <w:szCs w:val="16"/>
                <w:color w:val="auto"/>
              </w:rPr>
              <w:t>Estimated 2015 amortization from accumulated other comprehensive income:</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8"/>
        </w:trPr>
        <w:tc>
          <w:tcPr>
            <w:tcW w:w="5960" w:type="dxa"/>
            <w:vAlign w:val="bottom"/>
            <w:gridSpan w:val="4"/>
          </w:tcPr>
          <w:p>
            <w:pPr>
              <w:ind w:left="240"/>
              <w:spacing w:after="0"/>
              <w:rPr>
                <w:sz w:val="20"/>
                <w:szCs w:val="20"/>
                <w:color w:val="auto"/>
              </w:rPr>
            </w:pPr>
            <w:r>
              <w:rPr>
                <w:rFonts w:ascii="Arial" w:cs="Arial" w:eastAsia="Arial" w:hAnsi="Arial"/>
                <w:sz w:val="16"/>
                <w:szCs w:val="16"/>
                <w:color w:val="auto"/>
              </w:rPr>
              <w:t xml:space="preserve">Net actuarial loss/(gain) </w:t>
            </w:r>
            <w:r>
              <w:rPr>
                <w:rFonts w:ascii="Arial" w:cs="Arial" w:eastAsia="Arial" w:hAnsi="Arial"/>
                <w:sz w:val="14"/>
                <w:szCs w:val="14"/>
                <w:i w:val="1"/>
                <w:iCs w:val="1"/>
                <w:color w:val="auto"/>
              </w:rPr>
              <w:t>(1)</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ind w:right="205"/>
              <w:spacing w:after="0"/>
              <w:rPr>
                <w:sz w:val="20"/>
                <w:szCs w:val="20"/>
                <w:color w:val="auto"/>
              </w:rPr>
            </w:pPr>
            <w:r>
              <w:rPr>
                <w:rFonts w:ascii="Arial" w:cs="Arial" w:eastAsia="Arial" w:hAnsi="Arial"/>
                <w:sz w:val="16"/>
                <w:szCs w:val="16"/>
                <w:color w:val="auto"/>
              </w:rPr>
              <w:t>1,001</w:t>
            </w: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753</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8"/>
        </w:trPr>
        <w:tc>
          <w:tcPr>
            <w:tcW w:w="5960" w:type="dxa"/>
            <w:vAlign w:val="bottom"/>
            <w:gridSpan w:val="4"/>
          </w:tcPr>
          <w:p>
            <w:pPr>
              <w:ind w:left="240"/>
              <w:spacing w:after="0"/>
              <w:rPr>
                <w:sz w:val="20"/>
                <w:szCs w:val="20"/>
                <w:color w:val="auto"/>
              </w:rPr>
            </w:pPr>
            <w:r>
              <w:rPr>
                <w:rFonts w:ascii="Arial" w:cs="Arial" w:eastAsia="Arial" w:hAnsi="Arial"/>
                <w:sz w:val="16"/>
                <w:szCs w:val="16"/>
                <w:color w:val="auto"/>
              </w:rPr>
              <w:t xml:space="preserve">Prior service cost </w:t>
            </w:r>
            <w:r>
              <w:rPr>
                <w:rFonts w:ascii="Arial" w:cs="Arial" w:eastAsia="Arial" w:hAnsi="Arial"/>
                <w:sz w:val="14"/>
                <w:szCs w:val="14"/>
                <w:i w:val="1"/>
                <w:iCs w:val="1"/>
                <w:color w:val="auto"/>
              </w:rPr>
              <w:t>(2)</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ind w:right="205"/>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105</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line="246" w:lineRule="exact"/>
        <w:rPr>
          <w:sz w:val="20"/>
          <w:szCs w:val="20"/>
          <w:color w:val="auto"/>
        </w:rPr>
      </w:pPr>
    </w:p>
    <w:p>
      <w:pPr>
        <w:ind w:left="300" w:hanging="294"/>
        <w:spacing w:after="0" w:line="286" w:lineRule="auto"/>
        <w:tabs>
          <w:tab w:leader="none" w:pos="352"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The Corporation amortizes the net balance of actuarial losses/(gains) as a component of net periodic benefit cost over the average remaining service period o plan participants.</w:t>
      </w:r>
    </w:p>
    <w:p>
      <w:pPr>
        <w:spacing w:after="0" w:line="2" w:lineRule="exact"/>
        <w:rPr>
          <w:rFonts w:ascii="Arial" w:cs="Arial" w:eastAsia="Arial" w:hAnsi="Arial"/>
          <w:sz w:val="16"/>
          <w:szCs w:val="16"/>
          <w:i w:val="1"/>
          <w:iCs w:val="1"/>
          <w:color w:val="auto"/>
        </w:rPr>
      </w:pPr>
    </w:p>
    <w:p>
      <w:pPr>
        <w:ind w:left="300" w:hanging="294"/>
        <w:spacing w:after="0" w:line="286" w:lineRule="auto"/>
        <w:tabs>
          <w:tab w:leader="none" w:pos="363"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The Corporation amortizes prior service cost on a straight-line basis as permitted under authoritative guidance for defined benefit pension and other postret benefit plans.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Pension Benefits</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80" w:type="dxa"/>
            <w:vAlign w:val="bottom"/>
            <w:gridSpan w:val="2"/>
          </w:tcPr>
          <w:p>
            <w:pPr>
              <w:jc w:val="right"/>
              <w:ind w:right="222"/>
              <w:spacing w:after="0"/>
              <w:rPr>
                <w:sz w:val="20"/>
                <w:szCs w:val="20"/>
                <w:color w:val="auto"/>
              </w:rPr>
            </w:pPr>
            <w:r>
              <w:rPr>
                <w:rFonts w:ascii="Arial" w:cs="Arial" w:eastAsia="Arial" w:hAnsi="Arial"/>
                <w:sz w:val="13"/>
                <w:szCs w:val="13"/>
                <w:b w:val="1"/>
                <w:bCs w:val="1"/>
                <w:color w:val="auto"/>
              </w:rPr>
              <w:t>Other Postretirement Benefits</w:t>
            </w:r>
          </w:p>
        </w:tc>
      </w:tr>
      <w:tr>
        <w:trPr>
          <w:trHeight w:val="23"/>
        </w:trPr>
        <w:tc>
          <w:tcPr>
            <w:tcW w:w="506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65"/>
        </w:trPr>
        <w:tc>
          <w:tcPr>
            <w:tcW w:w="5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80" w:type="dxa"/>
            <w:vAlign w:val="bottom"/>
          </w:tcPr>
          <w:p>
            <w:pPr>
              <w:jc w:val="right"/>
              <w:ind w:right="62"/>
              <w:spacing w:after="0"/>
              <w:rPr>
                <w:sz w:val="20"/>
                <w:szCs w:val="20"/>
                <w:color w:val="auto"/>
              </w:rPr>
            </w:pPr>
            <w:r>
              <w:rPr>
                <w:rFonts w:ascii="Arial" w:cs="Arial" w:eastAsia="Arial" w:hAnsi="Arial"/>
                <w:sz w:val="13"/>
                <w:szCs w:val="13"/>
                <w:b w:val="1"/>
                <w:bCs w:val="1"/>
                <w:color w:val="auto"/>
              </w:rPr>
              <w:t>Medicare</w:t>
            </w:r>
          </w:p>
        </w:tc>
      </w:tr>
      <w:tr>
        <w:trPr>
          <w:trHeight w:val="184"/>
        </w:trPr>
        <w:tc>
          <w:tcPr>
            <w:tcW w:w="5060" w:type="dxa"/>
            <w:vAlign w:val="bottom"/>
          </w:tcPr>
          <w:p>
            <w:pPr>
              <w:spacing w:after="0"/>
              <w:rPr>
                <w:sz w:val="15"/>
                <w:szCs w:val="15"/>
                <w:color w:val="auto"/>
              </w:rPr>
            </w:pPr>
          </w:p>
        </w:tc>
        <w:tc>
          <w:tcPr>
            <w:tcW w:w="1760" w:type="dxa"/>
            <w:vAlign w:val="bottom"/>
          </w:tcPr>
          <w:p>
            <w:pPr>
              <w:jc w:val="right"/>
              <w:ind w:right="1062"/>
              <w:spacing w:after="0"/>
              <w:rPr>
                <w:sz w:val="20"/>
                <w:szCs w:val="20"/>
                <w:color w:val="auto"/>
              </w:rPr>
            </w:pPr>
            <w:r>
              <w:rPr>
                <w:rFonts w:ascii="Arial" w:cs="Arial" w:eastAsia="Arial" w:hAnsi="Arial"/>
                <w:sz w:val="13"/>
                <w:szCs w:val="13"/>
                <w:b w:val="1"/>
                <w:bCs w:val="1"/>
                <w:color w:val="auto"/>
              </w:rPr>
              <w:t>U.S.</w:t>
            </w:r>
          </w:p>
        </w:tc>
        <w:tc>
          <w:tcPr>
            <w:tcW w:w="1340" w:type="dxa"/>
            <w:vAlign w:val="bottom"/>
            <w:gridSpan w:val="2"/>
          </w:tcPr>
          <w:p>
            <w:pPr>
              <w:ind w:left="40"/>
              <w:spacing w:after="0"/>
              <w:rPr>
                <w:sz w:val="20"/>
                <w:szCs w:val="20"/>
                <w:color w:val="auto"/>
              </w:rPr>
            </w:pPr>
            <w:r>
              <w:rPr>
                <w:rFonts w:ascii="Arial" w:cs="Arial" w:eastAsia="Arial" w:hAnsi="Arial"/>
                <w:sz w:val="13"/>
                <w:szCs w:val="13"/>
                <w:b w:val="1"/>
                <w:bCs w:val="1"/>
                <w:color w:val="auto"/>
              </w:rPr>
              <w:t>Non-U.S.</w:t>
            </w:r>
          </w:p>
        </w:tc>
        <w:tc>
          <w:tcPr>
            <w:tcW w:w="1400" w:type="dxa"/>
            <w:vAlign w:val="bottom"/>
          </w:tcPr>
          <w:p>
            <w:pPr>
              <w:jc w:val="right"/>
              <w:ind w:right="702"/>
              <w:spacing w:after="0"/>
              <w:rPr>
                <w:sz w:val="20"/>
                <w:szCs w:val="20"/>
                <w:color w:val="auto"/>
              </w:rPr>
            </w:pPr>
            <w:r>
              <w:rPr>
                <w:rFonts w:ascii="Arial" w:cs="Arial" w:eastAsia="Arial" w:hAnsi="Arial"/>
                <w:sz w:val="13"/>
                <w:szCs w:val="13"/>
                <w:b w:val="1"/>
                <w:bCs w:val="1"/>
                <w:color w:val="auto"/>
              </w:rPr>
              <w:t>Gross</w:t>
            </w:r>
          </w:p>
        </w:tc>
        <w:tc>
          <w:tcPr>
            <w:tcW w:w="1380" w:type="dxa"/>
            <w:vAlign w:val="bottom"/>
          </w:tcPr>
          <w:p>
            <w:pPr>
              <w:jc w:val="right"/>
              <w:spacing w:after="0"/>
              <w:rPr>
                <w:sz w:val="20"/>
                <w:szCs w:val="20"/>
                <w:color w:val="auto"/>
              </w:rPr>
            </w:pPr>
            <w:r>
              <w:rPr>
                <w:rFonts w:ascii="Arial" w:cs="Arial" w:eastAsia="Arial" w:hAnsi="Arial"/>
                <w:sz w:val="13"/>
                <w:szCs w:val="13"/>
                <w:b w:val="1"/>
                <w:bCs w:val="1"/>
                <w:color w:val="auto"/>
              </w:rPr>
              <w:t>Subsidy Receip</w:t>
            </w:r>
          </w:p>
        </w:tc>
      </w:tr>
      <w:tr>
        <w:trPr>
          <w:trHeight w:val="23"/>
        </w:trPr>
        <w:tc>
          <w:tcPr>
            <w:tcW w:w="50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2"/>
        </w:trPr>
        <w:tc>
          <w:tcPr>
            <w:tcW w:w="50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740" w:type="dxa"/>
            <w:vAlign w:val="bottom"/>
            <w:gridSpan w:val="3"/>
          </w:tcPr>
          <w:p>
            <w:pPr>
              <w:jc w:val="right"/>
              <w:ind w:right="1002"/>
              <w:spacing w:after="0"/>
              <w:rPr>
                <w:sz w:val="20"/>
                <w:szCs w:val="20"/>
                <w:color w:val="auto"/>
              </w:rPr>
            </w:pPr>
            <w:r>
              <w:rPr>
                <w:rFonts w:ascii="Arial" w:cs="Arial" w:eastAsia="Arial" w:hAnsi="Arial"/>
                <w:sz w:val="13"/>
                <w:szCs w:val="13"/>
                <w:i w:val="1"/>
                <w:iCs w:val="1"/>
                <w:color w:val="auto"/>
              </w:rPr>
              <w:t>(millions of dollars)</w:t>
            </w:r>
          </w:p>
        </w:tc>
        <w:tc>
          <w:tcPr>
            <w:tcW w:w="1380" w:type="dxa"/>
            <w:vAlign w:val="bottom"/>
          </w:tcPr>
          <w:p>
            <w:pPr>
              <w:spacing w:after="0"/>
              <w:rPr>
                <w:sz w:val="17"/>
                <w:szCs w:val="17"/>
                <w:color w:val="auto"/>
              </w:rPr>
            </w:pPr>
          </w:p>
        </w:tc>
      </w:tr>
      <w:tr>
        <w:trPr>
          <w:trHeight w:val="366"/>
        </w:trPr>
        <w:tc>
          <w:tcPr>
            <w:tcW w:w="5060" w:type="dxa"/>
            <w:vAlign w:val="bottom"/>
          </w:tcPr>
          <w:p>
            <w:pPr>
              <w:spacing w:after="0"/>
              <w:rPr>
                <w:sz w:val="20"/>
                <w:szCs w:val="20"/>
                <w:color w:val="auto"/>
              </w:rPr>
            </w:pPr>
            <w:r>
              <w:rPr>
                <w:rFonts w:ascii="Arial" w:cs="Arial" w:eastAsia="Arial" w:hAnsi="Arial"/>
                <w:sz w:val="16"/>
                <w:szCs w:val="16"/>
                <w:color w:val="auto"/>
              </w:rPr>
              <w:t>Contributions expected in 2015</w:t>
            </w:r>
          </w:p>
        </w:tc>
        <w:tc>
          <w:tcPr>
            <w:tcW w:w="176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560</w:t>
            </w:r>
          </w:p>
        </w:tc>
        <w:tc>
          <w:tcPr>
            <w:tcW w:w="580" w:type="dxa"/>
            <w:vAlign w:val="bottom"/>
          </w:tcPr>
          <w:p>
            <w:pPr>
              <w:spacing w:after="0"/>
              <w:rPr>
                <w:sz w:val="24"/>
                <w:szCs w:val="24"/>
                <w:color w:val="auto"/>
              </w:rPr>
            </w:pPr>
          </w:p>
        </w:tc>
        <w:tc>
          <w:tcPr>
            <w:tcW w:w="140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22"/>
              <w:spacing w:after="0"/>
              <w:rPr>
                <w:sz w:val="20"/>
                <w:szCs w:val="20"/>
                <w:color w:val="auto"/>
              </w:rPr>
            </w:pPr>
            <w:r>
              <w:rPr>
                <w:rFonts w:ascii="Arial" w:cs="Arial" w:eastAsia="Arial" w:hAnsi="Arial"/>
                <w:sz w:val="16"/>
                <w:szCs w:val="16"/>
                <w:color w:val="auto"/>
              </w:rPr>
              <w:t>-</w:t>
            </w:r>
          </w:p>
        </w:tc>
      </w:tr>
      <w:tr>
        <w:trPr>
          <w:trHeight w:val="196"/>
        </w:trPr>
        <w:tc>
          <w:tcPr>
            <w:tcW w:w="5060" w:type="dxa"/>
            <w:vAlign w:val="bottom"/>
          </w:tcPr>
          <w:p>
            <w:pPr>
              <w:spacing w:after="0"/>
              <w:rPr>
                <w:sz w:val="20"/>
                <w:szCs w:val="20"/>
                <w:color w:val="auto"/>
              </w:rPr>
            </w:pPr>
            <w:r>
              <w:rPr>
                <w:rFonts w:ascii="Arial" w:cs="Arial" w:eastAsia="Arial" w:hAnsi="Arial"/>
                <w:sz w:val="16"/>
                <w:szCs w:val="16"/>
                <w:color w:val="auto"/>
              </w:rPr>
              <w:t>Benefit payments expected in:</w:t>
            </w:r>
          </w:p>
        </w:tc>
        <w:tc>
          <w:tcPr>
            <w:tcW w:w="1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5060" w:type="dxa"/>
            <w:vAlign w:val="bottom"/>
          </w:tcPr>
          <w:p>
            <w:pPr>
              <w:ind w:left="240"/>
              <w:spacing w:after="0"/>
              <w:rPr>
                <w:sz w:val="20"/>
                <w:szCs w:val="20"/>
                <w:color w:val="auto"/>
              </w:rPr>
            </w:pPr>
            <w:r>
              <w:rPr>
                <w:rFonts w:ascii="Arial" w:cs="Arial" w:eastAsia="Arial" w:hAnsi="Arial"/>
                <w:sz w:val="16"/>
                <w:szCs w:val="16"/>
                <w:color w:val="auto"/>
              </w:rPr>
              <w:t>2015</w:t>
            </w:r>
          </w:p>
        </w:tc>
        <w:tc>
          <w:tcPr>
            <w:tcW w:w="1760" w:type="dxa"/>
            <w:vAlign w:val="bottom"/>
          </w:tcPr>
          <w:p>
            <w:pPr>
              <w:jc w:val="right"/>
              <w:ind w:right="702"/>
              <w:spacing w:after="0"/>
              <w:rPr>
                <w:sz w:val="20"/>
                <w:szCs w:val="20"/>
                <w:color w:val="auto"/>
              </w:rPr>
            </w:pPr>
            <w:r>
              <w:rPr>
                <w:rFonts w:ascii="Arial" w:cs="Arial" w:eastAsia="Arial" w:hAnsi="Arial"/>
                <w:sz w:val="16"/>
                <w:szCs w:val="16"/>
                <w:color w:val="auto"/>
              </w:rPr>
              <w:t>1,628</w:t>
            </w:r>
          </w:p>
        </w:tc>
        <w:tc>
          <w:tcPr>
            <w:tcW w:w="760" w:type="dxa"/>
            <w:vAlign w:val="bottom"/>
          </w:tcPr>
          <w:p>
            <w:pPr>
              <w:jc w:val="right"/>
              <w:spacing w:after="0"/>
              <w:rPr>
                <w:sz w:val="20"/>
                <w:szCs w:val="20"/>
                <w:color w:val="auto"/>
              </w:rPr>
            </w:pPr>
            <w:r>
              <w:rPr>
                <w:rFonts w:ascii="Arial" w:cs="Arial" w:eastAsia="Arial" w:hAnsi="Arial"/>
                <w:sz w:val="16"/>
                <w:szCs w:val="16"/>
                <w:color w:val="auto"/>
              </w:rPr>
              <w:t>1,194</w:t>
            </w:r>
          </w:p>
        </w:tc>
        <w:tc>
          <w:tcPr>
            <w:tcW w:w="580" w:type="dxa"/>
            <w:vAlign w:val="bottom"/>
          </w:tcPr>
          <w:p>
            <w:pPr>
              <w:spacing w:after="0"/>
              <w:rPr>
                <w:sz w:val="17"/>
                <w:szCs w:val="17"/>
                <w:color w:val="auto"/>
              </w:rPr>
            </w:pPr>
          </w:p>
        </w:tc>
        <w:tc>
          <w:tcPr>
            <w:tcW w:w="1400" w:type="dxa"/>
            <w:vAlign w:val="bottom"/>
          </w:tcPr>
          <w:p>
            <w:pPr>
              <w:jc w:val="right"/>
              <w:ind w:right="462"/>
              <w:spacing w:after="0"/>
              <w:rPr>
                <w:sz w:val="20"/>
                <w:szCs w:val="20"/>
                <w:color w:val="auto"/>
              </w:rPr>
            </w:pPr>
            <w:r>
              <w:rPr>
                <w:rFonts w:ascii="Arial" w:cs="Arial" w:eastAsia="Arial" w:hAnsi="Arial"/>
                <w:sz w:val="16"/>
                <w:szCs w:val="16"/>
                <w:color w:val="auto"/>
              </w:rPr>
              <w:t>467</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24</w:t>
            </w:r>
          </w:p>
        </w:tc>
      </w:tr>
      <w:tr>
        <w:trPr>
          <w:trHeight w:val="196"/>
        </w:trPr>
        <w:tc>
          <w:tcPr>
            <w:tcW w:w="5060" w:type="dxa"/>
            <w:vAlign w:val="bottom"/>
          </w:tcPr>
          <w:p>
            <w:pPr>
              <w:ind w:left="240"/>
              <w:spacing w:after="0"/>
              <w:rPr>
                <w:sz w:val="20"/>
                <w:szCs w:val="20"/>
                <w:color w:val="auto"/>
              </w:rPr>
            </w:pPr>
            <w:r>
              <w:rPr>
                <w:rFonts w:ascii="Arial" w:cs="Arial" w:eastAsia="Arial" w:hAnsi="Arial"/>
                <w:sz w:val="16"/>
                <w:szCs w:val="16"/>
                <w:color w:val="auto"/>
              </w:rPr>
              <w:t>2016</w:t>
            </w:r>
          </w:p>
        </w:tc>
        <w:tc>
          <w:tcPr>
            <w:tcW w:w="1760" w:type="dxa"/>
            <w:vAlign w:val="bottom"/>
          </w:tcPr>
          <w:p>
            <w:pPr>
              <w:jc w:val="right"/>
              <w:ind w:right="702"/>
              <w:spacing w:after="0"/>
              <w:rPr>
                <w:sz w:val="20"/>
                <w:szCs w:val="20"/>
                <w:color w:val="auto"/>
              </w:rPr>
            </w:pPr>
            <w:r>
              <w:rPr>
                <w:rFonts w:ascii="Arial" w:cs="Arial" w:eastAsia="Arial" w:hAnsi="Arial"/>
                <w:sz w:val="16"/>
                <w:szCs w:val="16"/>
                <w:color w:val="auto"/>
              </w:rPr>
              <w:t>1,554</w:t>
            </w:r>
          </w:p>
        </w:tc>
        <w:tc>
          <w:tcPr>
            <w:tcW w:w="760" w:type="dxa"/>
            <w:vAlign w:val="bottom"/>
          </w:tcPr>
          <w:p>
            <w:pPr>
              <w:jc w:val="right"/>
              <w:spacing w:after="0"/>
              <w:rPr>
                <w:sz w:val="20"/>
                <w:szCs w:val="20"/>
                <w:color w:val="auto"/>
              </w:rPr>
            </w:pPr>
            <w:r>
              <w:rPr>
                <w:rFonts w:ascii="Arial" w:cs="Arial" w:eastAsia="Arial" w:hAnsi="Arial"/>
                <w:sz w:val="16"/>
                <w:szCs w:val="16"/>
                <w:color w:val="auto"/>
              </w:rPr>
              <w:t>1,213</w:t>
            </w:r>
          </w:p>
        </w:tc>
        <w:tc>
          <w:tcPr>
            <w:tcW w:w="580" w:type="dxa"/>
            <w:vAlign w:val="bottom"/>
          </w:tcPr>
          <w:p>
            <w:pPr>
              <w:spacing w:after="0"/>
              <w:rPr>
                <w:sz w:val="17"/>
                <w:szCs w:val="17"/>
                <w:color w:val="auto"/>
              </w:rPr>
            </w:pPr>
          </w:p>
        </w:tc>
        <w:tc>
          <w:tcPr>
            <w:tcW w:w="1400" w:type="dxa"/>
            <w:vAlign w:val="bottom"/>
          </w:tcPr>
          <w:p>
            <w:pPr>
              <w:jc w:val="right"/>
              <w:ind w:right="462"/>
              <w:spacing w:after="0"/>
              <w:rPr>
                <w:sz w:val="20"/>
                <w:szCs w:val="20"/>
                <w:color w:val="auto"/>
              </w:rPr>
            </w:pPr>
            <w:r>
              <w:rPr>
                <w:rFonts w:ascii="Arial" w:cs="Arial" w:eastAsia="Arial" w:hAnsi="Arial"/>
                <w:sz w:val="16"/>
                <w:szCs w:val="16"/>
                <w:color w:val="auto"/>
              </w:rPr>
              <w:t>479</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25</w:t>
            </w:r>
          </w:p>
        </w:tc>
      </w:tr>
      <w:tr>
        <w:trPr>
          <w:trHeight w:val="196"/>
        </w:trPr>
        <w:tc>
          <w:tcPr>
            <w:tcW w:w="5060" w:type="dxa"/>
            <w:vAlign w:val="bottom"/>
          </w:tcPr>
          <w:p>
            <w:pPr>
              <w:ind w:left="240"/>
              <w:spacing w:after="0"/>
              <w:rPr>
                <w:sz w:val="20"/>
                <w:szCs w:val="20"/>
                <w:color w:val="auto"/>
              </w:rPr>
            </w:pPr>
            <w:r>
              <w:rPr>
                <w:rFonts w:ascii="Arial" w:cs="Arial" w:eastAsia="Arial" w:hAnsi="Arial"/>
                <w:sz w:val="16"/>
                <w:szCs w:val="16"/>
                <w:color w:val="auto"/>
              </w:rPr>
              <w:t>2017</w:t>
            </w:r>
          </w:p>
        </w:tc>
        <w:tc>
          <w:tcPr>
            <w:tcW w:w="1760" w:type="dxa"/>
            <w:vAlign w:val="bottom"/>
          </w:tcPr>
          <w:p>
            <w:pPr>
              <w:jc w:val="right"/>
              <w:ind w:right="702"/>
              <w:spacing w:after="0"/>
              <w:rPr>
                <w:sz w:val="20"/>
                <w:szCs w:val="20"/>
                <w:color w:val="auto"/>
              </w:rPr>
            </w:pPr>
            <w:r>
              <w:rPr>
                <w:rFonts w:ascii="Arial" w:cs="Arial" w:eastAsia="Arial" w:hAnsi="Arial"/>
                <w:sz w:val="16"/>
                <w:szCs w:val="16"/>
                <w:color w:val="auto"/>
              </w:rPr>
              <w:t>1,529</w:t>
            </w:r>
          </w:p>
        </w:tc>
        <w:tc>
          <w:tcPr>
            <w:tcW w:w="760" w:type="dxa"/>
            <w:vAlign w:val="bottom"/>
          </w:tcPr>
          <w:p>
            <w:pPr>
              <w:jc w:val="right"/>
              <w:spacing w:after="0"/>
              <w:rPr>
                <w:sz w:val="20"/>
                <w:szCs w:val="20"/>
                <w:color w:val="auto"/>
              </w:rPr>
            </w:pPr>
            <w:r>
              <w:rPr>
                <w:rFonts w:ascii="Arial" w:cs="Arial" w:eastAsia="Arial" w:hAnsi="Arial"/>
                <w:sz w:val="16"/>
                <w:szCs w:val="16"/>
                <w:color w:val="auto"/>
              </w:rPr>
              <w:t>1,278</w:t>
            </w:r>
          </w:p>
        </w:tc>
        <w:tc>
          <w:tcPr>
            <w:tcW w:w="580" w:type="dxa"/>
            <w:vAlign w:val="bottom"/>
          </w:tcPr>
          <w:p>
            <w:pPr>
              <w:spacing w:after="0"/>
              <w:rPr>
                <w:sz w:val="17"/>
                <w:szCs w:val="17"/>
                <w:color w:val="auto"/>
              </w:rPr>
            </w:pPr>
          </w:p>
        </w:tc>
        <w:tc>
          <w:tcPr>
            <w:tcW w:w="1400" w:type="dxa"/>
            <w:vAlign w:val="bottom"/>
          </w:tcPr>
          <w:p>
            <w:pPr>
              <w:jc w:val="right"/>
              <w:ind w:right="462"/>
              <w:spacing w:after="0"/>
              <w:rPr>
                <w:sz w:val="20"/>
                <w:szCs w:val="20"/>
                <w:color w:val="auto"/>
              </w:rPr>
            </w:pPr>
            <w:r>
              <w:rPr>
                <w:rFonts w:ascii="Arial" w:cs="Arial" w:eastAsia="Arial" w:hAnsi="Arial"/>
                <w:sz w:val="16"/>
                <w:szCs w:val="16"/>
                <w:color w:val="auto"/>
              </w:rPr>
              <w:t>490</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26</w:t>
            </w:r>
          </w:p>
        </w:tc>
      </w:tr>
      <w:tr>
        <w:trPr>
          <w:trHeight w:val="196"/>
        </w:trPr>
        <w:tc>
          <w:tcPr>
            <w:tcW w:w="5060" w:type="dxa"/>
            <w:vAlign w:val="bottom"/>
          </w:tcPr>
          <w:p>
            <w:pPr>
              <w:ind w:left="240"/>
              <w:spacing w:after="0"/>
              <w:rPr>
                <w:sz w:val="20"/>
                <w:szCs w:val="20"/>
                <w:color w:val="auto"/>
              </w:rPr>
            </w:pPr>
            <w:r>
              <w:rPr>
                <w:rFonts w:ascii="Arial" w:cs="Arial" w:eastAsia="Arial" w:hAnsi="Arial"/>
                <w:sz w:val="16"/>
                <w:szCs w:val="16"/>
                <w:color w:val="auto"/>
              </w:rPr>
              <w:t>2018</w:t>
            </w:r>
          </w:p>
        </w:tc>
        <w:tc>
          <w:tcPr>
            <w:tcW w:w="1760" w:type="dxa"/>
            <w:vAlign w:val="bottom"/>
          </w:tcPr>
          <w:p>
            <w:pPr>
              <w:jc w:val="right"/>
              <w:ind w:right="702"/>
              <w:spacing w:after="0"/>
              <w:rPr>
                <w:sz w:val="20"/>
                <w:szCs w:val="20"/>
                <w:color w:val="auto"/>
              </w:rPr>
            </w:pPr>
            <w:r>
              <w:rPr>
                <w:rFonts w:ascii="Arial" w:cs="Arial" w:eastAsia="Arial" w:hAnsi="Arial"/>
                <w:sz w:val="16"/>
                <w:szCs w:val="16"/>
                <w:color w:val="auto"/>
              </w:rPr>
              <w:t>1,445</w:t>
            </w:r>
          </w:p>
        </w:tc>
        <w:tc>
          <w:tcPr>
            <w:tcW w:w="760" w:type="dxa"/>
            <w:vAlign w:val="bottom"/>
          </w:tcPr>
          <w:p>
            <w:pPr>
              <w:jc w:val="right"/>
              <w:spacing w:after="0"/>
              <w:rPr>
                <w:sz w:val="20"/>
                <w:szCs w:val="20"/>
                <w:color w:val="auto"/>
              </w:rPr>
            </w:pPr>
            <w:r>
              <w:rPr>
                <w:rFonts w:ascii="Arial" w:cs="Arial" w:eastAsia="Arial" w:hAnsi="Arial"/>
                <w:sz w:val="16"/>
                <w:szCs w:val="16"/>
                <w:color w:val="auto"/>
              </w:rPr>
              <w:t>1,298</w:t>
            </w:r>
          </w:p>
        </w:tc>
        <w:tc>
          <w:tcPr>
            <w:tcW w:w="580" w:type="dxa"/>
            <w:vAlign w:val="bottom"/>
          </w:tcPr>
          <w:p>
            <w:pPr>
              <w:spacing w:after="0"/>
              <w:rPr>
                <w:sz w:val="17"/>
                <w:szCs w:val="17"/>
                <w:color w:val="auto"/>
              </w:rPr>
            </w:pPr>
          </w:p>
        </w:tc>
        <w:tc>
          <w:tcPr>
            <w:tcW w:w="1400" w:type="dxa"/>
            <w:vAlign w:val="bottom"/>
          </w:tcPr>
          <w:p>
            <w:pPr>
              <w:jc w:val="right"/>
              <w:ind w:right="462"/>
              <w:spacing w:after="0"/>
              <w:rPr>
                <w:sz w:val="20"/>
                <w:szCs w:val="20"/>
                <w:color w:val="auto"/>
              </w:rPr>
            </w:pPr>
            <w:r>
              <w:rPr>
                <w:rFonts w:ascii="Arial" w:cs="Arial" w:eastAsia="Arial" w:hAnsi="Arial"/>
                <w:sz w:val="16"/>
                <w:szCs w:val="16"/>
                <w:color w:val="auto"/>
              </w:rPr>
              <w:t>499</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28</w:t>
            </w:r>
          </w:p>
        </w:tc>
      </w:tr>
      <w:tr>
        <w:trPr>
          <w:trHeight w:val="196"/>
        </w:trPr>
        <w:tc>
          <w:tcPr>
            <w:tcW w:w="5060" w:type="dxa"/>
            <w:vAlign w:val="bottom"/>
          </w:tcPr>
          <w:p>
            <w:pPr>
              <w:ind w:left="240"/>
              <w:spacing w:after="0"/>
              <w:rPr>
                <w:sz w:val="20"/>
                <w:szCs w:val="20"/>
                <w:color w:val="auto"/>
              </w:rPr>
            </w:pPr>
            <w:r>
              <w:rPr>
                <w:rFonts w:ascii="Arial" w:cs="Arial" w:eastAsia="Arial" w:hAnsi="Arial"/>
                <w:sz w:val="16"/>
                <w:szCs w:val="16"/>
                <w:color w:val="auto"/>
              </w:rPr>
              <w:t>2019</w:t>
            </w:r>
          </w:p>
        </w:tc>
        <w:tc>
          <w:tcPr>
            <w:tcW w:w="1760" w:type="dxa"/>
            <w:vAlign w:val="bottom"/>
          </w:tcPr>
          <w:p>
            <w:pPr>
              <w:jc w:val="right"/>
              <w:ind w:right="702"/>
              <w:spacing w:after="0"/>
              <w:rPr>
                <w:sz w:val="20"/>
                <w:szCs w:val="20"/>
                <w:color w:val="auto"/>
              </w:rPr>
            </w:pPr>
            <w:r>
              <w:rPr>
                <w:rFonts w:ascii="Arial" w:cs="Arial" w:eastAsia="Arial" w:hAnsi="Arial"/>
                <w:sz w:val="16"/>
                <w:szCs w:val="16"/>
                <w:color w:val="auto"/>
              </w:rPr>
              <w:t>1,410</w:t>
            </w:r>
          </w:p>
        </w:tc>
        <w:tc>
          <w:tcPr>
            <w:tcW w:w="760" w:type="dxa"/>
            <w:vAlign w:val="bottom"/>
          </w:tcPr>
          <w:p>
            <w:pPr>
              <w:jc w:val="right"/>
              <w:spacing w:after="0"/>
              <w:rPr>
                <w:sz w:val="20"/>
                <w:szCs w:val="20"/>
                <w:color w:val="auto"/>
              </w:rPr>
            </w:pPr>
            <w:r>
              <w:rPr>
                <w:rFonts w:ascii="Arial" w:cs="Arial" w:eastAsia="Arial" w:hAnsi="Arial"/>
                <w:sz w:val="16"/>
                <w:szCs w:val="16"/>
                <w:color w:val="auto"/>
              </w:rPr>
              <w:t>1,339</w:t>
            </w:r>
          </w:p>
        </w:tc>
        <w:tc>
          <w:tcPr>
            <w:tcW w:w="580" w:type="dxa"/>
            <w:vAlign w:val="bottom"/>
          </w:tcPr>
          <w:p>
            <w:pPr>
              <w:spacing w:after="0"/>
              <w:rPr>
                <w:sz w:val="17"/>
                <w:szCs w:val="17"/>
                <w:color w:val="auto"/>
              </w:rPr>
            </w:pPr>
          </w:p>
        </w:tc>
        <w:tc>
          <w:tcPr>
            <w:tcW w:w="1400" w:type="dxa"/>
            <w:vAlign w:val="bottom"/>
          </w:tcPr>
          <w:p>
            <w:pPr>
              <w:jc w:val="right"/>
              <w:ind w:right="462"/>
              <w:spacing w:after="0"/>
              <w:rPr>
                <w:sz w:val="20"/>
                <w:szCs w:val="20"/>
                <w:color w:val="auto"/>
              </w:rPr>
            </w:pPr>
            <w:r>
              <w:rPr>
                <w:rFonts w:ascii="Arial" w:cs="Arial" w:eastAsia="Arial" w:hAnsi="Arial"/>
                <w:sz w:val="16"/>
                <w:szCs w:val="16"/>
                <w:color w:val="auto"/>
              </w:rPr>
              <w:t>507</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29</w:t>
            </w:r>
          </w:p>
        </w:tc>
      </w:tr>
      <w:tr>
        <w:trPr>
          <w:trHeight w:val="208"/>
        </w:trPr>
        <w:tc>
          <w:tcPr>
            <w:tcW w:w="5060" w:type="dxa"/>
            <w:vAlign w:val="bottom"/>
          </w:tcPr>
          <w:p>
            <w:pPr>
              <w:ind w:left="240"/>
              <w:spacing w:after="0"/>
              <w:rPr>
                <w:sz w:val="20"/>
                <w:szCs w:val="20"/>
                <w:color w:val="auto"/>
              </w:rPr>
            </w:pPr>
            <w:r>
              <w:rPr>
                <w:rFonts w:ascii="Arial" w:cs="Arial" w:eastAsia="Arial" w:hAnsi="Arial"/>
                <w:sz w:val="16"/>
                <w:szCs w:val="16"/>
                <w:color w:val="auto"/>
              </w:rPr>
              <w:t>2020 - 2024</w:t>
            </w:r>
          </w:p>
        </w:tc>
        <w:tc>
          <w:tcPr>
            <w:tcW w:w="1760" w:type="dxa"/>
            <w:vAlign w:val="bottom"/>
          </w:tcPr>
          <w:p>
            <w:pPr>
              <w:jc w:val="right"/>
              <w:ind w:right="702"/>
              <w:spacing w:after="0"/>
              <w:rPr>
                <w:sz w:val="20"/>
                <w:szCs w:val="20"/>
                <w:color w:val="auto"/>
              </w:rPr>
            </w:pPr>
            <w:r>
              <w:rPr>
                <w:rFonts w:ascii="Arial" w:cs="Arial" w:eastAsia="Arial" w:hAnsi="Arial"/>
                <w:sz w:val="16"/>
                <w:szCs w:val="16"/>
                <w:color w:val="auto"/>
              </w:rPr>
              <w:t>6,714</w:t>
            </w:r>
          </w:p>
        </w:tc>
        <w:tc>
          <w:tcPr>
            <w:tcW w:w="760" w:type="dxa"/>
            <w:vAlign w:val="bottom"/>
          </w:tcPr>
          <w:p>
            <w:pPr>
              <w:jc w:val="right"/>
              <w:spacing w:after="0"/>
              <w:rPr>
                <w:sz w:val="20"/>
                <w:szCs w:val="20"/>
                <w:color w:val="auto"/>
              </w:rPr>
            </w:pPr>
            <w:r>
              <w:rPr>
                <w:rFonts w:ascii="Arial" w:cs="Arial" w:eastAsia="Arial" w:hAnsi="Arial"/>
                <w:sz w:val="16"/>
                <w:szCs w:val="16"/>
                <w:color w:val="auto"/>
              </w:rPr>
              <w:t>6,988</w:t>
            </w:r>
          </w:p>
        </w:tc>
        <w:tc>
          <w:tcPr>
            <w:tcW w:w="580" w:type="dxa"/>
            <w:vAlign w:val="bottom"/>
          </w:tcPr>
          <w:p>
            <w:pPr>
              <w:spacing w:after="0"/>
              <w:rPr>
                <w:sz w:val="18"/>
                <w:szCs w:val="18"/>
                <w:color w:val="auto"/>
              </w:rPr>
            </w:pPr>
          </w:p>
        </w:tc>
        <w:tc>
          <w:tcPr>
            <w:tcW w:w="1400" w:type="dxa"/>
            <w:vAlign w:val="bottom"/>
          </w:tcPr>
          <w:p>
            <w:pPr>
              <w:jc w:val="right"/>
              <w:ind w:right="462"/>
              <w:spacing w:after="0"/>
              <w:rPr>
                <w:sz w:val="20"/>
                <w:szCs w:val="20"/>
                <w:color w:val="auto"/>
              </w:rPr>
            </w:pPr>
            <w:r>
              <w:rPr>
                <w:rFonts w:ascii="Arial" w:cs="Arial" w:eastAsia="Arial" w:hAnsi="Arial"/>
                <w:sz w:val="16"/>
                <w:szCs w:val="16"/>
                <w:color w:val="auto"/>
              </w:rPr>
              <w:t>2,613</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172</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Disclosures about Segments and Related Information</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The Upstream, Downstream and Chemical functions best define the operating segments of the business that are reported separately. The factors used to identif reportable segments are based on the nature of the operations that are undertaken by each segment. The Upstream segment is organized and operates to explore produce crude oil and natural gas. The Downstream segment is organized and operates to manufacture and sell petroleum products. The Chemical segment is organi operates to manufacture and sell petrochemicals. These segments are broadly understood across the petroleum and petrochemical industries.</w:t>
      </w:r>
    </w:p>
    <w:p>
      <w:pPr>
        <w:spacing w:after="0" w:line="27" w:lineRule="exact"/>
        <w:rPr>
          <w:sz w:val="20"/>
          <w:szCs w:val="20"/>
          <w:color w:val="auto"/>
        </w:rPr>
      </w:pPr>
    </w:p>
    <w:p>
      <w:pPr>
        <w:jc w:val="both"/>
        <w:ind w:firstLine="200"/>
        <w:spacing w:after="0" w:line="297" w:lineRule="auto"/>
        <w:rPr>
          <w:sz w:val="20"/>
          <w:szCs w:val="20"/>
          <w:color w:val="auto"/>
        </w:rPr>
      </w:pPr>
      <w:r>
        <w:rPr>
          <w:rFonts w:ascii="Arial" w:cs="Arial" w:eastAsia="Arial" w:hAnsi="Arial"/>
          <w:sz w:val="15"/>
          <w:szCs w:val="15"/>
          <w:color w:val="auto"/>
        </w:rPr>
        <w:t>These functions have been defined as the operating segments of the Corporation because they are the segments (1) that engage in business activities from which r are earned and expenses are incurred; (2) whose operating results are regularly reviewed by the Corporation’s chief operating decision maker to make decision resources to be allocated to the segment and to assess its performance; and (3) for which discrete financial information is available.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Earnings after income tax include transfers at estimated market prices.</w:t>
      </w:r>
    </w:p>
    <w:p>
      <w:pPr>
        <w:spacing w:after="0" w:line="110"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2" w:lineRule="exact"/>
        <w:rPr>
          <w:sz w:val="20"/>
          <w:szCs w:val="20"/>
          <w:color w:val="auto"/>
        </w:rPr>
      </w:pPr>
    </w:p>
    <w:p>
      <w:pPr>
        <w:jc w:val="both"/>
        <w:ind w:firstLine="200"/>
        <w:spacing w:after="0" w:line="271" w:lineRule="auto"/>
        <w:rPr>
          <w:sz w:val="20"/>
          <w:szCs w:val="20"/>
          <w:color w:val="auto"/>
        </w:rPr>
      </w:pPr>
      <w:r>
        <w:rPr>
          <w:rFonts w:ascii="Arial" w:cs="Arial" w:eastAsia="Arial" w:hAnsi="Arial"/>
          <w:sz w:val="16"/>
          <w:szCs w:val="16"/>
          <w:color w:val="auto"/>
        </w:rPr>
        <w:t>In corporate and financing activities, interest revenue relates to interest earned on cash deposits and marketable securities. Interest expense includes non-debt interest expense of $129 million and $202 million in 2014 and 2012, respectively. For 2013, non-debt-related interest expense was a net credit of $123 million, pr reflecting the effect of credits from the favorable resolution of prior year tax positions.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3"/>
              </w:rPr>
              <w:t>Corporate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2200" w:type="dxa"/>
            <w:vAlign w:val="bottom"/>
            <w:gridSpan w:val="3"/>
          </w:tcPr>
          <w:p>
            <w:pPr>
              <w:ind w:left="780"/>
              <w:spacing w:after="0"/>
              <w:rPr>
                <w:sz w:val="20"/>
                <w:szCs w:val="20"/>
                <w:color w:val="auto"/>
              </w:rPr>
            </w:pPr>
            <w:r>
              <w:rPr>
                <w:rFonts w:ascii="Arial" w:cs="Arial" w:eastAsia="Arial" w:hAnsi="Arial"/>
                <w:sz w:val="13"/>
                <w:szCs w:val="13"/>
                <w:b w:val="1"/>
                <w:bCs w:val="1"/>
                <w:color w:val="auto"/>
              </w:rPr>
              <w:t>Upstream</w:t>
            </w:r>
          </w:p>
        </w:tc>
        <w:tc>
          <w:tcPr>
            <w:tcW w:w="2200" w:type="dxa"/>
            <w:vAlign w:val="bottom"/>
            <w:gridSpan w:val="3"/>
          </w:tcPr>
          <w:p>
            <w:pPr>
              <w:ind w:left="700"/>
              <w:spacing w:after="0"/>
              <w:rPr>
                <w:sz w:val="20"/>
                <w:szCs w:val="20"/>
                <w:color w:val="auto"/>
              </w:rPr>
            </w:pPr>
            <w:r>
              <w:rPr>
                <w:rFonts w:ascii="Arial" w:cs="Arial" w:eastAsia="Arial" w:hAnsi="Arial"/>
                <w:sz w:val="13"/>
                <w:szCs w:val="13"/>
                <w:b w:val="1"/>
                <w:bCs w:val="1"/>
                <w:color w:val="auto"/>
              </w:rPr>
              <w:t>Downstream</w:t>
            </w:r>
          </w:p>
        </w:tc>
        <w:tc>
          <w:tcPr>
            <w:tcW w:w="2260" w:type="dxa"/>
            <w:vAlign w:val="bottom"/>
            <w:gridSpan w:val="3"/>
          </w:tcPr>
          <w:p>
            <w:pPr>
              <w:ind w:left="760"/>
              <w:spacing w:after="0"/>
              <w:rPr>
                <w:sz w:val="20"/>
                <w:szCs w:val="20"/>
                <w:color w:val="auto"/>
              </w:rPr>
            </w:pPr>
            <w:r>
              <w:rPr>
                <w:rFonts w:ascii="Arial" w:cs="Arial" w:eastAsia="Arial" w:hAnsi="Arial"/>
                <w:sz w:val="13"/>
                <w:szCs w:val="13"/>
                <w:b w:val="1"/>
                <w:bCs w:val="1"/>
                <w:color w:val="auto"/>
              </w:rPr>
              <w:t>Chemical</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4"/>
              </w:rPr>
              <w:t>and</w:t>
            </w:r>
          </w:p>
        </w:tc>
        <w:tc>
          <w:tcPr>
            <w:tcW w:w="320" w:type="dxa"/>
            <w:vAlign w:val="bottom"/>
          </w:tcPr>
          <w:p>
            <w:pPr>
              <w:ind w:left="80"/>
              <w:spacing w:after="0"/>
              <w:rPr>
                <w:sz w:val="20"/>
                <w:szCs w:val="20"/>
                <w:color w:val="auto"/>
              </w:rPr>
            </w:pPr>
            <w:r>
              <w:rPr>
                <w:rFonts w:ascii="Arial" w:cs="Arial" w:eastAsia="Arial" w:hAnsi="Arial"/>
                <w:sz w:val="13"/>
                <w:szCs w:val="13"/>
                <w:b w:val="1"/>
                <w:bCs w:val="1"/>
                <w:color w:val="auto"/>
                <w:w w:val="98"/>
              </w:rPr>
              <w:t>Cor</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Financing</w:t>
            </w: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9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7"/>
              <w:spacing w:after="0"/>
              <w:rPr>
                <w:sz w:val="20"/>
                <w:szCs w:val="20"/>
                <w:color w:val="auto"/>
              </w:rPr>
            </w:pPr>
            <w:r>
              <w:rPr>
                <w:rFonts w:ascii="Arial" w:cs="Arial" w:eastAsia="Arial" w:hAnsi="Arial"/>
                <w:sz w:val="13"/>
                <w:szCs w:val="13"/>
                <w:b w:val="1"/>
                <w:bCs w:val="1"/>
                <w:color w:val="auto"/>
              </w:rPr>
              <w:t>U.S.</w:t>
            </w: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Non-U.S.</w:t>
            </w:r>
          </w:p>
        </w:tc>
        <w:tc>
          <w:tcPr>
            <w:tcW w:w="1180" w:type="dxa"/>
            <w:vAlign w:val="bottom"/>
            <w:tcBorders>
              <w:bottom w:val="single" w:sz="8" w:color="auto"/>
            </w:tcBorders>
          </w:tcPr>
          <w:p>
            <w:pPr>
              <w:jc w:val="right"/>
              <w:ind w:right="467"/>
              <w:spacing w:after="0"/>
              <w:rPr>
                <w:sz w:val="20"/>
                <w:szCs w:val="20"/>
                <w:color w:val="auto"/>
              </w:rPr>
            </w:pPr>
            <w:r>
              <w:rPr>
                <w:rFonts w:ascii="Arial" w:cs="Arial" w:eastAsia="Arial" w:hAnsi="Arial"/>
                <w:sz w:val="13"/>
                <w:szCs w:val="13"/>
                <w:b w:val="1"/>
                <w:bCs w:val="1"/>
                <w:color w:val="auto"/>
              </w:rPr>
              <w:t>U.S.</w:t>
            </w:r>
          </w:p>
        </w:tc>
        <w:tc>
          <w:tcPr>
            <w:tcW w:w="102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Non-U.S.</w:t>
            </w:r>
          </w:p>
        </w:tc>
        <w:tc>
          <w:tcPr>
            <w:tcW w:w="1120" w:type="dxa"/>
            <w:vAlign w:val="bottom"/>
            <w:tcBorders>
              <w:bottom w:val="single" w:sz="8" w:color="auto"/>
            </w:tcBorders>
          </w:tcPr>
          <w:p>
            <w:pPr>
              <w:jc w:val="right"/>
              <w:ind w:right="427"/>
              <w:spacing w:after="0"/>
              <w:rPr>
                <w:sz w:val="20"/>
                <w:szCs w:val="20"/>
                <w:color w:val="auto"/>
              </w:rPr>
            </w:pPr>
            <w:r>
              <w:rPr>
                <w:rFonts w:ascii="Arial" w:cs="Arial" w:eastAsia="Arial" w:hAnsi="Arial"/>
                <w:sz w:val="13"/>
                <w:szCs w:val="13"/>
                <w:b w:val="1"/>
                <w:bCs w:val="1"/>
                <w:color w:val="auto"/>
              </w:rPr>
              <w:t>U.S.</w:t>
            </w: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Non-U.S.</w:t>
            </w:r>
          </w:p>
        </w:tc>
        <w:tc>
          <w:tcPr>
            <w:tcW w:w="98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40" w:type="dxa"/>
            <w:vAlign w:val="bottom"/>
            <w:gridSpan w:val="3"/>
          </w:tcPr>
          <w:p>
            <w:pPr>
              <w:jc w:val="right"/>
              <w:ind w:right="587"/>
              <w:spacing w:after="0"/>
              <w:rPr>
                <w:sz w:val="20"/>
                <w:szCs w:val="20"/>
                <w:color w:val="auto"/>
              </w:rPr>
            </w:pPr>
            <w:r>
              <w:rPr>
                <w:rFonts w:ascii="Arial" w:cs="Arial" w:eastAsia="Arial" w:hAnsi="Arial"/>
                <w:sz w:val="13"/>
                <w:szCs w:val="13"/>
                <w:i w:val="1"/>
                <w:iCs w:val="1"/>
                <w:color w:val="auto"/>
              </w:rPr>
              <w:t>(millions of dollars)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980" w:type="dxa"/>
            <w:vAlign w:val="bottom"/>
          </w:tcPr>
          <w:p>
            <w:pPr>
              <w:spacing w:after="0"/>
              <w:rPr>
                <w:sz w:val="20"/>
                <w:szCs w:val="20"/>
                <w:color w:val="auto"/>
              </w:rPr>
            </w:pPr>
            <w:r>
              <w:rPr>
                <w:rFonts w:ascii="Arial" w:cs="Arial" w:eastAsia="Arial" w:hAnsi="Arial"/>
                <w:sz w:val="15"/>
                <w:szCs w:val="15"/>
                <w:color w:val="auto"/>
              </w:rPr>
              <w:t>As of December 31, 2014</w:t>
            </w: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color w:val="auto"/>
              </w:rPr>
              <w:t>Earnings after income tax</w:t>
            </w:r>
          </w:p>
        </w:tc>
        <w:tc>
          <w:tcPr>
            <w:tcW w:w="1160" w:type="dxa"/>
            <w:vAlign w:val="bottom"/>
          </w:tcPr>
          <w:p>
            <w:pPr>
              <w:jc w:val="right"/>
              <w:ind w:right="87"/>
              <w:spacing w:after="0"/>
              <w:rPr>
                <w:sz w:val="20"/>
                <w:szCs w:val="20"/>
                <w:color w:val="auto"/>
              </w:rPr>
            </w:pPr>
            <w:r>
              <w:rPr>
                <w:rFonts w:ascii="Arial" w:cs="Arial" w:eastAsia="Arial" w:hAnsi="Arial"/>
                <w:sz w:val="15"/>
                <w:szCs w:val="15"/>
                <w:color w:val="auto"/>
              </w:rPr>
              <w:t>5,197</w:t>
            </w:r>
          </w:p>
        </w:tc>
        <w:tc>
          <w:tcPr>
            <w:tcW w:w="920" w:type="dxa"/>
            <w:vAlign w:val="bottom"/>
          </w:tcPr>
          <w:p>
            <w:pPr>
              <w:jc w:val="right"/>
              <w:spacing w:after="0"/>
              <w:rPr>
                <w:sz w:val="20"/>
                <w:szCs w:val="20"/>
                <w:color w:val="auto"/>
              </w:rPr>
            </w:pPr>
            <w:r>
              <w:rPr>
                <w:rFonts w:ascii="Arial" w:cs="Arial" w:eastAsia="Arial" w:hAnsi="Arial"/>
                <w:sz w:val="15"/>
                <w:szCs w:val="15"/>
                <w:color w:val="auto"/>
              </w:rPr>
              <w:t>22,351</w:t>
            </w:r>
          </w:p>
        </w:tc>
        <w:tc>
          <w:tcPr>
            <w:tcW w:w="120" w:type="dxa"/>
            <w:vAlign w:val="bottom"/>
          </w:tcPr>
          <w:p>
            <w:pPr>
              <w:spacing w:after="0"/>
              <w:rPr>
                <w:sz w:val="17"/>
                <w:szCs w:val="17"/>
                <w:color w:val="auto"/>
              </w:rPr>
            </w:pPr>
          </w:p>
        </w:tc>
        <w:tc>
          <w:tcPr>
            <w:tcW w:w="1180" w:type="dxa"/>
            <w:vAlign w:val="bottom"/>
          </w:tcPr>
          <w:p>
            <w:pPr>
              <w:jc w:val="right"/>
              <w:ind w:right="107"/>
              <w:spacing w:after="0"/>
              <w:rPr>
                <w:sz w:val="20"/>
                <w:szCs w:val="20"/>
                <w:color w:val="auto"/>
              </w:rPr>
            </w:pPr>
            <w:r>
              <w:rPr>
                <w:rFonts w:ascii="Arial" w:cs="Arial" w:eastAsia="Arial" w:hAnsi="Arial"/>
                <w:sz w:val="15"/>
                <w:szCs w:val="15"/>
                <w:color w:val="auto"/>
              </w:rPr>
              <w:t>1,618</w:t>
            </w:r>
          </w:p>
        </w:tc>
        <w:tc>
          <w:tcPr>
            <w:tcW w:w="920" w:type="dxa"/>
            <w:vAlign w:val="bottom"/>
          </w:tcPr>
          <w:p>
            <w:pPr>
              <w:jc w:val="right"/>
              <w:spacing w:after="0"/>
              <w:rPr>
                <w:sz w:val="20"/>
                <w:szCs w:val="20"/>
                <w:color w:val="auto"/>
              </w:rPr>
            </w:pPr>
            <w:r>
              <w:rPr>
                <w:rFonts w:ascii="Arial" w:cs="Arial" w:eastAsia="Arial" w:hAnsi="Arial"/>
                <w:sz w:val="15"/>
                <w:szCs w:val="15"/>
                <w:color w:val="auto"/>
              </w:rPr>
              <w:t>1,427</w:t>
            </w:r>
          </w:p>
        </w:tc>
        <w:tc>
          <w:tcPr>
            <w:tcW w:w="10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5"/>
                <w:szCs w:val="15"/>
                <w:color w:val="auto"/>
              </w:rPr>
              <w:t>2,804</w:t>
            </w:r>
          </w:p>
        </w:tc>
        <w:tc>
          <w:tcPr>
            <w:tcW w:w="920" w:type="dxa"/>
            <w:vAlign w:val="bottom"/>
          </w:tcPr>
          <w:p>
            <w:pPr>
              <w:jc w:val="right"/>
              <w:spacing w:after="0"/>
              <w:rPr>
                <w:sz w:val="20"/>
                <w:szCs w:val="20"/>
                <w:color w:val="auto"/>
              </w:rPr>
            </w:pPr>
            <w:r>
              <w:rPr>
                <w:rFonts w:ascii="Arial" w:cs="Arial" w:eastAsia="Arial" w:hAnsi="Arial"/>
                <w:sz w:val="15"/>
                <w:szCs w:val="15"/>
                <w:color w:val="auto"/>
              </w:rPr>
              <w:t>1,511</w:t>
            </w:r>
          </w:p>
        </w:tc>
        <w:tc>
          <w:tcPr>
            <w:tcW w:w="220" w:type="dxa"/>
            <w:vAlign w:val="bottom"/>
          </w:tcPr>
          <w:p>
            <w:pPr>
              <w:spacing w:after="0"/>
              <w:rPr>
                <w:sz w:val="17"/>
                <w:szCs w:val="17"/>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(2,388)</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color w:val="auto"/>
                <w:w w:val="98"/>
              </w:rPr>
              <w:t>Earnings of equity companies included above</w:t>
            </w:r>
          </w:p>
        </w:tc>
        <w:tc>
          <w:tcPr>
            <w:tcW w:w="1160" w:type="dxa"/>
            <w:vAlign w:val="bottom"/>
          </w:tcPr>
          <w:p>
            <w:pPr>
              <w:jc w:val="right"/>
              <w:ind w:right="87"/>
              <w:spacing w:after="0"/>
              <w:rPr>
                <w:sz w:val="20"/>
                <w:szCs w:val="20"/>
                <w:color w:val="auto"/>
              </w:rPr>
            </w:pPr>
            <w:r>
              <w:rPr>
                <w:rFonts w:ascii="Arial" w:cs="Arial" w:eastAsia="Arial" w:hAnsi="Arial"/>
                <w:sz w:val="15"/>
                <w:szCs w:val="15"/>
                <w:color w:val="auto"/>
              </w:rPr>
              <w:t>1,235</w:t>
            </w:r>
          </w:p>
        </w:tc>
        <w:tc>
          <w:tcPr>
            <w:tcW w:w="920" w:type="dxa"/>
            <w:vAlign w:val="bottom"/>
          </w:tcPr>
          <w:p>
            <w:pPr>
              <w:jc w:val="right"/>
              <w:spacing w:after="0"/>
              <w:rPr>
                <w:sz w:val="20"/>
                <w:szCs w:val="20"/>
                <w:color w:val="auto"/>
              </w:rPr>
            </w:pPr>
            <w:r>
              <w:rPr>
                <w:rFonts w:ascii="Arial" w:cs="Arial" w:eastAsia="Arial" w:hAnsi="Arial"/>
                <w:sz w:val="15"/>
                <w:szCs w:val="15"/>
                <w:color w:val="auto"/>
              </w:rPr>
              <w:t>10,859</w:t>
            </w:r>
          </w:p>
        </w:tc>
        <w:tc>
          <w:tcPr>
            <w:tcW w:w="120" w:type="dxa"/>
            <w:vAlign w:val="bottom"/>
          </w:tcPr>
          <w:p>
            <w:pPr>
              <w:spacing w:after="0"/>
              <w:rPr>
                <w:sz w:val="17"/>
                <w:szCs w:val="17"/>
                <w:color w:val="auto"/>
              </w:rPr>
            </w:pPr>
          </w:p>
        </w:tc>
        <w:tc>
          <w:tcPr>
            <w:tcW w:w="1180" w:type="dxa"/>
            <w:vAlign w:val="bottom"/>
          </w:tcPr>
          <w:p>
            <w:pPr>
              <w:jc w:val="right"/>
              <w:ind w:right="107"/>
              <w:spacing w:after="0"/>
              <w:rPr>
                <w:sz w:val="20"/>
                <w:szCs w:val="20"/>
                <w:color w:val="auto"/>
              </w:rPr>
            </w:pPr>
            <w:r>
              <w:rPr>
                <w:rFonts w:ascii="Arial" w:cs="Arial" w:eastAsia="Arial" w:hAnsi="Arial"/>
                <w:sz w:val="15"/>
                <w:szCs w:val="15"/>
                <w:color w:val="auto"/>
              </w:rPr>
              <w:t>29</w:t>
            </w:r>
          </w:p>
        </w:tc>
        <w:tc>
          <w:tcPr>
            <w:tcW w:w="920" w:type="dxa"/>
            <w:vAlign w:val="bottom"/>
          </w:tcPr>
          <w:p>
            <w:pPr>
              <w:jc w:val="right"/>
              <w:spacing w:after="0"/>
              <w:rPr>
                <w:sz w:val="20"/>
                <w:szCs w:val="20"/>
                <w:color w:val="auto"/>
              </w:rPr>
            </w:pPr>
            <w:r>
              <w:rPr>
                <w:rFonts w:ascii="Arial" w:cs="Arial" w:eastAsia="Arial" w:hAnsi="Arial"/>
                <w:sz w:val="15"/>
                <w:szCs w:val="15"/>
                <w:color w:val="auto"/>
              </w:rPr>
              <w:t>82</w:t>
            </w:r>
          </w:p>
        </w:tc>
        <w:tc>
          <w:tcPr>
            <w:tcW w:w="10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5"/>
                <w:szCs w:val="15"/>
                <w:color w:val="auto"/>
              </w:rPr>
              <w:t>186</w:t>
            </w:r>
          </w:p>
        </w:tc>
        <w:tc>
          <w:tcPr>
            <w:tcW w:w="920" w:type="dxa"/>
            <w:vAlign w:val="bottom"/>
          </w:tcPr>
          <w:p>
            <w:pPr>
              <w:jc w:val="right"/>
              <w:spacing w:after="0"/>
              <w:rPr>
                <w:sz w:val="20"/>
                <w:szCs w:val="20"/>
                <w:color w:val="auto"/>
              </w:rPr>
            </w:pPr>
            <w:r>
              <w:rPr>
                <w:rFonts w:ascii="Arial" w:cs="Arial" w:eastAsia="Arial" w:hAnsi="Arial"/>
                <w:sz w:val="15"/>
                <w:szCs w:val="15"/>
                <w:color w:val="auto"/>
              </w:rPr>
              <w:t>1,377</w:t>
            </w:r>
          </w:p>
        </w:tc>
        <w:tc>
          <w:tcPr>
            <w:tcW w:w="220" w:type="dxa"/>
            <w:vAlign w:val="bottom"/>
          </w:tcPr>
          <w:p>
            <w:pPr>
              <w:spacing w:after="0"/>
              <w:rPr>
                <w:sz w:val="17"/>
                <w:szCs w:val="17"/>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(445)</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color w:val="auto"/>
              </w:rPr>
              <w:t xml:space="preserve">Sales and other operating revenue </w:t>
            </w:r>
            <w:r>
              <w:rPr>
                <w:rFonts w:ascii="Arial" w:cs="Arial" w:eastAsia="Arial" w:hAnsi="Arial"/>
                <w:sz w:val="15"/>
                <w:szCs w:val="15"/>
                <w:i w:val="1"/>
                <w:iCs w:val="1"/>
                <w:color w:val="auto"/>
              </w:rPr>
              <w:t>(1)</w:t>
            </w:r>
          </w:p>
        </w:tc>
        <w:tc>
          <w:tcPr>
            <w:tcW w:w="1160" w:type="dxa"/>
            <w:vAlign w:val="bottom"/>
          </w:tcPr>
          <w:p>
            <w:pPr>
              <w:jc w:val="right"/>
              <w:ind w:right="87"/>
              <w:spacing w:after="0"/>
              <w:rPr>
                <w:sz w:val="20"/>
                <w:szCs w:val="20"/>
                <w:color w:val="auto"/>
              </w:rPr>
            </w:pPr>
            <w:r>
              <w:rPr>
                <w:rFonts w:ascii="Arial" w:cs="Arial" w:eastAsia="Arial" w:hAnsi="Arial"/>
                <w:sz w:val="15"/>
                <w:szCs w:val="15"/>
                <w:color w:val="auto"/>
              </w:rPr>
              <w:t>14,826</w:t>
            </w:r>
          </w:p>
        </w:tc>
        <w:tc>
          <w:tcPr>
            <w:tcW w:w="920" w:type="dxa"/>
            <w:vAlign w:val="bottom"/>
          </w:tcPr>
          <w:p>
            <w:pPr>
              <w:jc w:val="right"/>
              <w:spacing w:after="0"/>
              <w:rPr>
                <w:sz w:val="20"/>
                <w:szCs w:val="20"/>
                <w:color w:val="auto"/>
              </w:rPr>
            </w:pPr>
            <w:r>
              <w:rPr>
                <w:rFonts w:ascii="Arial" w:cs="Arial" w:eastAsia="Arial" w:hAnsi="Arial"/>
                <w:sz w:val="15"/>
                <w:szCs w:val="15"/>
                <w:color w:val="auto"/>
              </w:rPr>
              <w:t>22,336</w:t>
            </w:r>
          </w:p>
        </w:tc>
        <w:tc>
          <w:tcPr>
            <w:tcW w:w="120" w:type="dxa"/>
            <w:vAlign w:val="bottom"/>
          </w:tcPr>
          <w:p>
            <w:pPr>
              <w:spacing w:after="0"/>
              <w:rPr>
                <w:sz w:val="17"/>
                <w:szCs w:val="17"/>
                <w:color w:val="auto"/>
              </w:rPr>
            </w:pPr>
          </w:p>
        </w:tc>
        <w:tc>
          <w:tcPr>
            <w:tcW w:w="1180" w:type="dxa"/>
            <w:vAlign w:val="bottom"/>
          </w:tcPr>
          <w:p>
            <w:pPr>
              <w:jc w:val="right"/>
              <w:ind w:right="107"/>
              <w:spacing w:after="0"/>
              <w:rPr>
                <w:sz w:val="20"/>
                <w:szCs w:val="20"/>
                <w:color w:val="auto"/>
              </w:rPr>
            </w:pPr>
            <w:r>
              <w:rPr>
                <w:rFonts w:ascii="Arial" w:cs="Arial" w:eastAsia="Arial" w:hAnsi="Arial"/>
                <w:sz w:val="15"/>
                <w:szCs w:val="15"/>
                <w:color w:val="auto"/>
              </w:rPr>
              <w:t>118,771</w:t>
            </w:r>
          </w:p>
        </w:tc>
        <w:tc>
          <w:tcPr>
            <w:tcW w:w="920" w:type="dxa"/>
            <w:vAlign w:val="bottom"/>
          </w:tcPr>
          <w:p>
            <w:pPr>
              <w:jc w:val="right"/>
              <w:spacing w:after="0"/>
              <w:rPr>
                <w:sz w:val="20"/>
                <w:szCs w:val="20"/>
                <w:color w:val="auto"/>
              </w:rPr>
            </w:pPr>
            <w:r>
              <w:rPr>
                <w:rFonts w:ascii="Arial" w:cs="Arial" w:eastAsia="Arial" w:hAnsi="Arial"/>
                <w:sz w:val="15"/>
                <w:szCs w:val="15"/>
                <w:color w:val="auto"/>
              </w:rPr>
              <w:t>199,976</w:t>
            </w:r>
          </w:p>
        </w:tc>
        <w:tc>
          <w:tcPr>
            <w:tcW w:w="10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5"/>
                <w:szCs w:val="15"/>
                <w:color w:val="auto"/>
              </w:rPr>
              <w:t>15,115</w:t>
            </w:r>
          </w:p>
        </w:tc>
        <w:tc>
          <w:tcPr>
            <w:tcW w:w="920" w:type="dxa"/>
            <w:vAlign w:val="bottom"/>
          </w:tcPr>
          <w:p>
            <w:pPr>
              <w:jc w:val="right"/>
              <w:spacing w:after="0"/>
              <w:rPr>
                <w:sz w:val="20"/>
                <w:szCs w:val="20"/>
                <w:color w:val="auto"/>
              </w:rPr>
            </w:pPr>
            <w:r>
              <w:rPr>
                <w:rFonts w:ascii="Arial" w:cs="Arial" w:eastAsia="Arial" w:hAnsi="Arial"/>
                <w:sz w:val="15"/>
                <w:szCs w:val="15"/>
                <w:color w:val="auto"/>
              </w:rPr>
              <w:t>23,063</w:t>
            </w:r>
          </w:p>
        </w:tc>
        <w:tc>
          <w:tcPr>
            <w:tcW w:w="220" w:type="dxa"/>
            <w:vAlign w:val="bottom"/>
          </w:tcPr>
          <w:p>
            <w:pPr>
              <w:spacing w:after="0"/>
              <w:rPr>
                <w:sz w:val="17"/>
                <w:szCs w:val="17"/>
                <w:color w:val="auto"/>
              </w:rPr>
            </w:pPr>
          </w:p>
        </w:tc>
        <w:tc>
          <w:tcPr>
            <w:tcW w:w="980" w:type="dxa"/>
            <w:vAlign w:val="bottom"/>
          </w:tcPr>
          <w:p>
            <w:pPr>
              <w:jc w:val="right"/>
              <w:ind w:right="47"/>
              <w:spacing w:after="0"/>
              <w:rPr>
                <w:sz w:val="20"/>
                <w:szCs w:val="20"/>
                <w:color w:val="auto"/>
              </w:rPr>
            </w:pPr>
            <w:r>
              <w:rPr>
                <w:rFonts w:ascii="Arial" w:cs="Arial" w:eastAsia="Arial" w:hAnsi="Arial"/>
                <w:sz w:val="15"/>
                <w:szCs w:val="15"/>
                <w:color w:val="auto"/>
              </w:rPr>
              <w:t>18</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color w:val="auto"/>
              </w:rPr>
              <w:t>Intersegment revenue</w:t>
            </w:r>
          </w:p>
        </w:tc>
        <w:tc>
          <w:tcPr>
            <w:tcW w:w="1160" w:type="dxa"/>
            <w:vAlign w:val="bottom"/>
          </w:tcPr>
          <w:p>
            <w:pPr>
              <w:jc w:val="right"/>
              <w:ind w:right="87"/>
              <w:spacing w:after="0"/>
              <w:rPr>
                <w:sz w:val="20"/>
                <w:szCs w:val="20"/>
                <w:color w:val="auto"/>
              </w:rPr>
            </w:pPr>
            <w:r>
              <w:rPr>
                <w:rFonts w:ascii="Arial" w:cs="Arial" w:eastAsia="Arial" w:hAnsi="Arial"/>
                <w:sz w:val="15"/>
                <w:szCs w:val="15"/>
                <w:color w:val="auto"/>
              </w:rPr>
              <w:t>7,723</w:t>
            </w:r>
          </w:p>
        </w:tc>
        <w:tc>
          <w:tcPr>
            <w:tcW w:w="920" w:type="dxa"/>
            <w:vAlign w:val="bottom"/>
          </w:tcPr>
          <w:p>
            <w:pPr>
              <w:jc w:val="right"/>
              <w:spacing w:after="0"/>
              <w:rPr>
                <w:sz w:val="20"/>
                <w:szCs w:val="20"/>
                <w:color w:val="auto"/>
              </w:rPr>
            </w:pPr>
            <w:r>
              <w:rPr>
                <w:rFonts w:ascii="Arial" w:cs="Arial" w:eastAsia="Arial" w:hAnsi="Arial"/>
                <w:sz w:val="15"/>
                <w:szCs w:val="15"/>
                <w:color w:val="auto"/>
              </w:rPr>
              <w:t>38,846</w:t>
            </w:r>
          </w:p>
        </w:tc>
        <w:tc>
          <w:tcPr>
            <w:tcW w:w="120" w:type="dxa"/>
            <w:vAlign w:val="bottom"/>
          </w:tcPr>
          <w:p>
            <w:pPr>
              <w:spacing w:after="0"/>
              <w:rPr>
                <w:sz w:val="17"/>
                <w:szCs w:val="17"/>
                <w:color w:val="auto"/>
              </w:rPr>
            </w:pPr>
          </w:p>
        </w:tc>
        <w:tc>
          <w:tcPr>
            <w:tcW w:w="1180" w:type="dxa"/>
            <w:vAlign w:val="bottom"/>
          </w:tcPr>
          <w:p>
            <w:pPr>
              <w:jc w:val="right"/>
              <w:ind w:right="107"/>
              <w:spacing w:after="0"/>
              <w:rPr>
                <w:sz w:val="20"/>
                <w:szCs w:val="20"/>
                <w:color w:val="auto"/>
              </w:rPr>
            </w:pPr>
            <w:r>
              <w:rPr>
                <w:rFonts w:ascii="Arial" w:cs="Arial" w:eastAsia="Arial" w:hAnsi="Arial"/>
                <w:sz w:val="15"/>
                <w:szCs w:val="15"/>
                <w:color w:val="auto"/>
              </w:rPr>
              <w:t>17,281</w:t>
            </w:r>
          </w:p>
        </w:tc>
        <w:tc>
          <w:tcPr>
            <w:tcW w:w="920" w:type="dxa"/>
            <w:vAlign w:val="bottom"/>
          </w:tcPr>
          <w:p>
            <w:pPr>
              <w:jc w:val="right"/>
              <w:spacing w:after="0"/>
              <w:rPr>
                <w:sz w:val="20"/>
                <w:szCs w:val="20"/>
                <w:color w:val="auto"/>
              </w:rPr>
            </w:pPr>
            <w:r>
              <w:rPr>
                <w:rFonts w:ascii="Arial" w:cs="Arial" w:eastAsia="Arial" w:hAnsi="Arial"/>
                <w:sz w:val="15"/>
                <w:szCs w:val="15"/>
                <w:color w:val="auto"/>
              </w:rPr>
              <w:t>44,231</w:t>
            </w:r>
          </w:p>
        </w:tc>
        <w:tc>
          <w:tcPr>
            <w:tcW w:w="10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5"/>
                <w:szCs w:val="15"/>
                <w:color w:val="auto"/>
              </w:rPr>
              <w:t>10,117</w:t>
            </w:r>
          </w:p>
        </w:tc>
        <w:tc>
          <w:tcPr>
            <w:tcW w:w="920" w:type="dxa"/>
            <w:vAlign w:val="bottom"/>
          </w:tcPr>
          <w:p>
            <w:pPr>
              <w:jc w:val="right"/>
              <w:spacing w:after="0"/>
              <w:rPr>
                <w:sz w:val="20"/>
                <w:szCs w:val="20"/>
                <w:color w:val="auto"/>
              </w:rPr>
            </w:pPr>
            <w:r>
              <w:rPr>
                <w:rFonts w:ascii="Arial" w:cs="Arial" w:eastAsia="Arial" w:hAnsi="Arial"/>
                <w:sz w:val="15"/>
                <w:szCs w:val="15"/>
                <w:color w:val="auto"/>
              </w:rPr>
              <w:t>8,098</w:t>
            </w:r>
          </w:p>
        </w:tc>
        <w:tc>
          <w:tcPr>
            <w:tcW w:w="220" w:type="dxa"/>
            <w:vAlign w:val="bottom"/>
          </w:tcPr>
          <w:p>
            <w:pPr>
              <w:spacing w:after="0"/>
              <w:rPr>
                <w:sz w:val="17"/>
                <w:szCs w:val="17"/>
                <w:color w:val="auto"/>
              </w:rPr>
            </w:pPr>
          </w:p>
        </w:tc>
        <w:tc>
          <w:tcPr>
            <w:tcW w:w="980" w:type="dxa"/>
            <w:vAlign w:val="bottom"/>
          </w:tcPr>
          <w:p>
            <w:pPr>
              <w:jc w:val="right"/>
              <w:ind w:right="47"/>
              <w:spacing w:after="0"/>
              <w:rPr>
                <w:sz w:val="20"/>
                <w:szCs w:val="20"/>
                <w:color w:val="auto"/>
              </w:rPr>
            </w:pPr>
            <w:r>
              <w:rPr>
                <w:rFonts w:ascii="Arial" w:cs="Arial" w:eastAsia="Arial" w:hAnsi="Arial"/>
                <w:sz w:val="15"/>
                <w:szCs w:val="15"/>
                <w:color w:val="auto"/>
              </w:rPr>
              <w:t>274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color w:val="auto"/>
              </w:rPr>
              <w:t>Depreciation and depletion expense</w:t>
            </w:r>
          </w:p>
        </w:tc>
        <w:tc>
          <w:tcPr>
            <w:tcW w:w="1160" w:type="dxa"/>
            <w:vAlign w:val="bottom"/>
          </w:tcPr>
          <w:p>
            <w:pPr>
              <w:jc w:val="right"/>
              <w:ind w:right="87"/>
              <w:spacing w:after="0"/>
              <w:rPr>
                <w:sz w:val="20"/>
                <w:szCs w:val="20"/>
                <w:color w:val="auto"/>
              </w:rPr>
            </w:pPr>
            <w:r>
              <w:rPr>
                <w:rFonts w:ascii="Arial" w:cs="Arial" w:eastAsia="Arial" w:hAnsi="Arial"/>
                <w:sz w:val="15"/>
                <w:szCs w:val="15"/>
                <w:color w:val="auto"/>
              </w:rPr>
              <w:t>5,139</w:t>
            </w:r>
          </w:p>
        </w:tc>
        <w:tc>
          <w:tcPr>
            <w:tcW w:w="920" w:type="dxa"/>
            <w:vAlign w:val="bottom"/>
          </w:tcPr>
          <w:p>
            <w:pPr>
              <w:jc w:val="right"/>
              <w:spacing w:after="0"/>
              <w:rPr>
                <w:sz w:val="20"/>
                <w:szCs w:val="20"/>
                <w:color w:val="auto"/>
              </w:rPr>
            </w:pPr>
            <w:r>
              <w:rPr>
                <w:rFonts w:ascii="Arial" w:cs="Arial" w:eastAsia="Arial" w:hAnsi="Arial"/>
                <w:sz w:val="15"/>
                <w:szCs w:val="15"/>
                <w:color w:val="auto"/>
              </w:rPr>
              <w:t>8,523</w:t>
            </w:r>
          </w:p>
        </w:tc>
        <w:tc>
          <w:tcPr>
            <w:tcW w:w="120" w:type="dxa"/>
            <w:vAlign w:val="bottom"/>
          </w:tcPr>
          <w:p>
            <w:pPr>
              <w:spacing w:after="0"/>
              <w:rPr>
                <w:sz w:val="17"/>
                <w:szCs w:val="17"/>
                <w:color w:val="auto"/>
              </w:rPr>
            </w:pPr>
          </w:p>
        </w:tc>
        <w:tc>
          <w:tcPr>
            <w:tcW w:w="1180" w:type="dxa"/>
            <w:vAlign w:val="bottom"/>
          </w:tcPr>
          <w:p>
            <w:pPr>
              <w:jc w:val="right"/>
              <w:ind w:right="107"/>
              <w:spacing w:after="0"/>
              <w:rPr>
                <w:sz w:val="20"/>
                <w:szCs w:val="20"/>
                <w:color w:val="auto"/>
              </w:rPr>
            </w:pPr>
            <w:r>
              <w:rPr>
                <w:rFonts w:ascii="Arial" w:cs="Arial" w:eastAsia="Arial" w:hAnsi="Arial"/>
                <w:sz w:val="15"/>
                <w:szCs w:val="15"/>
                <w:color w:val="auto"/>
              </w:rPr>
              <w:t>654</w:t>
            </w:r>
          </w:p>
        </w:tc>
        <w:tc>
          <w:tcPr>
            <w:tcW w:w="920" w:type="dxa"/>
            <w:vAlign w:val="bottom"/>
          </w:tcPr>
          <w:p>
            <w:pPr>
              <w:jc w:val="right"/>
              <w:spacing w:after="0"/>
              <w:rPr>
                <w:sz w:val="20"/>
                <w:szCs w:val="20"/>
                <w:color w:val="auto"/>
              </w:rPr>
            </w:pPr>
            <w:r>
              <w:rPr>
                <w:rFonts w:ascii="Arial" w:cs="Arial" w:eastAsia="Arial" w:hAnsi="Arial"/>
                <w:sz w:val="15"/>
                <w:szCs w:val="15"/>
                <w:color w:val="auto"/>
              </w:rPr>
              <w:t>1,228</w:t>
            </w:r>
          </w:p>
        </w:tc>
        <w:tc>
          <w:tcPr>
            <w:tcW w:w="10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5"/>
                <w:szCs w:val="15"/>
                <w:color w:val="auto"/>
              </w:rPr>
              <w:t>370</w:t>
            </w:r>
          </w:p>
        </w:tc>
        <w:tc>
          <w:tcPr>
            <w:tcW w:w="920" w:type="dxa"/>
            <w:vAlign w:val="bottom"/>
          </w:tcPr>
          <w:p>
            <w:pPr>
              <w:jc w:val="right"/>
              <w:spacing w:after="0"/>
              <w:rPr>
                <w:sz w:val="20"/>
                <w:szCs w:val="20"/>
                <w:color w:val="auto"/>
              </w:rPr>
            </w:pPr>
            <w:r>
              <w:rPr>
                <w:rFonts w:ascii="Arial" w:cs="Arial" w:eastAsia="Arial" w:hAnsi="Arial"/>
                <w:sz w:val="15"/>
                <w:szCs w:val="15"/>
                <w:color w:val="auto"/>
              </w:rPr>
              <w:t>645</w:t>
            </w:r>
          </w:p>
        </w:tc>
        <w:tc>
          <w:tcPr>
            <w:tcW w:w="220" w:type="dxa"/>
            <w:vAlign w:val="bottom"/>
          </w:tcPr>
          <w:p>
            <w:pPr>
              <w:spacing w:after="0"/>
              <w:rPr>
                <w:sz w:val="17"/>
                <w:szCs w:val="17"/>
                <w:color w:val="auto"/>
              </w:rPr>
            </w:pPr>
          </w:p>
        </w:tc>
        <w:tc>
          <w:tcPr>
            <w:tcW w:w="980" w:type="dxa"/>
            <w:vAlign w:val="bottom"/>
          </w:tcPr>
          <w:p>
            <w:pPr>
              <w:jc w:val="right"/>
              <w:ind w:right="47"/>
              <w:spacing w:after="0"/>
              <w:rPr>
                <w:sz w:val="20"/>
                <w:szCs w:val="20"/>
                <w:color w:val="auto"/>
              </w:rPr>
            </w:pPr>
            <w:r>
              <w:rPr>
                <w:rFonts w:ascii="Arial" w:cs="Arial" w:eastAsia="Arial" w:hAnsi="Arial"/>
                <w:sz w:val="15"/>
                <w:szCs w:val="15"/>
                <w:color w:val="auto"/>
              </w:rPr>
              <w:t>738</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color w:val="auto"/>
              </w:rPr>
              <w:t>Interest revenue</w:t>
            </w:r>
          </w:p>
        </w:tc>
        <w:tc>
          <w:tcPr>
            <w:tcW w:w="116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8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2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80" w:type="dxa"/>
            <w:vAlign w:val="bottom"/>
          </w:tcPr>
          <w:p>
            <w:pPr>
              <w:jc w:val="right"/>
              <w:ind w:right="47"/>
              <w:spacing w:after="0"/>
              <w:rPr>
                <w:sz w:val="20"/>
                <w:szCs w:val="20"/>
                <w:color w:val="auto"/>
              </w:rPr>
            </w:pPr>
            <w:r>
              <w:rPr>
                <w:rFonts w:ascii="Arial" w:cs="Arial" w:eastAsia="Arial" w:hAnsi="Arial"/>
                <w:sz w:val="15"/>
                <w:szCs w:val="15"/>
                <w:color w:val="auto"/>
              </w:rPr>
              <w:t>75</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color w:val="auto"/>
              </w:rPr>
              <w:t>Interest expense</w:t>
            </w:r>
          </w:p>
        </w:tc>
        <w:tc>
          <w:tcPr>
            <w:tcW w:w="1160" w:type="dxa"/>
            <w:vAlign w:val="bottom"/>
          </w:tcPr>
          <w:p>
            <w:pPr>
              <w:jc w:val="right"/>
              <w:ind w:right="87"/>
              <w:spacing w:after="0"/>
              <w:rPr>
                <w:sz w:val="20"/>
                <w:szCs w:val="20"/>
                <w:color w:val="auto"/>
              </w:rPr>
            </w:pPr>
            <w:r>
              <w:rPr>
                <w:rFonts w:ascii="Arial" w:cs="Arial" w:eastAsia="Arial" w:hAnsi="Arial"/>
                <w:sz w:val="15"/>
                <w:szCs w:val="15"/>
                <w:color w:val="auto"/>
              </w:rPr>
              <w:t>40</w:t>
            </w:r>
          </w:p>
        </w:tc>
        <w:tc>
          <w:tcPr>
            <w:tcW w:w="920" w:type="dxa"/>
            <w:vAlign w:val="bottom"/>
          </w:tcPr>
          <w:p>
            <w:pPr>
              <w:jc w:val="right"/>
              <w:spacing w:after="0"/>
              <w:rPr>
                <w:sz w:val="20"/>
                <w:szCs w:val="20"/>
                <w:color w:val="auto"/>
              </w:rPr>
            </w:pPr>
            <w:r>
              <w:rPr>
                <w:rFonts w:ascii="Arial" w:cs="Arial" w:eastAsia="Arial" w:hAnsi="Arial"/>
                <w:sz w:val="15"/>
                <w:szCs w:val="15"/>
                <w:color w:val="auto"/>
              </w:rPr>
              <w:t>17</w:t>
            </w:r>
          </w:p>
        </w:tc>
        <w:tc>
          <w:tcPr>
            <w:tcW w:w="120" w:type="dxa"/>
            <w:vAlign w:val="bottom"/>
          </w:tcPr>
          <w:p>
            <w:pPr>
              <w:spacing w:after="0"/>
              <w:rPr>
                <w:sz w:val="17"/>
                <w:szCs w:val="17"/>
                <w:color w:val="auto"/>
              </w:rPr>
            </w:pPr>
          </w:p>
        </w:tc>
        <w:tc>
          <w:tcPr>
            <w:tcW w:w="1180" w:type="dxa"/>
            <w:vAlign w:val="bottom"/>
          </w:tcPr>
          <w:p>
            <w:pPr>
              <w:jc w:val="right"/>
              <w:ind w:right="107"/>
              <w:spacing w:after="0"/>
              <w:rPr>
                <w:sz w:val="20"/>
                <w:szCs w:val="20"/>
                <w:color w:val="auto"/>
              </w:rPr>
            </w:pPr>
            <w:r>
              <w:rPr>
                <w:rFonts w:ascii="Arial" w:cs="Arial" w:eastAsia="Arial" w:hAnsi="Arial"/>
                <w:sz w:val="15"/>
                <w:szCs w:val="15"/>
                <w:color w:val="auto"/>
              </w:rPr>
              <w:t>6</w:t>
            </w:r>
          </w:p>
        </w:tc>
        <w:tc>
          <w:tcPr>
            <w:tcW w:w="92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112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80" w:type="dxa"/>
            <w:vAlign w:val="bottom"/>
          </w:tcPr>
          <w:p>
            <w:pPr>
              <w:jc w:val="right"/>
              <w:ind w:right="47"/>
              <w:spacing w:after="0"/>
              <w:rPr>
                <w:sz w:val="20"/>
                <w:szCs w:val="20"/>
                <w:color w:val="auto"/>
              </w:rPr>
            </w:pPr>
            <w:r>
              <w:rPr>
                <w:rFonts w:ascii="Arial" w:cs="Arial" w:eastAsia="Arial" w:hAnsi="Arial"/>
                <w:sz w:val="15"/>
                <w:szCs w:val="15"/>
                <w:color w:val="auto"/>
              </w:rPr>
              <w:t>219</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color w:val="auto"/>
              </w:rPr>
              <w:t>Income taxes</w:t>
            </w:r>
          </w:p>
        </w:tc>
        <w:tc>
          <w:tcPr>
            <w:tcW w:w="1160" w:type="dxa"/>
            <w:vAlign w:val="bottom"/>
          </w:tcPr>
          <w:p>
            <w:pPr>
              <w:jc w:val="right"/>
              <w:ind w:right="87"/>
              <w:spacing w:after="0"/>
              <w:rPr>
                <w:sz w:val="20"/>
                <w:szCs w:val="20"/>
                <w:color w:val="auto"/>
              </w:rPr>
            </w:pPr>
            <w:r>
              <w:rPr>
                <w:rFonts w:ascii="Arial" w:cs="Arial" w:eastAsia="Arial" w:hAnsi="Arial"/>
                <w:sz w:val="15"/>
                <w:szCs w:val="15"/>
                <w:color w:val="auto"/>
              </w:rPr>
              <w:t>1,300</w:t>
            </w:r>
          </w:p>
        </w:tc>
        <w:tc>
          <w:tcPr>
            <w:tcW w:w="920" w:type="dxa"/>
            <w:vAlign w:val="bottom"/>
          </w:tcPr>
          <w:p>
            <w:pPr>
              <w:jc w:val="right"/>
              <w:spacing w:after="0"/>
              <w:rPr>
                <w:sz w:val="20"/>
                <w:szCs w:val="20"/>
                <w:color w:val="auto"/>
              </w:rPr>
            </w:pPr>
            <w:r>
              <w:rPr>
                <w:rFonts w:ascii="Arial" w:cs="Arial" w:eastAsia="Arial" w:hAnsi="Arial"/>
                <w:sz w:val="15"/>
                <w:szCs w:val="15"/>
                <w:color w:val="auto"/>
              </w:rPr>
              <w:t>15,165</w:t>
            </w:r>
          </w:p>
        </w:tc>
        <w:tc>
          <w:tcPr>
            <w:tcW w:w="120" w:type="dxa"/>
            <w:vAlign w:val="bottom"/>
          </w:tcPr>
          <w:p>
            <w:pPr>
              <w:spacing w:after="0"/>
              <w:rPr>
                <w:sz w:val="17"/>
                <w:szCs w:val="17"/>
                <w:color w:val="auto"/>
              </w:rPr>
            </w:pPr>
          </w:p>
        </w:tc>
        <w:tc>
          <w:tcPr>
            <w:tcW w:w="1180" w:type="dxa"/>
            <w:vAlign w:val="bottom"/>
          </w:tcPr>
          <w:p>
            <w:pPr>
              <w:jc w:val="right"/>
              <w:ind w:right="107"/>
              <w:spacing w:after="0"/>
              <w:rPr>
                <w:sz w:val="20"/>
                <w:szCs w:val="20"/>
                <w:color w:val="auto"/>
              </w:rPr>
            </w:pPr>
            <w:r>
              <w:rPr>
                <w:rFonts w:ascii="Arial" w:cs="Arial" w:eastAsia="Arial" w:hAnsi="Arial"/>
                <w:sz w:val="15"/>
                <w:szCs w:val="15"/>
                <w:color w:val="auto"/>
              </w:rPr>
              <w:t>610</w:t>
            </w:r>
          </w:p>
        </w:tc>
        <w:tc>
          <w:tcPr>
            <w:tcW w:w="920" w:type="dxa"/>
            <w:vAlign w:val="bottom"/>
          </w:tcPr>
          <w:p>
            <w:pPr>
              <w:jc w:val="right"/>
              <w:spacing w:after="0"/>
              <w:rPr>
                <w:sz w:val="20"/>
                <w:szCs w:val="20"/>
                <w:color w:val="auto"/>
              </w:rPr>
            </w:pPr>
            <w:r>
              <w:rPr>
                <w:rFonts w:ascii="Arial" w:cs="Arial" w:eastAsia="Arial" w:hAnsi="Arial"/>
                <w:sz w:val="15"/>
                <w:szCs w:val="15"/>
                <w:color w:val="auto"/>
              </w:rPr>
              <w:t>968</w:t>
            </w:r>
          </w:p>
        </w:tc>
        <w:tc>
          <w:tcPr>
            <w:tcW w:w="10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5"/>
                <w:szCs w:val="15"/>
                <w:color w:val="auto"/>
              </w:rPr>
              <w:t>1,032</w:t>
            </w:r>
          </w:p>
        </w:tc>
        <w:tc>
          <w:tcPr>
            <w:tcW w:w="920" w:type="dxa"/>
            <w:vAlign w:val="bottom"/>
          </w:tcPr>
          <w:p>
            <w:pPr>
              <w:jc w:val="right"/>
              <w:spacing w:after="0"/>
              <w:rPr>
                <w:sz w:val="20"/>
                <w:szCs w:val="20"/>
                <w:color w:val="auto"/>
              </w:rPr>
            </w:pPr>
            <w:r>
              <w:rPr>
                <w:rFonts w:ascii="Arial" w:cs="Arial" w:eastAsia="Arial" w:hAnsi="Arial"/>
                <w:sz w:val="15"/>
                <w:szCs w:val="15"/>
                <w:color w:val="auto"/>
              </w:rPr>
              <w:t>358</w:t>
            </w:r>
          </w:p>
        </w:tc>
        <w:tc>
          <w:tcPr>
            <w:tcW w:w="220" w:type="dxa"/>
            <w:vAlign w:val="bottom"/>
          </w:tcPr>
          <w:p>
            <w:pPr>
              <w:spacing w:after="0"/>
              <w:rPr>
                <w:sz w:val="17"/>
                <w:szCs w:val="17"/>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(1,418)</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color w:val="auto"/>
              </w:rPr>
              <w:t>Additions to property, plant and equipment</w:t>
            </w:r>
          </w:p>
        </w:tc>
        <w:tc>
          <w:tcPr>
            <w:tcW w:w="1160" w:type="dxa"/>
            <w:vAlign w:val="bottom"/>
          </w:tcPr>
          <w:p>
            <w:pPr>
              <w:jc w:val="right"/>
              <w:ind w:right="87"/>
              <w:spacing w:after="0"/>
              <w:rPr>
                <w:sz w:val="20"/>
                <w:szCs w:val="20"/>
                <w:color w:val="auto"/>
              </w:rPr>
            </w:pPr>
            <w:r>
              <w:rPr>
                <w:rFonts w:ascii="Arial" w:cs="Arial" w:eastAsia="Arial" w:hAnsi="Arial"/>
                <w:sz w:val="15"/>
                <w:szCs w:val="15"/>
                <w:color w:val="auto"/>
              </w:rPr>
              <w:t>9,098</w:t>
            </w:r>
          </w:p>
        </w:tc>
        <w:tc>
          <w:tcPr>
            <w:tcW w:w="920" w:type="dxa"/>
            <w:vAlign w:val="bottom"/>
          </w:tcPr>
          <w:p>
            <w:pPr>
              <w:jc w:val="right"/>
              <w:spacing w:after="0"/>
              <w:rPr>
                <w:sz w:val="20"/>
                <w:szCs w:val="20"/>
                <w:color w:val="auto"/>
              </w:rPr>
            </w:pPr>
            <w:r>
              <w:rPr>
                <w:rFonts w:ascii="Arial" w:cs="Arial" w:eastAsia="Arial" w:hAnsi="Arial"/>
                <w:sz w:val="15"/>
                <w:szCs w:val="15"/>
                <w:color w:val="auto"/>
              </w:rPr>
              <w:t>19,225</w:t>
            </w:r>
          </w:p>
        </w:tc>
        <w:tc>
          <w:tcPr>
            <w:tcW w:w="120" w:type="dxa"/>
            <w:vAlign w:val="bottom"/>
          </w:tcPr>
          <w:p>
            <w:pPr>
              <w:spacing w:after="0"/>
              <w:rPr>
                <w:sz w:val="17"/>
                <w:szCs w:val="17"/>
                <w:color w:val="auto"/>
              </w:rPr>
            </w:pPr>
          </w:p>
        </w:tc>
        <w:tc>
          <w:tcPr>
            <w:tcW w:w="1180" w:type="dxa"/>
            <w:vAlign w:val="bottom"/>
          </w:tcPr>
          <w:p>
            <w:pPr>
              <w:jc w:val="right"/>
              <w:ind w:right="107"/>
              <w:spacing w:after="0"/>
              <w:rPr>
                <w:sz w:val="20"/>
                <w:szCs w:val="20"/>
                <w:color w:val="auto"/>
              </w:rPr>
            </w:pPr>
            <w:r>
              <w:rPr>
                <w:rFonts w:ascii="Arial" w:cs="Arial" w:eastAsia="Arial" w:hAnsi="Arial"/>
                <w:sz w:val="15"/>
                <w:szCs w:val="15"/>
                <w:color w:val="auto"/>
              </w:rPr>
              <w:t>1,050</w:t>
            </w:r>
          </w:p>
        </w:tc>
        <w:tc>
          <w:tcPr>
            <w:tcW w:w="920" w:type="dxa"/>
            <w:vAlign w:val="bottom"/>
          </w:tcPr>
          <w:p>
            <w:pPr>
              <w:jc w:val="right"/>
              <w:spacing w:after="0"/>
              <w:rPr>
                <w:sz w:val="20"/>
                <w:szCs w:val="20"/>
                <w:color w:val="auto"/>
              </w:rPr>
            </w:pPr>
            <w:r>
              <w:rPr>
                <w:rFonts w:ascii="Arial" w:cs="Arial" w:eastAsia="Arial" w:hAnsi="Arial"/>
                <w:sz w:val="15"/>
                <w:szCs w:val="15"/>
                <w:color w:val="auto"/>
              </w:rPr>
              <w:t>1,356</w:t>
            </w:r>
          </w:p>
        </w:tc>
        <w:tc>
          <w:tcPr>
            <w:tcW w:w="10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5"/>
                <w:szCs w:val="15"/>
                <w:color w:val="auto"/>
              </w:rPr>
              <w:t>1,564</w:t>
            </w:r>
          </w:p>
        </w:tc>
        <w:tc>
          <w:tcPr>
            <w:tcW w:w="920" w:type="dxa"/>
            <w:vAlign w:val="bottom"/>
          </w:tcPr>
          <w:p>
            <w:pPr>
              <w:jc w:val="right"/>
              <w:spacing w:after="0"/>
              <w:rPr>
                <w:sz w:val="20"/>
                <w:szCs w:val="20"/>
                <w:color w:val="auto"/>
              </w:rPr>
            </w:pPr>
            <w:r>
              <w:rPr>
                <w:rFonts w:ascii="Arial" w:cs="Arial" w:eastAsia="Arial" w:hAnsi="Arial"/>
                <w:sz w:val="15"/>
                <w:szCs w:val="15"/>
                <w:color w:val="auto"/>
              </w:rPr>
              <w:t>564</w:t>
            </w:r>
          </w:p>
        </w:tc>
        <w:tc>
          <w:tcPr>
            <w:tcW w:w="220" w:type="dxa"/>
            <w:vAlign w:val="bottom"/>
          </w:tcPr>
          <w:p>
            <w:pPr>
              <w:spacing w:after="0"/>
              <w:rPr>
                <w:sz w:val="17"/>
                <w:szCs w:val="17"/>
                <w:color w:val="auto"/>
              </w:rPr>
            </w:pPr>
          </w:p>
        </w:tc>
        <w:tc>
          <w:tcPr>
            <w:tcW w:w="980" w:type="dxa"/>
            <w:vAlign w:val="bottom"/>
          </w:tcPr>
          <w:p>
            <w:pPr>
              <w:jc w:val="right"/>
              <w:ind w:right="47"/>
              <w:spacing w:after="0"/>
              <w:rPr>
                <w:sz w:val="20"/>
                <w:szCs w:val="20"/>
                <w:color w:val="auto"/>
              </w:rPr>
            </w:pPr>
            <w:r>
              <w:rPr>
                <w:rFonts w:ascii="Arial" w:cs="Arial" w:eastAsia="Arial" w:hAnsi="Arial"/>
                <w:sz w:val="15"/>
                <w:szCs w:val="15"/>
                <w:color w:val="auto"/>
              </w:rPr>
              <w:t>1,399</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color w:val="auto"/>
              </w:rPr>
              <w:t>Investments in equity companies</w:t>
            </w:r>
          </w:p>
        </w:tc>
        <w:tc>
          <w:tcPr>
            <w:tcW w:w="1160" w:type="dxa"/>
            <w:vAlign w:val="bottom"/>
          </w:tcPr>
          <w:p>
            <w:pPr>
              <w:jc w:val="right"/>
              <w:ind w:right="87"/>
              <w:spacing w:after="0"/>
              <w:rPr>
                <w:sz w:val="20"/>
                <w:szCs w:val="20"/>
                <w:color w:val="auto"/>
              </w:rPr>
            </w:pPr>
            <w:r>
              <w:rPr>
                <w:rFonts w:ascii="Arial" w:cs="Arial" w:eastAsia="Arial" w:hAnsi="Arial"/>
                <w:sz w:val="15"/>
                <w:szCs w:val="15"/>
                <w:color w:val="auto"/>
              </w:rPr>
              <w:t>5,089</w:t>
            </w:r>
          </w:p>
        </w:tc>
        <w:tc>
          <w:tcPr>
            <w:tcW w:w="920" w:type="dxa"/>
            <w:vAlign w:val="bottom"/>
          </w:tcPr>
          <w:p>
            <w:pPr>
              <w:jc w:val="right"/>
              <w:spacing w:after="0"/>
              <w:rPr>
                <w:sz w:val="20"/>
                <w:szCs w:val="20"/>
                <w:color w:val="auto"/>
              </w:rPr>
            </w:pPr>
            <w:r>
              <w:rPr>
                <w:rFonts w:ascii="Arial" w:cs="Arial" w:eastAsia="Arial" w:hAnsi="Arial"/>
                <w:sz w:val="15"/>
                <w:szCs w:val="15"/>
                <w:color w:val="auto"/>
              </w:rPr>
              <w:t>10,877</w:t>
            </w:r>
          </w:p>
        </w:tc>
        <w:tc>
          <w:tcPr>
            <w:tcW w:w="120" w:type="dxa"/>
            <w:vAlign w:val="bottom"/>
          </w:tcPr>
          <w:p>
            <w:pPr>
              <w:spacing w:after="0"/>
              <w:rPr>
                <w:sz w:val="17"/>
                <w:szCs w:val="17"/>
                <w:color w:val="auto"/>
              </w:rPr>
            </w:pPr>
          </w:p>
        </w:tc>
        <w:tc>
          <w:tcPr>
            <w:tcW w:w="1180" w:type="dxa"/>
            <w:vAlign w:val="bottom"/>
          </w:tcPr>
          <w:p>
            <w:pPr>
              <w:jc w:val="right"/>
              <w:ind w:right="107"/>
              <w:spacing w:after="0"/>
              <w:rPr>
                <w:sz w:val="20"/>
                <w:szCs w:val="20"/>
                <w:color w:val="auto"/>
              </w:rPr>
            </w:pPr>
            <w:r>
              <w:rPr>
                <w:rFonts w:ascii="Arial" w:cs="Arial" w:eastAsia="Arial" w:hAnsi="Arial"/>
                <w:sz w:val="15"/>
                <w:szCs w:val="15"/>
                <w:color w:val="auto"/>
              </w:rPr>
              <w:t>69</w:t>
            </w:r>
          </w:p>
        </w:tc>
        <w:tc>
          <w:tcPr>
            <w:tcW w:w="920" w:type="dxa"/>
            <w:vAlign w:val="bottom"/>
          </w:tcPr>
          <w:p>
            <w:pPr>
              <w:jc w:val="right"/>
              <w:spacing w:after="0"/>
              <w:rPr>
                <w:sz w:val="20"/>
                <w:szCs w:val="20"/>
                <w:color w:val="auto"/>
              </w:rPr>
            </w:pPr>
            <w:r>
              <w:rPr>
                <w:rFonts w:ascii="Arial" w:cs="Arial" w:eastAsia="Arial" w:hAnsi="Arial"/>
                <w:sz w:val="15"/>
                <w:szCs w:val="15"/>
                <w:color w:val="auto"/>
              </w:rPr>
              <w:t>1,006</w:t>
            </w:r>
          </w:p>
        </w:tc>
        <w:tc>
          <w:tcPr>
            <w:tcW w:w="10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5"/>
                <w:szCs w:val="15"/>
                <w:color w:val="auto"/>
              </w:rPr>
              <w:t>258</w:t>
            </w:r>
          </w:p>
        </w:tc>
        <w:tc>
          <w:tcPr>
            <w:tcW w:w="920" w:type="dxa"/>
            <w:vAlign w:val="bottom"/>
          </w:tcPr>
          <w:p>
            <w:pPr>
              <w:jc w:val="right"/>
              <w:spacing w:after="0"/>
              <w:rPr>
                <w:sz w:val="20"/>
                <w:szCs w:val="20"/>
                <w:color w:val="auto"/>
              </w:rPr>
            </w:pPr>
            <w:r>
              <w:rPr>
                <w:rFonts w:ascii="Arial" w:cs="Arial" w:eastAsia="Arial" w:hAnsi="Arial"/>
                <w:sz w:val="15"/>
                <w:szCs w:val="15"/>
                <w:color w:val="auto"/>
              </w:rPr>
              <w:t>3,026</w:t>
            </w:r>
          </w:p>
        </w:tc>
        <w:tc>
          <w:tcPr>
            <w:tcW w:w="220" w:type="dxa"/>
            <w:vAlign w:val="bottom"/>
          </w:tcPr>
          <w:p>
            <w:pPr>
              <w:spacing w:after="0"/>
              <w:rPr>
                <w:sz w:val="17"/>
                <w:szCs w:val="17"/>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(308)</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80" w:type="dxa"/>
            <w:vAlign w:val="bottom"/>
          </w:tcPr>
          <w:p>
            <w:pPr>
              <w:spacing w:after="0"/>
              <w:rPr>
                <w:sz w:val="20"/>
                <w:szCs w:val="20"/>
                <w:color w:val="auto"/>
              </w:rPr>
            </w:pPr>
            <w:r>
              <w:rPr>
                <w:rFonts w:ascii="Arial" w:cs="Arial" w:eastAsia="Arial" w:hAnsi="Arial"/>
                <w:sz w:val="15"/>
                <w:szCs w:val="15"/>
                <w:color w:val="auto"/>
              </w:rPr>
              <w:t>Total assets</w:t>
            </w:r>
          </w:p>
        </w:tc>
        <w:tc>
          <w:tcPr>
            <w:tcW w:w="116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92,555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161,033</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18,371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33,299</w:t>
            </w: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8,798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18,449</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16,988</w:t>
            </w:r>
          </w:p>
        </w:tc>
        <w:tc>
          <w:tcPr>
            <w:tcW w:w="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5"/>
        </w:trPr>
        <w:tc>
          <w:tcPr>
            <w:tcW w:w="2980" w:type="dxa"/>
            <w:vAlign w:val="bottom"/>
          </w:tcPr>
          <w:p>
            <w:pPr>
              <w:spacing w:after="0"/>
              <w:rPr>
                <w:sz w:val="20"/>
                <w:szCs w:val="20"/>
                <w:color w:val="auto"/>
              </w:rPr>
            </w:pPr>
            <w:r>
              <w:rPr>
                <w:rFonts w:ascii="Arial" w:cs="Arial" w:eastAsia="Arial" w:hAnsi="Arial"/>
                <w:sz w:val="15"/>
                <w:szCs w:val="15"/>
                <w:color w:val="auto"/>
              </w:rPr>
              <w:t>As of December 31, 2013</w:t>
            </w: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color w:val="auto"/>
              </w:rPr>
              <w:t>Earnings after income tax</w:t>
            </w:r>
          </w:p>
        </w:tc>
        <w:tc>
          <w:tcPr>
            <w:tcW w:w="1160" w:type="dxa"/>
            <w:vAlign w:val="bottom"/>
          </w:tcPr>
          <w:p>
            <w:pPr>
              <w:jc w:val="right"/>
              <w:ind w:right="87"/>
              <w:spacing w:after="0"/>
              <w:rPr>
                <w:sz w:val="20"/>
                <w:szCs w:val="20"/>
                <w:color w:val="auto"/>
              </w:rPr>
            </w:pPr>
            <w:r>
              <w:rPr>
                <w:rFonts w:ascii="Arial" w:cs="Arial" w:eastAsia="Arial" w:hAnsi="Arial"/>
                <w:sz w:val="15"/>
                <w:szCs w:val="15"/>
                <w:color w:val="auto"/>
              </w:rPr>
              <w:t>4,191</w:t>
            </w:r>
          </w:p>
        </w:tc>
        <w:tc>
          <w:tcPr>
            <w:tcW w:w="920" w:type="dxa"/>
            <w:vAlign w:val="bottom"/>
          </w:tcPr>
          <w:p>
            <w:pPr>
              <w:jc w:val="right"/>
              <w:spacing w:after="0"/>
              <w:rPr>
                <w:sz w:val="20"/>
                <w:szCs w:val="20"/>
                <w:color w:val="auto"/>
              </w:rPr>
            </w:pPr>
            <w:r>
              <w:rPr>
                <w:rFonts w:ascii="Arial" w:cs="Arial" w:eastAsia="Arial" w:hAnsi="Arial"/>
                <w:sz w:val="15"/>
                <w:szCs w:val="15"/>
                <w:color w:val="auto"/>
              </w:rPr>
              <w:t>22,650</w:t>
            </w:r>
          </w:p>
        </w:tc>
        <w:tc>
          <w:tcPr>
            <w:tcW w:w="120" w:type="dxa"/>
            <w:vAlign w:val="bottom"/>
          </w:tcPr>
          <w:p>
            <w:pPr>
              <w:spacing w:after="0"/>
              <w:rPr>
                <w:sz w:val="17"/>
                <w:szCs w:val="17"/>
                <w:color w:val="auto"/>
              </w:rPr>
            </w:pPr>
          </w:p>
        </w:tc>
        <w:tc>
          <w:tcPr>
            <w:tcW w:w="1180" w:type="dxa"/>
            <w:vAlign w:val="bottom"/>
          </w:tcPr>
          <w:p>
            <w:pPr>
              <w:jc w:val="right"/>
              <w:ind w:right="107"/>
              <w:spacing w:after="0"/>
              <w:rPr>
                <w:sz w:val="20"/>
                <w:szCs w:val="20"/>
                <w:color w:val="auto"/>
              </w:rPr>
            </w:pPr>
            <w:r>
              <w:rPr>
                <w:rFonts w:ascii="Arial" w:cs="Arial" w:eastAsia="Arial" w:hAnsi="Arial"/>
                <w:sz w:val="15"/>
                <w:szCs w:val="15"/>
                <w:color w:val="auto"/>
              </w:rPr>
              <w:t>2,199</w:t>
            </w:r>
          </w:p>
        </w:tc>
        <w:tc>
          <w:tcPr>
            <w:tcW w:w="920" w:type="dxa"/>
            <w:vAlign w:val="bottom"/>
          </w:tcPr>
          <w:p>
            <w:pPr>
              <w:jc w:val="right"/>
              <w:spacing w:after="0"/>
              <w:rPr>
                <w:sz w:val="20"/>
                <w:szCs w:val="20"/>
                <w:color w:val="auto"/>
              </w:rPr>
            </w:pPr>
            <w:r>
              <w:rPr>
                <w:rFonts w:ascii="Arial" w:cs="Arial" w:eastAsia="Arial" w:hAnsi="Arial"/>
                <w:sz w:val="15"/>
                <w:szCs w:val="15"/>
                <w:color w:val="auto"/>
              </w:rPr>
              <w:t>1,250</w:t>
            </w:r>
          </w:p>
        </w:tc>
        <w:tc>
          <w:tcPr>
            <w:tcW w:w="10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5"/>
                <w:szCs w:val="15"/>
                <w:color w:val="auto"/>
              </w:rPr>
              <w:t>2,755</w:t>
            </w:r>
          </w:p>
        </w:tc>
        <w:tc>
          <w:tcPr>
            <w:tcW w:w="920" w:type="dxa"/>
            <w:vAlign w:val="bottom"/>
          </w:tcPr>
          <w:p>
            <w:pPr>
              <w:jc w:val="right"/>
              <w:spacing w:after="0"/>
              <w:rPr>
                <w:sz w:val="20"/>
                <w:szCs w:val="20"/>
                <w:color w:val="auto"/>
              </w:rPr>
            </w:pPr>
            <w:r>
              <w:rPr>
                <w:rFonts w:ascii="Arial" w:cs="Arial" w:eastAsia="Arial" w:hAnsi="Arial"/>
                <w:sz w:val="15"/>
                <w:szCs w:val="15"/>
                <w:color w:val="auto"/>
              </w:rPr>
              <w:t>1,073</w:t>
            </w:r>
          </w:p>
        </w:tc>
        <w:tc>
          <w:tcPr>
            <w:tcW w:w="220" w:type="dxa"/>
            <w:vAlign w:val="bottom"/>
          </w:tcPr>
          <w:p>
            <w:pPr>
              <w:spacing w:after="0"/>
              <w:rPr>
                <w:sz w:val="17"/>
                <w:szCs w:val="17"/>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(1,538)</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color w:val="auto"/>
                <w:w w:val="98"/>
              </w:rPr>
              <w:t>Earnings of equity companies included above</w:t>
            </w:r>
          </w:p>
        </w:tc>
        <w:tc>
          <w:tcPr>
            <w:tcW w:w="1160" w:type="dxa"/>
            <w:vAlign w:val="bottom"/>
          </w:tcPr>
          <w:p>
            <w:pPr>
              <w:jc w:val="right"/>
              <w:ind w:right="87"/>
              <w:spacing w:after="0"/>
              <w:rPr>
                <w:sz w:val="20"/>
                <w:szCs w:val="20"/>
                <w:color w:val="auto"/>
              </w:rPr>
            </w:pPr>
            <w:r>
              <w:rPr>
                <w:rFonts w:ascii="Arial" w:cs="Arial" w:eastAsia="Arial" w:hAnsi="Arial"/>
                <w:sz w:val="15"/>
                <w:szCs w:val="15"/>
                <w:color w:val="auto"/>
              </w:rPr>
              <w:t>1,576</w:t>
            </w:r>
          </w:p>
        </w:tc>
        <w:tc>
          <w:tcPr>
            <w:tcW w:w="920" w:type="dxa"/>
            <w:vAlign w:val="bottom"/>
          </w:tcPr>
          <w:p>
            <w:pPr>
              <w:jc w:val="right"/>
              <w:spacing w:after="0"/>
              <w:rPr>
                <w:sz w:val="20"/>
                <w:szCs w:val="20"/>
                <w:color w:val="auto"/>
              </w:rPr>
            </w:pPr>
            <w:r>
              <w:rPr>
                <w:rFonts w:ascii="Arial" w:cs="Arial" w:eastAsia="Arial" w:hAnsi="Arial"/>
                <w:sz w:val="15"/>
                <w:szCs w:val="15"/>
                <w:color w:val="auto"/>
              </w:rPr>
              <w:t>11,627</w:t>
            </w:r>
          </w:p>
        </w:tc>
        <w:tc>
          <w:tcPr>
            <w:tcW w:w="120" w:type="dxa"/>
            <w:vAlign w:val="bottom"/>
          </w:tcPr>
          <w:p>
            <w:pPr>
              <w:spacing w:after="0"/>
              <w:rPr>
                <w:sz w:val="17"/>
                <w:szCs w:val="17"/>
                <w:color w:val="auto"/>
              </w:rPr>
            </w:pP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(460)</w:t>
            </w:r>
          </w:p>
        </w:tc>
        <w:tc>
          <w:tcPr>
            <w:tcW w:w="92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5"/>
                <w:szCs w:val="15"/>
                <w:color w:val="auto"/>
              </w:rPr>
              <w:t>189</w:t>
            </w:r>
          </w:p>
        </w:tc>
        <w:tc>
          <w:tcPr>
            <w:tcW w:w="920" w:type="dxa"/>
            <w:vAlign w:val="bottom"/>
          </w:tcPr>
          <w:p>
            <w:pPr>
              <w:jc w:val="right"/>
              <w:spacing w:after="0"/>
              <w:rPr>
                <w:sz w:val="20"/>
                <w:szCs w:val="20"/>
                <w:color w:val="auto"/>
              </w:rPr>
            </w:pPr>
            <w:r>
              <w:rPr>
                <w:rFonts w:ascii="Arial" w:cs="Arial" w:eastAsia="Arial" w:hAnsi="Arial"/>
                <w:sz w:val="15"/>
                <w:szCs w:val="15"/>
                <w:color w:val="auto"/>
              </w:rPr>
              <w:t>1,422</w:t>
            </w:r>
          </w:p>
        </w:tc>
        <w:tc>
          <w:tcPr>
            <w:tcW w:w="220" w:type="dxa"/>
            <w:vAlign w:val="bottom"/>
          </w:tcPr>
          <w:p>
            <w:pPr>
              <w:spacing w:after="0"/>
              <w:rPr>
                <w:sz w:val="17"/>
                <w:szCs w:val="17"/>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(449)</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color w:val="auto"/>
              </w:rPr>
              <w:t xml:space="preserve">Sales and other operating revenue </w:t>
            </w:r>
            <w:r>
              <w:rPr>
                <w:rFonts w:ascii="Arial" w:cs="Arial" w:eastAsia="Arial" w:hAnsi="Arial"/>
                <w:sz w:val="15"/>
                <w:szCs w:val="15"/>
                <w:i w:val="1"/>
                <w:iCs w:val="1"/>
                <w:color w:val="auto"/>
              </w:rPr>
              <w:t>(1)</w:t>
            </w:r>
          </w:p>
        </w:tc>
        <w:tc>
          <w:tcPr>
            <w:tcW w:w="1160" w:type="dxa"/>
            <w:vAlign w:val="bottom"/>
          </w:tcPr>
          <w:p>
            <w:pPr>
              <w:jc w:val="right"/>
              <w:ind w:right="87"/>
              <w:spacing w:after="0"/>
              <w:rPr>
                <w:sz w:val="20"/>
                <w:szCs w:val="20"/>
                <w:color w:val="auto"/>
              </w:rPr>
            </w:pPr>
            <w:r>
              <w:rPr>
                <w:rFonts w:ascii="Arial" w:cs="Arial" w:eastAsia="Arial" w:hAnsi="Arial"/>
                <w:sz w:val="15"/>
                <w:szCs w:val="15"/>
                <w:color w:val="auto"/>
              </w:rPr>
              <w:t>13,712</w:t>
            </w:r>
          </w:p>
        </w:tc>
        <w:tc>
          <w:tcPr>
            <w:tcW w:w="920" w:type="dxa"/>
            <w:vAlign w:val="bottom"/>
          </w:tcPr>
          <w:p>
            <w:pPr>
              <w:jc w:val="right"/>
              <w:spacing w:after="0"/>
              <w:rPr>
                <w:sz w:val="20"/>
                <w:szCs w:val="20"/>
                <w:color w:val="auto"/>
              </w:rPr>
            </w:pPr>
            <w:r>
              <w:rPr>
                <w:rFonts w:ascii="Arial" w:cs="Arial" w:eastAsia="Arial" w:hAnsi="Arial"/>
                <w:sz w:val="15"/>
                <w:szCs w:val="15"/>
                <w:color w:val="auto"/>
              </w:rPr>
              <w:t>25,349</w:t>
            </w:r>
          </w:p>
        </w:tc>
        <w:tc>
          <w:tcPr>
            <w:tcW w:w="120" w:type="dxa"/>
            <w:vAlign w:val="bottom"/>
          </w:tcPr>
          <w:p>
            <w:pPr>
              <w:spacing w:after="0"/>
              <w:rPr>
                <w:sz w:val="17"/>
                <w:szCs w:val="17"/>
                <w:color w:val="auto"/>
              </w:rPr>
            </w:pPr>
          </w:p>
        </w:tc>
        <w:tc>
          <w:tcPr>
            <w:tcW w:w="1180" w:type="dxa"/>
            <w:vAlign w:val="bottom"/>
          </w:tcPr>
          <w:p>
            <w:pPr>
              <w:jc w:val="right"/>
              <w:ind w:right="107"/>
              <w:spacing w:after="0"/>
              <w:rPr>
                <w:sz w:val="20"/>
                <w:szCs w:val="20"/>
                <w:color w:val="auto"/>
              </w:rPr>
            </w:pPr>
            <w:r>
              <w:rPr>
                <w:rFonts w:ascii="Arial" w:cs="Arial" w:eastAsia="Arial" w:hAnsi="Arial"/>
                <w:sz w:val="15"/>
                <w:szCs w:val="15"/>
                <w:color w:val="auto"/>
              </w:rPr>
              <w:t>123,802</w:t>
            </w:r>
          </w:p>
        </w:tc>
        <w:tc>
          <w:tcPr>
            <w:tcW w:w="920" w:type="dxa"/>
            <w:vAlign w:val="bottom"/>
          </w:tcPr>
          <w:p>
            <w:pPr>
              <w:jc w:val="right"/>
              <w:spacing w:after="0"/>
              <w:rPr>
                <w:sz w:val="20"/>
                <w:szCs w:val="20"/>
                <w:color w:val="auto"/>
              </w:rPr>
            </w:pPr>
            <w:r>
              <w:rPr>
                <w:rFonts w:ascii="Arial" w:cs="Arial" w:eastAsia="Arial" w:hAnsi="Arial"/>
                <w:sz w:val="15"/>
                <w:szCs w:val="15"/>
                <w:color w:val="auto"/>
              </w:rPr>
              <w:t>218,904</w:t>
            </w:r>
          </w:p>
        </w:tc>
        <w:tc>
          <w:tcPr>
            <w:tcW w:w="10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5"/>
                <w:szCs w:val="15"/>
                <w:color w:val="auto"/>
              </w:rPr>
              <w:t>15,295</w:t>
            </w:r>
          </w:p>
        </w:tc>
        <w:tc>
          <w:tcPr>
            <w:tcW w:w="920" w:type="dxa"/>
            <w:vAlign w:val="bottom"/>
          </w:tcPr>
          <w:p>
            <w:pPr>
              <w:jc w:val="right"/>
              <w:spacing w:after="0"/>
              <w:rPr>
                <w:sz w:val="20"/>
                <w:szCs w:val="20"/>
                <w:color w:val="auto"/>
              </w:rPr>
            </w:pPr>
            <w:r>
              <w:rPr>
                <w:rFonts w:ascii="Arial" w:cs="Arial" w:eastAsia="Arial" w:hAnsi="Arial"/>
                <w:sz w:val="15"/>
                <w:szCs w:val="15"/>
                <w:color w:val="auto"/>
              </w:rPr>
              <w:t>23,753</w:t>
            </w:r>
          </w:p>
        </w:tc>
        <w:tc>
          <w:tcPr>
            <w:tcW w:w="220" w:type="dxa"/>
            <w:vAlign w:val="bottom"/>
          </w:tcPr>
          <w:p>
            <w:pPr>
              <w:spacing w:after="0"/>
              <w:rPr>
                <w:sz w:val="17"/>
                <w:szCs w:val="17"/>
                <w:color w:val="auto"/>
              </w:rPr>
            </w:pPr>
          </w:p>
        </w:tc>
        <w:tc>
          <w:tcPr>
            <w:tcW w:w="980" w:type="dxa"/>
            <w:vAlign w:val="bottom"/>
          </w:tcPr>
          <w:p>
            <w:pPr>
              <w:jc w:val="right"/>
              <w:ind w:right="47"/>
              <w:spacing w:after="0"/>
              <w:rPr>
                <w:sz w:val="20"/>
                <w:szCs w:val="20"/>
                <w:color w:val="auto"/>
              </w:rPr>
            </w:pPr>
            <w:r>
              <w:rPr>
                <w:rFonts w:ascii="Arial" w:cs="Arial" w:eastAsia="Arial" w:hAnsi="Arial"/>
                <w:sz w:val="15"/>
                <w:szCs w:val="15"/>
                <w:color w:val="auto"/>
              </w:rPr>
              <w:t>21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color w:val="auto"/>
              </w:rPr>
              <w:t>Intersegment revenue</w:t>
            </w:r>
          </w:p>
        </w:tc>
        <w:tc>
          <w:tcPr>
            <w:tcW w:w="1160" w:type="dxa"/>
            <w:vAlign w:val="bottom"/>
          </w:tcPr>
          <w:p>
            <w:pPr>
              <w:jc w:val="right"/>
              <w:ind w:right="87"/>
              <w:spacing w:after="0"/>
              <w:rPr>
                <w:sz w:val="20"/>
                <w:szCs w:val="20"/>
                <w:color w:val="auto"/>
              </w:rPr>
            </w:pPr>
            <w:r>
              <w:rPr>
                <w:rFonts w:ascii="Arial" w:cs="Arial" w:eastAsia="Arial" w:hAnsi="Arial"/>
                <w:sz w:val="15"/>
                <w:szCs w:val="15"/>
                <w:color w:val="auto"/>
              </w:rPr>
              <w:t>8,343</w:t>
            </w:r>
          </w:p>
        </w:tc>
        <w:tc>
          <w:tcPr>
            <w:tcW w:w="920" w:type="dxa"/>
            <w:vAlign w:val="bottom"/>
          </w:tcPr>
          <w:p>
            <w:pPr>
              <w:jc w:val="right"/>
              <w:spacing w:after="0"/>
              <w:rPr>
                <w:sz w:val="20"/>
                <w:szCs w:val="20"/>
                <w:color w:val="auto"/>
              </w:rPr>
            </w:pPr>
            <w:r>
              <w:rPr>
                <w:rFonts w:ascii="Arial" w:cs="Arial" w:eastAsia="Arial" w:hAnsi="Arial"/>
                <w:sz w:val="15"/>
                <w:szCs w:val="15"/>
                <w:color w:val="auto"/>
              </w:rPr>
              <w:t>45,761</w:t>
            </w:r>
          </w:p>
        </w:tc>
        <w:tc>
          <w:tcPr>
            <w:tcW w:w="120" w:type="dxa"/>
            <w:vAlign w:val="bottom"/>
          </w:tcPr>
          <w:p>
            <w:pPr>
              <w:spacing w:after="0"/>
              <w:rPr>
                <w:sz w:val="17"/>
                <w:szCs w:val="17"/>
                <w:color w:val="auto"/>
              </w:rPr>
            </w:pPr>
          </w:p>
        </w:tc>
        <w:tc>
          <w:tcPr>
            <w:tcW w:w="1180" w:type="dxa"/>
            <w:vAlign w:val="bottom"/>
          </w:tcPr>
          <w:p>
            <w:pPr>
              <w:jc w:val="right"/>
              <w:ind w:right="107"/>
              <w:spacing w:after="0"/>
              <w:rPr>
                <w:sz w:val="20"/>
                <w:szCs w:val="20"/>
                <w:color w:val="auto"/>
              </w:rPr>
            </w:pPr>
            <w:r>
              <w:rPr>
                <w:rFonts w:ascii="Arial" w:cs="Arial" w:eastAsia="Arial" w:hAnsi="Arial"/>
                <w:sz w:val="15"/>
                <w:szCs w:val="15"/>
                <w:color w:val="auto"/>
              </w:rPr>
              <w:t>20,781</w:t>
            </w:r>
          </w:p>
        </w:tc>
        <w:tc>
          <w:tcPr>
            <w:tcW w:w="920" w:type="dxa"/>
            <w:vAlign w:val="bottom"/>
          </w:tcPr>
          <w:p>
            <w:pPr>
              <w:jc w:val="right"/>
              <w:spacing w:after="0"/>
              <w:rPr>
                <w:sz w:val="20"/>
                <w:szCs w:val="20"/>
                <w:color w:val="auto"/>
              </w:rPr>
            </w:pPr>
            <w:r>
              <w:rPr>
                <w:rFonts w:ascii="Arial" w:cs="Arial" w:eastAsia="Arial" w:hAnsi="Arial"/>
                <w:sz w:val="15"/>
                <w:szCs w:val="15"/>
                <w:color w:val="auto"/>
              </w:rPr>
              <w:t>52,624</w:t>
            </w:r>
          </w:p>
        </w:tc>
        <w:tc>
          <w:tcPr>
            <w:tcW w:w="10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5"/>
                <w:szCs w:val="15"/>
                <w:color w:val="auto"/>
              </w:rPr>
              <w:t>11,993</w:t>
            </w:r>
          </w:p>
        </w:tc>
        <w:tc>
          <w:tcPr>
            <w:tcW w:w="920" w:type="dxa"/>
            <w:vAlign w:val="bottom"/>
          </w:tcPr>
          <w:p>
            <w:pPr>
              <w:jc w:val="right"/>
              <w:spacing w:after="0"/>
              <w:rPr>
                <w:sz w:val="20"/>
                <w:szCs w:val="20"/>
                <w:color w:val="auto"/>
              </w:rPr>
            </w:pPr>
            <w:r>
              <w:rPr>
                <w:rFonts w:ascii="Arial" w:cs="Arial" w:eastAsia="Arial" w:hAnsi="Arial"/>
                <w:sz w:val="15"/>
                <w:szCs w:val="15"/>
                <w:color w:val="auto"/>
              </w:rPr>
              <w:t>8,232</w:t>
            </w:r>
          </w:p>
        </w:tc>
        <w:tc>
          <w:tcPr>
            <w:tcW w:w="220" w:type="dxa"/>
            <w:vAlign w:val="bottom"/>
          </w:tcPr>
          <w:p>
            <w:pPr>
              <w:spacing w:after="0"/>
              <w:rPr>
                <w:sz w:val="17"/>
                <w:szCs w:val="17"/>
                <w:color w:val="auto"/>
              </w:rPr>
            </w:pPr>
          </w:p>
        </w:tc>
        <w:tc>
          <w:tcPr>
            <w:tcW w:w="980" w:type="dxa"/>
            <w:vAlign w:val="bottom"/>
          </w:tcPr>
          <w:p>
            <w:pPr>
              <w:jc w:val="right"/>
              <w:ind w:right="47"/>
              <w:spacing w:after="0"/>
              <w:rPr>
                <w:sz w:val="20"/>
                <w:szCs w:val="20"/>
                <w:color w:val="auto"/>
              </w:rPr>
            </w:pPr>
            <w:r>
              <w:rPr>
                <w:rFonts w:ascii="Arial" w:cs="Arial" w:eastAsia="Arial" w:hAnsi="Arial"/>
                <w:sz w:val="15"/>
                <w:szCs w:val="15"/>
                <w:color w:val="auto"/>
              </w:rPr>
              <w:t>285</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color w:val="auto"/>
              </w:rPr>
              <w:t>Depreciation and depletion expense</w:t>
            </w:r>
          </w:p>
        </w:tc>
        <w:tc>
          <w:tcPr>
            <w:tcW w:w="1160" w:type="dxa"/>
            <w:vAlign w:val="bottom"/>
          </w:tcPr>
          <w:p>
            <w:pPr>
              <w:jc w:val="right"/>
              <w:ind w:right="87"/>
              <w:spacing w:after="0"/>
              <w:rPr>
                <w:sz w:val="20"/>
                <w:szCs w:val="20"/>
                <w:color w:val="auto"/>
              </w:rPr>
            </w:pPr>
            <w:r>
              <w:rPr>
                <w:rFonts w:ascii="Arial" w:cs="Arial" w:eastAsia="Arial" w:hAnsi="Arial"/>
                <w:sz w:val="15"/>
                <w:szCs w:val="15"/>
                <w:color w:val="auto"/>
              </w:rPr>
              <w:t>5,170</w:t>
            </w:r>
          </w:p>
        </w:tc>
        <w:tc>
          <w:tcPr>
            <w:tcW w:w="920" w:type="dxa"/>
            <w:vAlign w:val="bottom"/>
          </w:tcPr>
          <w:p>
            <w:pPr>
              <w:jc w:val="right"/>
              <w:spacing w:after="0"/>
              <w:rPr>
                <w:sz w:val="20"/>
                <w:szCs w:val="20"/>
                <w:color w:val="auto"/>
              </w:rPr>
            </w:pPr>
            <w:r>
              <w:rPr>
                <w:rFonts w:ascii="Arial" w:cs="Arial" w:eastAsia="Arial" w:hAnsi="Arial"/>
                <w:sz w:val="15"/>
                <w:szCs w:val="15"/>
                <w:color w:val="auto"/>
              </w:rPr>
              <w:t>8,277</w:t>
            </w:r>
          </w:p>
        </w:tc>
        <w:tc>
          <w:tcPr>
            <w:tcW w:w="120" w:type="dxa"/>
            <w:vAlign w:val="bottom"/>
          </w:tcPr>
          <w:p>
            <w:pPr>
              <w:spacing w:after="0"/>
              <w:rPr>
                <w:sz w:val="17"/>
                <w:szCs w:val="17"/>
                <w:color w:val="auto"/>
              </w:rPr>
            </w:pPr>
          </w:p>
        </w:tc>
        <w:tc>
          <w:tcPr>
            <w:tcW w:w="1180" w:type="dxa"/>
            <w:vAlign w:val="bottom"/>
          </w:tcPr>
          <w:p>
            <w:pPr>
              <w:jc w:val="right"/>
              <w:ind w:right="107"/>
              <w:spacing w:after="0"/>
              <w:rPr>
                <w:sz w:val="20"/>
                <w:szCs w:val="20"/>
                <w:color w:val="auto"/>
              </w:rPr>
            </w:pPr>
            <w:r>
              <w:rPr>
                <w:rFonts w:ascii="Arial" w:cs="Arial" w:eastAsia="Arial" w:hAnsi="Arial"/>
                <w:sz w:val="15"/>
                <w:szCs w:val="15"/>
                <w:color w:val="auto"/>
              </w:rPr>
              <w:t>633</w:t>
            </w:r>
          </w:p>
        </w:tc>
        <w:tc>
          <w:tcPr>
            <w:tcW w:w="920" w:type="dxa"/>
            <w:vAlign w:val="bottom"/>
          </w:tcPr>
          <w:p>
            <w:pPr>
              <w:jc w:val="right"/>
              <w:spacing w:after="0"/>
              <w:rPr>
                <w:sz w:val="20"/>
                <w:szCs w:val="20"/>
                <w:color w:val="auto"/>
              </w:rPr>
            </w:pPr>
            <w:r>
              <w:rPr>
                <w:rFonts w:ascii="Arial" w:cs="Arial" w:eastAsia="Arial" w:hAnsi="Arial"/>
                <w:sz w:val="15"/>
                <w:szCs w:val="15"/>
                <w:color w:val="auto"/>
              </w:rPr>
              <w:t>1,390</w:t>
            </w:r>
          </w:p>
        </w:tc>
        <w:tc>
          <w:tcPr>
            <w:tcW w:w="10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5"/>
                <w:szCs w:val="15"/>
                <w:color w:val="auto"/>
              </w:rPr>
              <w:t>378</w:t>
            </w:r>
          </w:p>
        </w:tc>
        <w:tc>
          <w:tcPr>
            <w:tcW w:w="920" w:type="dxa"/>
            <w:vAlign w:val="bottom"/>
          </w:tcPr>
          <w:p>
            <w:pPr>
              <w:jc w:val="right"/>
              <w:spacing w:after="0"/>
              <w:rPr>
                <w:sz w:val="20"/>
                <w:szCs w:val="20"/>
                <w:color w:val="auto"/>
              </w:rPr>
            </w:pPr>
            <w:r>
              <w:rPr>
                <w:rFonts w:ascii="Arial" w:cs="Arial" w:eastAsia="Arial" w:hAnsi="Arial"/>
                <w:sz w:val="15"/>
                <w:szCs w:val="15"/>
                <w:color w:val="auto"/>
              </w:rPr>
              <w:t>632</w:t>
            </w:r>
          </w:p>
        </w:tc>
        <w:tc>
          <w:tcPr>
            <w:tcW w:w="220" w:type="dxa"/>
            <w:vAlign w:val="bottom"/>
          </w:tcPr>
          <w:p>
            <w:pPr>
              <w:spacing w:after="0"/>
              <w:rPr>
                <w:sz w:val="17"/>
                <w:szCs w:val="17"/>
                <w:color w:val="auto"/>
              </w:rPr>
            </w:pPr>
          </w:p>
        </w:tc>
        <w:tc>
          <w:tcPr>
            <w:tcW w:w="980" w:type="dxa"/>
            <w:vAlign w:val="bottom"/>
          </w:tcPr>
          <w:p>
            <w:pPr>
              <w:jc w:val="right"/>
              <w:ind w:right="47"/>
              <w:spacing w:after="0"/>
              <w:rPr>
                <w:sz w:val="20"/>
                <w:szCs w:val="20"/>
                <w:color w:val="auto"/>
              </w:rPr>
            </w:pPr>
            <w:r>
              <w:rPr>
                <w:rFonts w:ascii="Arial" w:cs="Arial" w:eastAsia="Arial" w:hAnsi="Arial"/>
                <w:sz w:val="15"/>
                <w:szCs w:val="15"/>
                <w:color w:val="auto"/>
              </w:rPr>
              <w:t>702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color w:val="auto"/>
              </w:rPr>
              <w:t>Interest revenue</w:t>
            </w:r>
          </w:p>
        </w:tc>
        <w:tc>
          <w:tcPr>
            <w:tcW w:w="116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8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2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80" w:type="dxa"/>
            <w:vAlign w:val="bottom"/>
          </w:tcPr>
          <w:p>
            <w:pPr>
              <w:jc w:val="right"/>
              <w:ind w:right="47"/>
              <w:spacing w:after="0"/>
              <w:rPr>
                <w:sz w:val="20"/>
                <w:szCs w:val="20"/>
                <w:color w:val="auto"/>
              </w:rPr>
            </w:pPr>
            <w:r>
              <w:rPr>
                <w:rFonts w:ascii="Arial" w:cs="Arial" w:eastAsia="Arial" w:hAnsi="Arial"/>
                <w:sz w:val="15"/>
                <w:szCs w:val="15"/>
                <w:color w:val="auto"/>
              </w:rPr>
              <w:t>87</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color w:val="auto"/>
              </w:rPr>
              <w:t>Interest expense</w:t>
            </w:r>
          </w:p>
        </w:tc>
        <w:tc>
          <w:tcPr>
            <w:tcW w:w="1160" w:type="dxa"/>
            <w:vAlign w:val="bottom"/>
          </w:tcPr>
          <w:p>
            <w:pPr>
              <w:jc w:val="right"/>
              <w:ind w:right="87"/>
              <w:spacing w:after="0"/>
              <w:rPr>
                <w:sz w:val="20"/>
                <w:szCs w:val="20"/>
                <w:color w:val="auto"/>
              </w:rPr>
            </w:pPr>
            <w:r>
              <w:rPr>
                <w:rFonts w:ascii="Arial" w:cs="Arial" w:eastAsia="Arial" w:hAnsi="Arial"/>
                <w:sz w:val="15"/>
                <w:szCs w:val="15"/>
                <w:color w:val="auto"/>
              </w:rPr>
              <w:t>30</w:t>
            </w:r>
          </w:p>
        </w:tc>
        <w:tc>
          <w:tcPr>
            <w:tcW w:w="920" w:type="dxa"/>
            <w:vAlign w:val="bottom"/>
          </w:tcPr>
          <w:p>
            <w:pPr>
              <w:jc w:val="right"/>
              <w:spacing w:after="0"/>
              <w:rPr>
                <w:sz w:val="20"/>
                <w:szCs w:val="20"/>
                <w:color w:val="auto"/>
              </w:rPr>
            </w:pPr>
            <w:r>
              <w:rPr>
                <w:rFonts w:ascii="Arial" w:cs="Arial" w:eastAsia="Arial" w:hAnsi="Arial"/>
                <w:sz w:val="15"/>
                <w:szCs w:val="15"/>
                <w:color w:val="auto"/>
              </w:rPr>
              <w:t>26</w:t>
            </w:r>
          </w:p>
        </w:tc>
        <w:tc>
          <w:tcPr>
            <w:tcW w:w="120" w:type="dxa"/>
            <w:vAlign w:val="bottom"/>
          </w:tcPr>
          <w:p>
            <w:pPr>
              <w:spacing w:after="0"/>
              <w:rPr>
                <w:sz w:val="17"/>
                <w:szCs w:val="17"/>
                <w:color w:val="auto"/>
              </w:rPr>
            </w:pPr>
          </w:p>
        </w:tc>
        <w:tc>
          <w:tcPr>
            <w:tcW w:w="1180" w:type="dxa"/>
            <w:vAlign w:val="bottom"/>
          </w:tcPr>
          <w:p>
            <w:pPr>
              <w:jc w:val="right"/>
              <w:ind w:right="107"/>
              <w:spacing w:after="0"/>
              <w:rPr>
                <w:sz w:val="20"/>
                <w:szCs w:val="20"/>
                <w:color w:val="auto"/>
              </w:rPr>
            </w:pPr>
            <w:r>
              <w:rPr>
                <w:rFonts w:ascii="Arial" w:cs="Arial" w:eastAsia="Arial" w:hAnsi="Arial"/>
                <w:sz w:val="15"/>
                <w:szCs w:val="15"/>
                <w:color w:val="auto"/>
              </w:rPr>
              <w:t>7</w:t>
            </w:r>
          </w:p>
        </w:tc>
        <w:tc>
          <w:tcPr>
            <w:tcW w:w="92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1120" w:type="dxa"/>
            <w:vAlign w:val="bottom"/>
          </w:tcPr>
          <w:p>
            <w:pPr>
              <w:jc w:val="right"/>
              <w:ind w:right="147"/>
              <w:spacing w:after="0"/>
              <w:rPr>
                <w:sz w:val="20"/>
                <w:szCs w:val="20"/>
                <w:color w:val="auto"/>
              </w:rPr>
            </w:pPr>
            <w:r>
              <w:rPr>
                <w:rFonts w:ascii="Arial" w:cs="Arial" w:eastAsia="Arial" w:hAnsi="Arial"/>
                <w:sz w:val="15"/>
                <w:szCs w:val="15"/>
                <w:color w:val="auto"/>
              </w:rPr>
              <w:t>1</w:t>
            </w: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(63)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color w:val="auto"/>
              </w:rPr>
              <w:t>Income taxes</w:t>
            </w:r>
          </w:p>
        </w:tc>
        <w:tc>
          <w:tcPr>
            <w:tcW w:w="1160" w:type="dxa"/>
            <w:vAlign w:val="bottom"/>
          </w:tcPr>
          <w:p>
            <w:pPr>
              <w:jc w:val="right"/>
              <w:ind w:right="87"/>
              <w:spacing w:after="0"/>
              <w:rPr>
                <w:sz w:val="20"/>
                <w:szCs w:val="20"/>
                <w:color w:val="auto"/>
              </w:rPr>
            </w:pPr>
            <w:r>
              <w:rPr>
                <w:rFonts w:ascii="Arial" w:cs="Arial" w:eastAsia="Arial" w:hAnsi="Arial"/>
                <w:sz w:val="15"/>
                <w:szCs w:val="15"/>
                <w:color w:val="auto"/>
              </w:rPr>
              <w:t>2,197</w:t>
            </w:r>
          </w:p>
        </w:tc>
        <w:tc>
          <w:tcPr>
            <w:tcW w:w="920" w:type="dxa"/>
            <w:vAlign w:val="bottom"/>
          </w:tcPr>
          <w:p>
            <w:pPr>
              <w:jc w:val="right"/>
              <w:spacing w:after="0"/>
              <w:rPr>
                <w:sz w:val="20"/>
                <w:szCs w:val="20"/>
                <w:color w:val="auto"/>
              </w:rPr>
            </w:pPr>
            <w:r>
              <w:rPr>
                <w:rFonts w:ascii="Arial" w:cs="Arial" w:eastAsia="Arial" w:hAnsi="Arial"/>
                <w:sz w:val="15"/>
                <w:szCs w:val="15"/>
                <w:color w:val="auto"/>
              </w:rPr>
              <w:t>21,554</w:t>
            </w:r>
          </w:p>
        </w:tc>
        <w:tc>
          <w:tcPr>
            <w:tcW w:w="120" w:type="dxa"/>
            <w:vAlign w:val="bottom"/>
          </w:tcPr>
          <w:p>
            <w:pPr>
              <w:spacing w:after="0"/>
              <w:rPr>
                <w:sz w:val="17"/>
                <w:szCs w:val="17"/>
                <w:color w:val="auto"/>
              </w:rPr>
            </w:pPr>
          </w:p>
        </w:tc>
        <w:tc>
          <w:tcPr>
            <w:tcW w:w="1180" w:type="dxa"/>
            <w:vAlign w:val="bottom"/>
          </w:tcPr>
          <w:p>
            <w:pPr>
              <w:jc w:val="right"/>
              <w:ind w:right="107"/>
              <w:spacing w:after="0"/>
              <w:rPr>
                <w:sz w:val="20"/>
                <w:szCs w:val="20"/>
                <w:color w:val="auto"/>
              </w:rPr>
            </w:pPr>
            <w:r>
              <w:rPr>
                <w:rFonts w:ascii="Arial" w:cs="Arial" w:eastAsia="Arial" w:hAnsi="Arial"/>
                <w:sz w:val="15"/>
                <w:szCs w:val="15"/>
                <w:color w:val="auto"/>
              </w:rPr>
              <w:t>721</w:t>
            </w:r>
          </w:p>
        </w:tc>
        <w:tc>
          <w:tcPr>
            <w:tcW w:w="920" w:type="dxa"/>
            <w:vAlign w:val="bottom"/>
          </w:tcPr>
          <w:p>
            <w:pPr>
              <w:jc w:val="right"/>
              <w:spacing w:after="0"/>
              <w:rPr>
                <w:sz w:val="20"/>
                <w:szCs w:val="20"/>
                <w:color w:val="auto"/>
              </w:rPr>
            </w:pPr>
            <w:r>
              <w:rPr>
                <w:rFonts w:ascii="Arial" w:cs="Arial" w:eastAsia="Arial" w:hAnsi="Arial"/>
                <w:sz w:val="15"/>
                <w:szCs w:val="15"/>
                <w:color w:val="auto"/>
              </w:rPr>
              <w:t>481</w:t>
            </w:r>
          </w:p>
        </w:tc>
        <w:tc>
          <w:tcPr>
            <w:tcW w:w="10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5"/>
                <w:szCs w:val="15"/>
                <w:color w:val="auto"/>
              </w:rPr>
              <w:t>989</w:t>
            </w:r>
          </w:p>
        </w:tc>
        <w:tc>
          <w:tcPr>
            <w:tcW w:w="920" w:type="dxa"/>
            <w:vAlign w:val="bottom"/>
          </w:tcPr>
          <w:p>
            <w:pPr>
              <w:jc w:val="right"/>
              <w:spacing w:after="0"/>
              <w:rPr>
                <w:sz w:val="20"/>
                <w:szCs w:val="20"/>
                <w:color w:val="auto"/>
              </w:rPr>
            </w:pPr>
            <w:r>
              <w:rPr>
                <w:rFonts w:ascii="Arial" w:cs="Arial" w:eastAsia="Arial" w:hAnsi="Arial"/>
                <w:sz w:val="15"/>
                <w:szCs w:val="15"/>
                <w:color w:val="auto"/>
              </w:rPr>
              <w:t>363</w:t>
            </w:r>
          </w:p>
        </w:tc>
        <w:tc>
          <w:tcPr>
            <w:tcW w:w="220" w:type="dxa"/>
            <w:vAlign w:val="bottom"/>
          </w:tcPr>
          <w:p>
            <w:pPr>
              <w:spacing w:after="0"/>
              <w:rPr>
                <w:sz w:val="17"/>
                <w:szCs w:val="17"/>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(2,042)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color w:val="auto"/>
              </w:rPr>
              <w:t>Additions to property, plant and equipment</w:t>
            </w:r>
          </w:p>
        </w:tc>
        <w:tc>
          <w:tcPr>
            <w:tcW w:w="1160" w:type="dxa"/>
            <w:vAlign w:val="bottom"/>
          </w:tcPr>
          <w:p>
            <w:pPr>
              <w:jc w:val="right"/>
              <w:ind w:right="87"/>
              <w:spacing w:after="0"/>
              <w:rPr>
                <w:sz w:val="20"/>
                <w:szCs w:val="20"/>
                <w:color w:val="auto"/>
              </w:rPr>
            </w:pPr>
            <w:r>
              <w:rPr>
                <w:rFonts w:ascii="Arial" w:cs="Arial" w:eastAsia="Arial" w:hAnsi="Arial"/>
                <w:sz w:val="15"/>
                <w:szCs w:val="15"/>
                <w:color w:val="auto"/>
              </w:rPr>
              <w:t>7,480</w:t>
            </w:r>
          </w:p>
        </w:tc>
        <w:tc>
          <w:tcPr>
            <w:tcW w:w="920" w:type="dxa"/>
            <w:vAlign w:val="bottom"/>
          </w:tcPr>
          <w:p>
            <w:pPr>
              <w:jc w:val="right"/>
              <w:spacing w:after="0"/>
              <w:rPr>
                <w:sz w:val="20"/>
                <w:szCs w:val="20"/>
                <w:color w:val="auto"/>
              </w:rPr>
            </w:pPr>
            <w:r>
              <w:rPr>
                <w:rFonts w:ascii="Arial" w:cs="Arial" w:eastAsia="Arial" w:hAnsi="Arial"/>
                <w:sz w:val="15"/>
                <w:szCs w:val="15"/>
                <w:color w:val="auto"/>
              </w:rPr>
              <w:t>26,075</w:t>
            </w:r>
          </w:p>
        </w:tc>
        <w:tc>
          <w:tcPr>
            <w:tcW w:w="120" w:type="dxa"/>
            <w:vAlign w:val="bottom"/>
          </w:tcPr>
          <w:p>
            <w:pPr>
              <w:spacing w:after="0"/>
              <w:rPr>
                <w:sz w:val="17"/>
                <w:szCs w:val="17"/>
                <w:color w:val="auto"/>
              </w:rPr>
            </w:pPr>
          </w:p>
        </w:tc>
        <w:tc>
          <w:tcPr>
            <w:tcW w:w="1180" w:type="dxa"/>
            <w:vAlign w:val="bottom"/>
          </w:tcPr>
          <w:p>
            <w:pPr>
              <w:jc w:val="right"/>
              <w:ind w:right="107"/>
              <w:spacing w:after="0"/>
              <w:rPr>
                <w:sz w:val="20"/>
                <w:szCs w:val="20"/>
                <w:color w:val="auto"/>
              </w:rPr>
            </w:pPr>
            <w:r>
              <w:rPr>
                <w:rFonts w:ascii="Arial" w:cs="Arial" w:eastAsia="Arial" w:hAnsi="Arial"/>
                <w:sz w:val="15"/>
                <w:szCs w:val="15"/>
                <w:color w:val="auto"/>
              </w:rPr>
              <w:t>616</w:t>
            </w:r>
          </w:p>
        </w:tc>
        <w:tc>
          <w:tcPr>
            <w:tcW w:w="920" w:type="dxa"/>
            <w:vAlign w:val="bottom"/>
          </w:tcPr>
          <w:p>
            <w:pPr>
              <w:jc w:val="right"/>
              <w:spacing w:after="0"/>
              <w:rPr>
                <w:sz w:val="20"/>
                <w:szCs w:val="20"/>
                <w:color w:val="auto"/>
              </w:rPr>
            </w:pPr>
            <w:r>
              <w:rPr>
                <w:rFonts w:ascii="Arial" w:cs="Arial" w:eastAsia="Arial" w:hAnsi="Arial"/>
                <w:sz w:val="15"/>
                <w:szCs w:val="15"/>
                <w:color w:val="auto"/>
              </w:rPr>
              <w:t>1,072</w:t>
            </w:r>
          </w:p>
        </w:tc>
        <w:tc>
          <w:tcPr>
            <w:tcW w:w="10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5"/>
                <w:szCs w:val="15"/>
                <w:color w:val="auto"/>
              </w:rPr>
              <w:t>840</w:t>
            </w:r>
          </w:p>
        </w:tc>
        <w:tc>
          <w:tcPr>
            <w:tcW w:w="920" w:type="dxa"/>
            <w:vAlign w:val="bottom"/>
          </w:tcPr>
          <w:p>
            <w:pPr>
              <w:jc w:val="right"/>
              <w:spacing w:after="0"/>
              <w:rPr>
                <w:sz w:val="20"/>
                <w:szCs w:val="20"/>
                <w:color w:val="auto"/>
              </w:rPr>
            </w:pPr>
            <w:r>
              <w:rPr>
                <w:rFonts w:ascii="Arial" w:cs="Arial" w:eastAsia="Arial" w:hAnsi="Arial"/>
                <w:sz w:val="15"/>
                <w:szCs w:val="15"/>
                <w:color w:val="auto"/>
              </w:rPr>
              <w:t>272</w:t>
            </w:r>
          </w:p>
        </w:tc>
        <w:tc>
          <w:tcPr>
            <w:tcW w:w="220" w:type="dxa"/>
            <w:vAlign w:val="bottom"/>
          </w:tcPr>
          <w:p>
            <w:pPr>
              <w:spacing w:after="0"/>
              <w:rPr>
                <w:sz w:val="17"/>
                <w:szCs w:val="17"/>
                <w:color w:val="auto"/>
              </w:rPr>
            </w:pPr>
          </w:p>
        </w:tc>
        <w:tc>
          <w:tcPr>
            <w:tcW w:w="980" w:type="dxa"/>
            <w:vAlign w:val="bottom"/>
          </w:tcPr>
          <w:p>
            <w:pPr>
              <w:jc w:val="right"/>
              <w:ind w:right="47"/>
              <w:spacing w:after="0"/>
              <w:rPr>
                <w:sz w:val="20"/>
                <w:szCs w:val="20"/>
                <w:color w:val="auto"/>
              </w:rPr>
            </w:pPr>
            <w:r>
              <w:rPr>
                <w:rFonts w:ascii="Arial" w:cs="Arial" w:eastAsia="Arial" w:hAnsi="Arial"/>
                <w:sz w:val="15"/>
                <w:szCs w:val="15"/>
                <w:color w:val="auto"/>
              </w:rPr>
              <w:t>1,386</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color w:val="auto"/>
              </w:rPr>
              <w:t>Investments in equity companies</w:t>
            </w:r>
          </w:p>
        </w:tc>
        <w:tc>
          <w:tcPr>
            <w:tcW w:w="1160" w:type="dxa"/>
            <w:vAlign w:val="bottom"/>
          </w:tcPr>
          <w:p>
            <w:pPr>
              <w:jc w:val="right"/>
              <w:ind w:right="87"/>
              <w:spacing w:after="0"/>
              <w:rPr>
                <w:sz w:val="20"/>
                <w:szCs w:val="20"/>
                <w:color w:val="auto"/>
              </w:rPr>
            </w:pPr>
            <w:r>
              <w:rPr>
                <w:rFonts w:ascii="Arial" w:cs="Arial" w:eastAsia="Arial" w:hAnsi="Arial"/>
                <w:sz w:val="15"/>
                <w:szCs w:val="15"/>
                <w:color w:val="auto"/>
              </w:rPr>
              <w:t>4,975</w:t>
            </w:r>
          </w:p>
        </w:tc>
        <w:tc>
          <w:tcPr>
            <w:tcW w:w="920" w:type="dxa"/>
            <w:vAlign w:val="bottom"/>
          </w:tcPr>
          <w:p>
            <w:pPr>
              <w:jc w:val="right"/>
              <w:spacing w:after="0"/>
              <w:rPr>
                <w:sz w:val="20"/>
                <w:szCs w:val="20"/>
                <w:color w:val="auto"/>
              </w:rPr>
            </w:pPr>
            <w:r>
              <w:rPr>
                <w:rFonts w:ascii="Arial" w:cs="Arial" w:eastAsia="Arial" w:hAnsi="Arial"/>
                <w:sz w:val="15"/>
                <w:szCs w:val="15"/>
                <w:color w:val="auto"/>
              </w:rPr>
              <w:t>9,740</w:t>
            </w:r>
          </w:p>
        </w:tc>
        <w:tc>
          <w:tcPr>
            <w:tcW w:w="120" w:type="dxa"/>
            <w:vAlign w:val="bottom"/>
          </w:tcPr>
          <w:p>
            <w:pPr>
              <w:spacing w:after="0"/>
              <w:rPr>
                <w:sz w:val="17"/>
                <w:szCs w:val="17"/>
                <w:color w:val="auto"/>
              </w:rPr>
            </w:pPr>
          </w:p>
        </w:tc>
        <w:tc>
          <w:tcPr>
            <w:tcW w:w="1180" w:type="dxa"/>
            <w:vAlign w:val="bottom"/>
          </w:tcPr>
          <w:p>
            <w:pPr>
              <w:jc w:val="right"/>
              <w:ind w:right="107"/>
              <w:spacing w:after="0"/>
              <w:rPr>
                <w:sz w:val="20"/>
                <w:szCs w:val="20"/>
                <w:color w:val="auto"/>
              </w:rPr>
            </w:pPr>
            <w:r>
              <w:rPr>
                <w:rFonts w:ascii="Arial" w:cs="Arial" w:eastAsia="Arial" w:hAnsi="Arial"/>
                <w:sz w:val="15"/>
                <w:szCs w:val="15"/>
                <w:color w:val="auto"/>
              </w:rPr>
              <w:t>62</w:t>
            </w:r>
          </w:p>
        </w:tc>
        <w:tc>
          <w:tcPr>
            <w:tcW w:w="920" w:type="dxa"/>
            <w:vAlign w:val="bottom"/>
          </w:tcPr>
          <w:p>
            <w:pPr>
              <w:jc w:val="right"/>
              <w:spacing w:after="0"/>
              <w:rPr>
                <w:sz w:val="20"/>
                <w:szCs w:val="20"/>
                <w:color w:val="auto"/>
              </w:rPr>
            </w:pPr>
            <w:r>
              <w:rPr>
                <w:rFonts w:ascii="Arial" w:cs="Arial" w:eastAsia="Arial" w:hAnsi="Arial"/>
                <w:sz w:val="15"/>
                <w:szCs w:val="15"/>
                <w:color w:val="auto"/>
              </w:rPr>
              <w:t>1,749</w:t>
            </w:r>
          </w:p>
        </w:tc>
        <w:tc>
          <w:tcPr>
            <w:tcW w:w="10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5"/>
                <w:szCs w:val="15"/>
                <w:color w:val="auto"/>
              </w:rPr>
              <w:t>217</w:t>
            </w:r>
          </w:p>
        </w:tc>
        <w:tc>
          <w:tcPr>
            <w:tcW w:w="920" w:type="dxa"/>
            <w:vAlign w:val="bottom"/>
          </w:tcPr>
          <w:p>
            <w:pPr>
              <w:jc w:val="right"/>
              <w:spacing w:after="0"/>
              <w:rPr>
                <w:sz w:val="20"/>
                <w:szCs w:val="20"/>
                <w:color w:val="auto"/>
              </w:rPr>
            </w:pPr>
            <w:r>
              <w:rPr>
                <w:rFonts w:ascii="Arial" w:cs="Arial" w:eastAsia="Arial" w:hAnsi="Arial"/>
                <w:sz w:val="15"/>
                <w:szCs w:val="15"/>
                <w:color w:val="auto"/>
              </w:rPr>
              <w:t>3,103</w:t>
            </w:r>
          </w:p>
        </w:tc>
        <w:tc>
          <w:tcPr>
            <w:tcW w:w="220" w:type="dxa"/>
            <w:vAlign w:val="bottom"/>
          </w:tcPr>
          <w:p>
            <w:pPr>
              <w:spacing w:after="0"/>
              <w:rPr>
                <w:sz w:val="17"/>
                <w:szCs w:val="17"/>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(227)</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80" w:type="dxa"/>
            <w:vAlign w:val="bottom"/>
          </w:tcPr>
          <w:p>
            <w:pPr>
              <w:spacing w:after="0"/>
              <w:rPr>
                <w:sz w:val="20"/>
                <w:szCs w:val="20"/>
                <w:color w:val="auto"/>
              </w:rPr>
            </w:pPr>
            <w:r>
              <w:rPr>
                <w:rFonts w:ascii="Arial" w:cs="Arial" w:eastAsia="Arial" w:hAnsi="Arial"/>
                <w:sz w:val="15"/>
                <w:szCs w:val="15"/>
                <w:color w:val="auto"/>
              </w:rPr>
              <w:t>Total assets</w:t>
            </w:r>
          </w:p>
        </w:tc>
        <w:tc>
          <w:tcPr>
            <w:tcW w:w="116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88,698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157,465</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19,261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40,661</w:t>
            </w: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7,816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19,659</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13,248</w:t>
            </w:r>
          </w:p>
        </w:tc>
        <w:tc>
          <w:tcPr>
            <w:tcW w:w="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5"/>
        </w:trPr>
        <w:tc>
          <w:tcPr>
            <w:tcW w:w="2980" w:type="dxa"/>
            <w:vAlign w:val="bottom"/>
          </w:tcPr>
          <w:p>
            <w:pPr>
              <w:spacing w:after="0"/>
              <w:rPr>
                <w:sz w:val="20"/>
                <w:szCs w:val="20"/>
                <w:color w:val="auto"/>
              </w:rPr>
            </w:pPr>
            <w:r>
              <w:rPr>
                <w:rFonts w:ascii="Arial" w:cs="Arial" w:eastAsia="Arial" w:hAnsi="Arial"/>
                <w:sz w:val="15"/>
                <w:szCs w:val="15"/>
                <w:color w:val="auto"/>
              </w:rPr>
              <w:t>As of December 31, 2012</w:t>
            </w: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color w:val="auto"/>
              </w:rPr>
              <w:t>Earnings after income tax</w:t>
            </w:r>
          </w:p>
        </w:tc>
        <w:tc>
          <w:tcPr>
            <w:tcW w:w="1160" w:type="dxa"/>
            <w:vAlign w:val="bottom"/>
          </w:tcPr>
          <w:p>
            <w:pPr>
              <w:jc w:val="right"/>
              <w:ind w:right="87"/>
              <w:spacing w:after="0"/>
              <w:rPr>
                <w:sz w:val="20"/>
                <w:szCs w:val="20"/>
                <w:color w:val="auto"/>
              </w:rPr>
            </w:pPr>
            <w:r>
              <w:rPr>
                <w:rFonts w:ascii="Arial" w:cs="Arial" w:eastAsia="Arial" w:hAnsi="Arial"/>
                <w:sz w:val="15"/>
                <w:szCs w:val="15"/>
                <w:color w:val="auto"/>
              </w:rPr>
              <w:t>3,925</w:t>
            </w:r>
          </w:p>
        </w:tc>
        <w:tc>
          <w:tcPr>
            <w:tcW w:w="920" w:type="dxa"/>
            <w:vAlign w:val="bottom"/>
          </w:tcPr>
          <w:p>
            <w:pPr>
              <w:jc w:val="right"/>
              <w:spacing w:after="0"/>
              <w:rPr>
                <w:sz w:val="20"/>
                <w:szCs w:val="20"/>
                <w:color w:val="auto"/>
              </w:rPr>
            </w:pPr>
            <w:r>
              <w:rPr>
                <w:rFonts w:ascii="Arial" w:cs="Arial" w:eastAsia="Arial" w:hAnsi="Arial"/>
                <w:sz w:val="15"/>
                <w:szCs w:val="15"/>
                <w:color w:val="auto"/>
              </w:rPr>
              <w:t>25,970</w:t>
            </w:r>
          </w:p>
        </w:tc>
        <w:tc>
          <w:tcPr>
            <w:tcW w:w="120" w:type="dxa"/>
            <w:vAlign w:val="bottom"/>
          </w:tcPr>
          <w:p>
            <w:pPr>
              <w:spacing w:after="0"/>
              <w:rPr>
                <w:sz w:val="17"/>
                <w:szCs w:val="17"/>
                <w:color w:val="auto"/>
              </w:rPr>
            </w:pPr>
          </w:p>
        </w:tc>
        <w:tc>
          <w:tcPr>
            <w:tcW w:w="1180" w:type="dxa"/>
            <w:vAlign w:val="bottom"/>
          </w:tcPr>
          <w:p>
            <w:pPr>
              <w:jc w:val="right"/>
              <w:ind w:right="107"/>
              <w:spacing w:after="0"/>
              <w:rPr>
                <w:sz w:val="20"/>
                <w:szCs w:val="20"/>
                <w:color w:val="auto"/>
              </w:rPr>
            </w:pPr>
            <w:r>
              <w:rPr>
                <w:rFonts w:ascii="Arial" w:cs="Arial" w:eastAsia="Arial" w:hAnsi="Arial"/>
                <w:sz w:val="15"/>
                <w:szCs w:val="15"/>
                <w:color w:val="auto"/>
              </w:rPr>
              <w:t>3,575</w:t>
            </w:r>
          </w:p>
        </w:tc>
        <w:tc>
          <w:tcPr>
            <w:tcW w:w="920" w:type="dxa"/>
            <w:vAlign w:val="bottom"/>
          </w:tcPr>
          <w:p>
            <w:pPr>
              <w:jc w:val="right"/>
              <w:spacing w:after="0"/>
              <w:rPr>
                <w:sz w:val="20"/>
                <w:szCs w:val="20"/>
                <w:color w:val="auto"/>
              </w:rPr>
            </w:pPr>
            <w:r>
              <w:rPr>
                <w:rFonts w:ascii="Arial" w:cs="Arial" w:eastAsia="Arial" w:hAnsi="Arial"/>
                <w:sz w:val="15"/>
                <w:szCs w:val="15"/>
                <w:color w:val="auto"/>
              </w:rPr>
              <w:t>9,615</w:t>
            </w:r>
          </w:p>
        </w:tc>
        <w:tc>
          <w:tcPr>
            <w:tcW w:w="10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5"/>
                <w:szCs w:val="15"/>
                <w:color w:val="auto"/>
              </w:rPr>
              <w:t>2,220</w:t>
            </w:r>
          </w:p>
        </w:tc>
        <w:tc>
          <w:tcPr>
            <w:tcW w:w="920" w:type="dxa"/>
            <w:vAlign w:val="bottom"/>
          </w:tcPr>
          <w:p>
            <w:pPr>
              <w:jc w:val="right"/>
              <w:spacing w:after="0"/>
              <w:rPr>
                <w:sz w:val="20"/>
                <w:szCs w:val="20"/>
                <w:color w:val="auto"/>
              </w:rPr>
            </w:pPr>
            <w:r>
              <w:rPr>
                <w:rFonts w:ascii="Arial" w:cs="Arial" w:eastAsia="Arial" w:hAnsi="Arial"/>
                <w:sz w:val="15"/>
                <w:szCs w:val="15"/>
                <w:color w:val="auto"/>
              </w:rPr>
              <w:t>1,678</w:t>
            </w:r>
          </w:p>
        </w:tc>
        <w:tc>
          <w:tcPr>
            <w:tcW w:w="220" w:type="dxa"/>
            <w:vAlign w:val="bottom"/>
          </w:tcPr>
          <w:p>
            <w:pPr>
              <w:spacing w:after="0"/>
              <w:rPr>
                <w:sz w:val="17"/>
                <w:szCs w:val="17"/>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(2,103)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color w:val="auto"/>
                <w:w w:val="98"/>
              </w:rPr>
              <w:t>Earnings of equity companies included above</w:t>
            </w:r>
          </w:p>
        </w:tc>
        <w:tc>
          <w:tcPr>
            <w:tcW w:w="1160" w:type="dxa"/>
            <w:vAlign w:val="bottom"/>
          </w:tcPr>
          <w:p>
            <w:pPr>
              <w:jc w:val="right"/>
              <w:ind w:right="87"/>
              <w:spacing w:after="0"/>
              <w:rPr>
                <w:sz w:val="20"/>
                <w:szCs w:val="20"/>
                <w:color w:val="auto"/>
              </w:rPr>
            </w:pPr>
            <w:r>
              <w:rPr>
                <w:rFonts w:ascii="Arial" w:cs="Arial" w:eastAsia="Arial" w:hAnsi="Arial"/>
                <w:sz w:val="15"/>
                <w:szCs w:val="15"/>
                <w:color w:val="auto"/>
              </w:rPr>
              <w:t>1,759</w:t>
            </w:r>
          </w:p>
        </w:tc>
        <w:tc>
          <w:tcPr>
            <w:tcW w:w="920" w:type="dxa"/>
            <w:vAlign w:val="bottom"/>
          </w:tcPr>
          <w:p>
            <w:pPr>
              <w:jc w:val="right"/>
              <w:spacing w:after="0"/>
              <w:rPr>
                <w:sz w:val="20"/>
                <w:szCs w:val="20"/>
                <w:color w:val="auto"/>
              </w:rPr>
            </w:pPr>
            <w:r>
              <w:rPr>
                <w:rFonts w:ascii="Arial" w:cs="Arial" w:eastAsia="Arial" w:hAnsi="Arial"/>
                <w:sz w:val="15"/>
                <w:szCs w:val="15"/>
                <w:color w:val="auto"/>
              </w:rPr>
              <w:t>11,900</w:t>
            </w:r>
          </w:p>
        </w:tc>
        <w:tc>
          <w:tcPr>
            <w:tcW w:w="120" w:type="dxa"/>
            <w:vAlign w:val="bottom"/>
          </w:tcPr>
          <w:p>
            <w:pPr>
              <w:spacing w:after="0"/>
              <w:rPr>
                <w:sz w:val="17"/>
                <w:szCs w:val="17"/>
                <w:color w:val="auto"/>
              </w:rPr>
            </w:pPr>
          </w:p>
        </w:tc>
        <w:tc>
          <w:tcPr>
            <w:tcW w:w="1180" w:type="dxa"/>
            <w:vAlign w:val="bottom"/>
          </w:tcPr>
          <w:p>
            <w:pPr>
              <w:jc w:val="right"/>
              <w:ind w:right="107"/>
              <w:spacing w:after="0"/>
              <w:rPr>
                <w:sz w:val="20"/>
                <w:szCs w:val="20"/>
                <w:color w:val="auto"/>
              </w:rPr>
            </w:pPr>
            <w:r>
              <w:rPr>
                <w:rFonts w:ascii="Arial" w:cs="Arial" w:eastAsia="Arial" w:hAnsi="Arial"/>
                <w:sz w:val="15"/>
                <w:szCs w:val="15"/>
                <w:color w:val="auto"/>
              </w:rPr>
              <w:t>6</w:t>
            </w:r>
          </w:p>
        </w:tc>
        <w:tc>
          <w:tcPr>
            <w:tcW w:w="920" w:type="dxa"/>
            <w:vAlign w:val="bottom"/>
          </w:tcPr>
          <w:p>
            <w:pPr>
              <w:jc w:val="right"/>
              <w:spacing w:after="0"/>
              <w:rPr>
                <w:sz w:val="20"/>
                <w:szCs w:val="20"/>
                <w:color w:val="auto"/>
              </w:rPr>
            </w:pPr>
            <w:r>
              <w:rPr>
                <w:rFonts w:ascii="Arial" w:cs="Arial" w:eastAsia="Arial" w:hAnsi="Arial"/>
                <w:sz w:val="15"/>
                <w:szCs w:val="15"/>
                <w:color w:val="auto"/>
              </w:rPr>
              <w:t>387</w:t>
            </w:r>
          </w:p>
        </w:tc>
        <w:tc>
          <w:tcPr>
            <w:tcW w:w="10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5"/>
                <w:szCs w:val="15"/>
                <w:color w:val="auto"/>
              </w:rPr>
              <w:t>183</w:t>
            </w:r>
          </w:p>
        </w:tc>
        <w:tc>
          <w:tcPr>
            <w:tcW w:w="920" w:type="dxa"/>
            <w:vAlign w:val="bottom"/>
          </w:tcPr>
          <w:p>
            <w:pPr>
              <w:jc w:val="right"/>
              <w:spacing w:after="0"/>
              <w:rPr>
                <w:sz w:val="20"/>
                <w:szCs w:val="20"/>
                <w:color w:val="auto"/>
              </w:rPr>
            </w:pPr>
            <w:r>
              <w:rPr>
                <w:rFonts w:ascii="Arial" w:cs="Arial" w:eastAsia="Arial" w:hAnsi="Arial"/>
                <w:sz w:val="15"/>
                <w:szCs w:val="15"/>
                <w:color w:val="auto"/>
              </w:rPr>
              <w:t>1,267</w:t>
            </w:r>
          </w:p>
        </w:tc>
        <w:tc>
          <w:tcPr>
            <w:tcW w:w="220" w:type="dxa"/>
            <w:vAlign w:val="bottom"/>
          </w:tcPr>
          <w:p>
            <w:pPr>
              <w:spacing w:after="0"/>
              <w:rPr>
                <w:sz w:val="17"/>
                <w:szCs w:val="17"/>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(492)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color w:val="auto"/>
              </w:rPr>
              <w:t xml:space="preserve">Sales and other operating revenue </w:t>
            </w:r>
            <w:r>
              <w:rPr>
                <w:rFonts w:ascii="Arial" w:cs="Arial" w:eastAsia="Arial" w:hAnsi="Arial"/>
                <w:sz w:val="15"/>
                <w:szCs w:val="15"/>
                <w:i w:val="1"/>
                <w:iCs w:val="1"/>
                <w:color w:val="auto"/>
              </w:rPr>
              <w:t>(1)</w:t>
            </w:r>
          </w:p>
        </w:tc>
        <w:tc>
          <w:tcPr>
            <w:tcW w:w="1160" w:type="dxa"/>
            <w:vAlign w:val="bottom"/>
          </w:tcPr>
          <w:p>
            <w:pPr>
              <w:jc w:val="right"/>
              <w:ind w:right="87"/>
              <w:spacing w:after="0"/>
              <w:rPr>
                <w:sz w:val="20"/>
                <w:szCs w:val="20"/>
                <w:color w:val="auto"/>
              </w:rPr>
            </w:pPr>
            <w:r>
              <w:rPr>
                <w:rFonts w:ascii="Arial" w:cs="Arial" w:eastAsia="Arial" w:hAnsi="Arial"/>
                <w:sz w:val="15"/>
                <w:szCs w:val="15"/>
                <w:color w:val="auto"/>
              </w:rPr>
              <w:t>11,039</w:t>
            </w:r>
          </w:p>
        </w:tc>
        <w:tc>
          <w:tcPr>
            <w:tcW w:w="920" w:type="dxa"/>
            <w:vAlign w:val="bottom"/>
          </w:tcPr>
          <w:p>
            <w:pPr>
              <w:jc w:val="right"/>
              <w:spacing w:after="0"/>
              <w:rPr>
                <w:sz w:val="20"/>
                <w:szCs w:val="20"/>
                <w:color w:val="auto"/>
              </w:rPr>
            </w:pPr>
            <w:r>
              <w:rPr>
                <w:rFonts w:ascii="Arial" w:cs="Arial" w:eastAsia="Arial" w:hAnsi="Arial"/>
                <w:sz w:val="15"/>
                <w:szCs w:val="15"/>
                <w:color w:val="auto"/>
              </w:rPr>
              <w:t>27,673</w:t>
            </w:r>
          </w:p>
        </w:tc>
        <w:tc>
          <w:tcPr>
            <w:tcW w:w="120" w:type="dxa"/>
            <w:vAlign w:val="bottom"/>
          </w:tcPr>
          <w:p>
            <w:pPr>
              <w:spacing w:after="0"/>
              <w:rPr>
                <w:sz w:val="17"/>
                <w:szCs w:val="17"/>
                <w:color w:val="auto"/>
              </w:rPr>
            </w:pPr>
          </w:p>
        </w:tc>
        <w:tc>
          <w:tcPr>
            <w:tcW w:w="1180" w:type="dxa"/>
            <w:vAlign w:val="bottom"/>
          </w:tcPr>
          <w:p>
            <w:pPr>
              <w:jc w:val="right"/>
              <w:ind w:right="107"/>
              <w:spacing w:after="0"/>
              <w:rPr>
                <w:sz w:val="20"/>
                <w:szCs w:val="20"/>
                <w:color w:val="auto"/>
              </w:rPr>
            </w:pPr>
            <w:r>
              <w:rPr>
                <w:rFonts w:ascii="Arial" w:cs="Arial" w:eastAsia="Arial" w:hAnsi="Arial"/>
                <w:sz w:val="15"/>
                <w:szCs w:val="15"/>
                <w:color w:val="auto"/>
              </w:rPr>
              <w:t>125,088</w:t>
            </w:r>
          </w:p>
        </w:tc>
        <w:tc>
          <w:tcPr>
            <w:tcW w:w="920" w:type="dxa"/>
            <w:vAlign w:val="bottom"/>
          </w:tcPr>
          <w:p>
            <w:pPr>
              <w:jc w:val="right"/>
              <w:spacing w:after="0"/>
              <w:rPr>
                <w:sz w:val="20"/>
                <w:szCs w:val="20"/>
                <w:color w:val="auto"/>
              </w:rPr>
            </w:pPr>
            <w:r>
              <w:rPr>
                <w:rFonts w:ascii="Arial" w:cs="Arial" w:eastAsia="Arial" w:hAnsi="Arial"/>
                <w:sz w:val="15"/>
                <w:szCs w:val="15"/>
                <w:color w:val="auto"/>
              </w:rPr>
              <w:t>248,959</w:t>
            </w:r>
          </w:p>
        </w:tc>
        <w:tc>
          <w:tcPr>
            <w:tcW w:w="10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5"/>
                <w:szCs w:val="15"/>
                <w:color w:val="auto"/>
              </w:rPr>
              <w:t>14,723</w:t>
            </w:r>
          </w:p>
        </w:tc>
        <w:tc>
          <w:tcPr>
            <w:tcW w:w="920" w:type="dxa"/>
            <w:vAlign w:val="bottom"/>
          </w:tcPr>
          <w:p>
            <w:pPr>
              <w:jc w:val="right"/>
              <w:spacing w:after="0"/>
              <w:rPr>
                <w:sz w:val="20"/>
                <w:szCs w:val="20"/>
                <w:color w:val="auto"/>
              </w:rPr>
            </w:pPr>
            <w:r>
              <w:rPr>
                <w:rFonts w:ascii="Arial" w:cs="Arial" w:eastAsia="Arial" w:hAnsi="Arial"/>
                <w:sz w:val="15"/>
                <w:szCs w:val="15"/>
                <w:color w:val="auto"/>
              </w:rPr>
              <w:t>24,003</w:t>
            </w:r>
          </w:p>
        </w:tc>
        <w:tc>
          <w:tcPr>
            <w:tcW w:w="220" w:type="dxa"/>
            <w:vAlign w:val="bottom"/>
          </w:tcPr>
          <w:p>
            <w:pPr>
              <w:spacing w:after="0"/>
              <w:rPr>
                <w:sz w:val="17"/>
                <w:szCs w:val="17"/>
                <w:color w:val="auto"/>
              </w:rPr>
            </w:pPr>
          </w:p>
        </w:tc>
        <w:tc>
          <w:tcPr>
            <w:tcW w:w="980" w:type="dxa"/>
            <w:vAlign w:val="bottom"/>
          </w:tcPr>
          <w:p>
            <w:pPr>
              <w:jc w:val="right"/>
              <w:ind w:right="47"/>
              <w:spacing w:after="0"/>
              <w:rPr>
                <w:sz w:val="20"/>
                <w:szCs w:val="20"/>
                <w:color w:val="auto"/>
              </w:rPr>
            </w:pPr>
            <w:r>
              <w:rPr>
                <w:rFonts w:ascii="Arial" w:cs="Arial" w:eastAsia="Arial" w:hAnsi="Arial"/>
                <w:sz w:val="15"/>
                <w:szCs w:val="15"/>
                <w:color w:val="auto"/>
              </w:rPr>
              <w:t>24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color w:val="auto"/>
              </w:rPr>
              <w:t>Intersegment revenue</w:t>
            </w:r>
          </w:p>
        </w:tc>
        <w:tc>
          <w:tcPr>
            <w:tcW w:w="1160" w:type="dxa"/>
            <w:vAlign w:val="bottom"/>
          </w:tcPr>
          <w:p>
            <w:pPr>
              <w:jc w:val="right"/>
              <w:ind w:right="87"/>
              <w:spacing w:after="0"/>
              <w:rPr>
                <w:sz w:val="20"/>
                <w:szCs w:val="20"/>
                <w:color w:val="auto"/>
              </w:rPr>
            </w:pPr>
            <w:r>
              <w:rPr>
                <w:rFonts w:ascii="Arial" w:cs="Arial" w:eastAsia="Arial" w:hAnsi="Arial"/>
                <w:sz w:val="15"/>
                <w:szCs w:val="15"/>
                <w:color w:val="auto"/>
              </w:rPr>
              <w:t>8,764</w:t>
            </w:r>
          </w:p>
        </w:tc>
        <w:tc>
          <w:tcPr>
            <w:tcW w:w="920" w:type="dxa"/>
            <w:vAlign w:val="bottom"/>
          </w:tcPr>
          <w:p>
            <w:pPr>
              <w:jc w:val="right"/>
              <w:spacing w:after="0"/>
              <w:rPr>
                <w:sz w:val="20"/>
                <w:szCs w:val="20"/>
                <w:color w:val="auto"/>
              </w:rPr>
            </w:pPr>
            <w:r>
              <w:rPr>
                <w:rFonts w:ascii="Arial" w:cs="Arial" w:eastAsia="Arial" w:hAnsi="Arial"/>
                <w:sz w:val="15"/>
                <w:szCs w:val="15"/>
                <w:color w:val="auto"/>
              </w:rPr>
              <w:t>47,507</w:t>
            </w:r>
          </w:p>
        </w:tc>
        <w:tc>
          <w:tcPr>
            <w:tcW w:w="120" w:type="dxa"/>
            <w:vAlign w:val="bottom"/>
          </w:tcPr>
          <w:p>
            <w:pPr>
              <w:spacing w:after="0"/>
              <w:rPr>
                <w:sz w:val="17"/>
                <w:szCs w:val="17"/>
                <w:color w:val="auto"/>
              </w:rPr>
            </w:pPr>
          </w:p>
        </w:tc>
        <w:tc>
          <w:tcPr>
            <w:tcW w:w="1180" w:type="dxa"/>
            <w:vAlign w:val="bottom"/>
          </w:tcPr>
          <w:p>
            <w:pPr>
              <w:jc w:val="right"/>
              <w:ind w:right="107"/>
              <w:spacing w:after="0"/>
              <w:rPr>
                <w:sz w:val="20"/>
                <w:szCs w:val="20"/>
                <w:color w:val="auto"/>
              </w:rPr>
            </w:pPr>
            <w:r>
              <w:rPr>
                <w:rFonts w:ascii="Arial" w:cs="Arial" w:eastAsia="Arial" w:hAnsi="Arial"/>
                <w:sz w:val="15"/>
                <w:szCs w:val="15"/>
                <w:color w:val="auto"/>
              </w:rPr>
              <w:t>20,963</w:t>
            </w:r>
          </w:p>
        </w:tc>
        <w:tc>
          <w:tcPr>
            <w:tcW w:w="920" w:type="dxa"/>
            <w:vAlign w:val="bottom"/>
          </w:tcPr>
          <w:p>
            <w:pPr>
              <w:jc w:val="right"/>
              <w:spacing w:after="0"/>
              <w:rPr>
                <w:sz w:val="20"/>
                <w:szCs w:val="20"/>
                <w:color w:val="auto"/>
              </w:rPr>
            </w:pPr>
            <w:r>
              <w:rPr>
                <w:rFonts w:ascii="Arial" w:cs="Arial" w:eastAsia="Arial" w:hAnsi="Arial"/>
                <w:sz w:val="15"/>
                <w:szCs w:val="15"/>
                <w:color w:val="auto"/>
              </w:rPr>
              <w:t>62,130</w:t>
            </w:r>
          </w:p>
        </w:tc>
        <w:tc>
          <w:tcPr>
            <w:tcW w:w="10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5"/>
                <w:szCs w:val="15"/>
                <w:color w:val="auto"/>
              </w:rPr>
              <w:t>12,409</w:t>
            </w:r>
          </w:p>
        </w:tc>
        <w:tc>
          <w:tcPr>
            <w:tcW w:w="920" w:type="dxa"/>
            <w:vAlign w:val="bottom"/>
          </w:tcPr>
          <w:p>
            <w:pPr>
              <w:jc w:val="right"/>
              <w:spacing w:after="0"/>
              <w:rPr>
                <w:sz w:val="20"/>
                <w:szCs w:val="20"/>
                <w:color w:val="auto"/>
              </w:rPr>
            </w:pPr>
            <w:r>
              <w:rPr>
                <w:rFonts w:ascii="Arial" w:cs="Arial" w:eastAsia="Arial" w:hAnsi="Arial"/>
                <w:sz w:val="15"/>
                <w:szCs w:val="15"/>
                <w:color w:val="auto"/>
              </w:rPr>
              <w:t>9,750</w:t>
            </w:r>
          </w:p>
        </w:tc>
        <w:tc>
          <w:tcPr>
            <w:tcW w:w="220" w:type="dxa"/>
            <w:vAlign w:val="bottom"/>
          </w:tcPr>
          <w:p>
            <w:pPr>
              <w:spacing w:after="0"/>
              <w:rPr>
                <w:sz w:val="17"/>
                <w:szCs w:val="17"/>
                <w:color w:val="auto"/>
              </w:rPr>
            </w:pPr>
          </w:p>
        </w:tc>
        <w:tc>
          <w:tcPr>
            <w:tcW w:w="980" w:type="dxa"/>
            <w:vAlign w:val="bottom"/>
          </w:tcPr>
          <w:p>
            <w:pPr>
              <w:jc w:val="right"/>
              <w:ind w:right="47"/>
              <w:spacing w:after="0"/>
              <w:rPr>
                <w:sz w:val="20"/>
                <w:szCs w:val="20"/>
                <w:color w:val="auto"/>
              </w:rPr>
            </w:pPr>
            <w:r>
              <w:rPr>
                <w:rFonts w:ascii="Arial" w:cs="Arial" w:eastAsia="Arial" w:hAnsi="Arial"/>
                <w:sz w:val="15"/>
                <w:szCs w:val="15"/>
                <w:color w:val="auto"/>
              </w:rPr>
              <w:t>258</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color w:val="auto"/>
              </w:rPr>
              <w:t>Depreciation and depletion expense</w:t>
            </w:r>
          </w:p>
        </w:tc>
        <w:tc>
          <w:tcPr>
            <w:tcW w:w="1160" w:type="dxa"/>
            <w:vAlign w:val="bottom"/>
          </w:tcPr>
          <w:p>
            <w:pPr>
              <w:jc w:val="right"/>
              <w:ind w:right="87"/>
              <w:spacing w:after="0"/>
              <w:rPr>
                <w:sz w:val="20"/>
                <w:szCs w:val="20"/>
                <w:color w:val="auto"/>
              </w:rPr>
            </w:pPr>
            <w:r>
              <w:rPr>
                <w:rFonts w:ascii="Arial" w:cs="Arial" w:eastAsia="Arial" w:hAnsi="Arial"/>
                <w:sz w:val="15"/>
                <w:szCs w:val="15"/>
                <w:color w:val="auto"/>
              </w:rPr>
              <w:t>5,104</w:t>
            </w:r>
          </w:p>
        </w:tc>
        <w:tc>
          <w:tcPr>
            <w:tcW w:w="920" w:type="dxa"/>
            <w:vAlign w:val="bottom"/>
          </w:tcPr>
          <w:p>
            <w:pPr>
              <w:jc w:val="right"/>
              <w:spacing w:after="0"/>
              <w:rPr>
                <w:sz w:val="20"/>
                <w:szCs w:val="20"/>
                <w:color w:val="auto"/>
              </w:rPr>
            </w:pPr>
            <w:r>
              <w:rPr>
                <w:rFonts w:ascii="Arial" w:cs="Arial" w:eastAsia="Arial" w:hAnsi="Arial"/>
                <w:sz w:val="15"/>
                <w:szCs w:val="15"/>
                <w:color w:val="auto"/>
              </w:rPr>
              <w:t>7,340</w:t>
            </w:r>
          </w:p>
        </w:tc>
        <w:tc>
          <w:tcPr>
            <w:tcW w:w="120" w:type="dxa"/>
            <w:vAlign w:val="bottom"/>
          </w:tcPr>
          <w:p>
            <w:pPr>
              <w:spacing w:after="0"/>
              <w:rPr>
                <w:sz w:val="17"/>
                <w:szCs w:val="17"/>
                <w:color w:val="auto"/>
              </w:rPr>
            </w:pPr>
          </w:p>
        </w:tc>
        <w:tc>
          <w:tcPr>
            <w:tcW w:w="1180" w:type="dxa"/>
            <w:vAlign w:val="bottom"/>
          </w:tcPr>
          <w:p>
            <w:pPr>
              <w:jc w:val="right"/>
              <w:ind w:right="107"/>
              <w:spacing w:after="0"/>
              <w:rPr>
                <w:sz w:val="20"/>
                <w:szCs w:val="20"/>
                <w:color w:val="auto"/>
              </w:rPr>
            </w:pPr>
            <w:r>
              <w:rPr>
                <w:rFonts w:ascii="Arial" w:cs="Arial" w:eastAsia="Arial" w:hAnsi="Arial"/>
                <w:sz w:val="15"/>
                <w:szCs w:val="15"/>
                <w:color w:val="auto"/>
              </w:rPr>
              <w:t>594</w:t>
            </w:r>
          </w:p>
        </w:tc>
        <w:tc>
          <w:tcPr>
            <w:tcW w:w="920" w:type="dxa"/>
            <w:vAlign w:val="bottom"/>
          </w:tcPr>
          <w:p>
            <w:pPr>
              <w:jc w:val="right"/>
              <w:spacing w:after="0"/>
              <w:rPr>
                <w:sz w:val="20"/>
                <w:szCs w:val="20"/>
                <w:color w:val="auto"/>
              </w:rPr>
            </w:pPr>
            <w:r>
              <w:rPr>
                <w:rFonts w:ascii="Arial" w:cs="Arial" w:eastAsia="Arial" w:hAnsi="Arial"/>
                <w:sz w:val="15"/>
                <w:szCs w:val="15"/>
                <w:color w:val="auto"/>
              </w:rPr>
              <w:t>1,280</w:t>
            </w:r>
          </w:p>
        </w:tc>
        <w:tc>
          <w:tcPr>
            <w:tcW w:w="10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5"/>
                <w:szCs w:val="15"/>
                <w:color w:val="auto"/>
              </w:rPr>
              <w:t>376</w:t>
            </w:r>
          </w:p>
        </w:tc>
        <w:tc>
          <w:tcPr>
            <w:tcW w:w="920" w:type="dxa"/>
            <w:vAlign w:val="bottom"/>
          </w:tcPr>
          <w:p>
            <w:pPr>
              <w:jc w:val="right"/>
              <w:spacing w:after="0"/>
              <w:rPr>
                <w:sz w:val="20"/>
                <w:szCs w:val="20"/>
                <w:color w:val="auto"/>
              </w:rPr>
            </w:pPr>
            <w:r>
              <w:rPr>
                <w:rFonts w:ascii="Arial" w:cs="Arial" w:eastAsia="Arial" w:hAnsi="Arial"/>
                <w:sz w:val="15"/>
                <w:szCs w:val="15"/>
                <w:color w:val="auto"/>
              </w:rPr>
              <w:t>508</w:t>
            </w:r>
          </w:p>
        </w:tc>
        <w:tc>
          <w:tcPr>
            <w:tcW w:w="220" w:type="dxa"/>
            <w:vAlign w:val="bottom"/>
          </w:tcPr>
          <w:p>
            <w:pPr>
              <w:spacing w:after="0"/>
              <w:rPr>
                <w:sz w:val="17"/>
                <w:szCs w:val="17"/>
                <w:color w:val="auto"/>
              </w:rPr>
            </w:pPr>
          </w:p>
        </w:tc>
        <w:tc>
          <w:tcPr>
            <w:tcW w:w="980" w:type="dxa"/>
            <w:vAlign w:val="bottom"/>
          </w:tcPr>
          <w:p>
            <w:pPr>
              <w:jc w:val="right"/>
              <w:ind w:right="47"/>
              <w:spacing w:after="0"/>
              <w:rPr>
                <w:sz w:val="20"/>
                <w:szCs w:val="20"/>
                <w:color w:val="auto"/>
              </w:rPr>
            </w:pPr>
            <w:r>
              <w:rPr>
                <w:rFonts w:ascii="Arial" w:cs="Arial" w:eastAsia="Arial" w:hAnsi="Arial"/>
                <w:sz w:val="15"/>
                <w:szCs w:val="15"/>
                <w:color w:val="auto"/>
              </w:rPr>
              <w:t>686</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color w:val="auto"/>
              </w:rPr>
              <w:t>Interest revenue</w:t>
            </w:r>
          </w:p>
        </w:tc>
        <w:tc>
          <w:tcPr>
            <w:tcW w:w="116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8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2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80" w:type="dxa"/>
            <w:vAlign w:val="bottom"/>
          </w:tcPr>
          <w:p>
            <w:pPr>
              <w:jc w:val="right"/>
              <w:ind w:right="47"/>
              <w:spacing w:after="0"/>
              <w:rPr>
                <w:sz w:val="20"/>
                <w:szCs w:val="20"/>
                <w:color w:val="auto"/>
              </w:rPr>
            </w:pPr>
            <w:r>
              <w:rPr>
                <w:rFonts w:ascii="Arial" w:cs="Arial" w:eastAsia="Arial" w:hAnsi="Arial"/>
                <w:sz w:val="15"/>
                <w:szCs w:val="15"/>
                <w:color w:val="auto"/>
              </w:rPr>
              <w:t>117</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color w:val="auto"/>
              </w:rPr>
              <w:t>Interest expense</w:t>
            </w:r>
          </w:p>
        </w:tc>
        <w:tc>
          <w:tcPr>
            <w:tcW w:w="1160" w:type="dxa"/>
            <w:vAlign w:val="bottom"/>
          </w:tcPr>
          <w:p>
            <w:pPr>
              <w:jc w:val="right"/>
              <w:ind w:right="87"/>
              <w:spacing w:after="0"/>
              <w:rPr>
                <w:sz w:val="20"/>
                <w:szCs w:val="20"/>
                <w:color w:val="auto"/>
              </w:rPr>
            </w:pPr>
            <w:r>
              <w:rPr>
                <w:rFonts w:ascii="Arial" w:cs="Arial" w:eastAsia="Arial" w:hAnsi="Arial"/>
                <w:sz w:val="15"/>
                <w:szCs w:val="15"/>
                <w:color w:val="auto"/>
              </w:rPr>
              <w:t>37</w:t>
            </w:r>
          </w:p>
        </w:tc>
        <w:tc>
          <w:tcPr>
            <w:tcW w:w="920" w:type="dxa"/>
            <w:vAlign w:val="bottom"/>
          </w:tcPr>
          <w:p>
            <w:pPr>
              <w:jc w:val="right"/>
              <w:spacing w:after="0"/>
              <w:rPr>
                <w:sz w:val="20"/>
                <w:szCs w:val="20"/>
                <w:color w:val="auto"/>
              </w:rPr>
            </w:pPr>
            <w:r>
              <w:rPr>
                <w:rFonts w:ascii="Arial" w:cs="Arial" w:eastAsia="Arial" w:hAnsi="Arial"/>
                <w:sz w:val="15"/>
                <w:szCs w:val="15"/>
                <w:color w:val="auto"/>
              </w:rPr>
              <w:t>13</w:t>
            </w:r>
          </w:p>
        </w:tc>
        <w:tc>
          <w:tcPr>
            <w:tcW w:w="120" w:type="dxa"/>
            <w:vAlign w:val="bottom"/>
          </w:tcPr>
          <w:p>
            <w:pPr>
              <w:spacing w:after="0"/>
              <w:rPr>
                <w:sz w:val="17"/>
                <w:szCs w:val="17"/>
                <w:color w:val="auto"/>
              </w:rPr>
            </w:pPr>
          </w:p>
        </w:tc>
        <w:tc>
          <w:tcPr>
            <w:tcW w:w="1180" w:type="dxa"/>
            <w:vAlign w:val="bottom"/>
          </w:tcPr>
          <w:p>
            <w:pPr>
              <w:jc w:val="right"/>
              <w:ind w:right="107"/>
              <w:spacing w:after="0"/>
              <w:rPr>
                <w:sz w:val="20"/>
                <w:szCs w:val="20"/>
                <w:color w:val="auto"/>
              </w:rPr>
            </w:pPr>
            <w:r>
              <w:rPr>
                <w:rFonts w:ascii="Arial" w:cs="Arial" w:eastAsia="Arial" w:hAnsi="Arial"/>
                <w:sz w:val="15"/>
                <w:szCs w:val="15"/>
                <w:color w:val="auto"/>
              </w:rPr>
              <w:t>3</w:t>
            </w:r>
          </w:p>
        </w:tc>
        <w:tc>
          <w:tcPr>
            <w:tcW w:w="920" w:type="dxa"/>
            <w:vAlign w:val="bottom"/>
          </w:tcPr>
          <w:p>
            <w:pPr>
              <w:jc w:val="right"/>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17"/>
                <w:szCs w:val="17"/>
                <w:color w:val="auto"/>
              </w:rPr>
            </w:pPr>
          </w:p>
        </w:tc>
        <w:tc>
          <w:tcPr>
            <w:tcW w:w="112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(1)</w:t>
            </w:r>
          </w:p>
        </w:tc>
        <w:tc>
          <w:tcPr>
            <w:tcW w:w="980" w:type="dxa"/>
            <w:vAlign w:val="bottom"/>
          </w:tcPr>
          <w:p>
            <w:pPr>
              <w:jc w:val="right"/>
              <w:ind w:right="47"/>
              <w:spacing w:after="0"/>
              <w:rPr>
                <w:sz w:val="20"/>
                <w:szCs w:val="20"/>
                <w:color w:val="auto"/>
              </w:rPr>
            </w:pPr>
            <w:r>
              <w:rPr>
                <w:rFonts w:ascii="Arial" w:cs="Arial" w:eastAsia="Arial" w:hAnsi="Arial"/>
                <w:sz w:val="15"/>
                <w:szCs w:val="15"/>
                <w:color w:val="auto"/>
              </w:rPr>
              <w:t>239</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color w:val="auto"/>
              </w:rPr>
              <w:t>Income taxes</w:t>
            </w:r>
          </w:p>
        </w:tc>
        <w:tc>
          <w:tcPr>
            <w:tcW w:w="1160" w:type="dxa"/>
            <w:vAlign w:val="bottom"/>
          </w:tcPr>
          <w:p>
            <w:pPr>
              <w:jc w:val="right"/>
              <w:ind w:right="87"/>
              <w:spacing w:after="0"/>
              <w:rPr>
                <w:sz w:val="20"/>
                <w:szCs w:val="20"/>
                <w:color w:val="auto"/>
              </w:rPr>
            </w:pPr>
            <w:r>
              <w:rPr>
                <w:rFonts w:ascii="Arial" w:cs="Arial" w:eastAsia="Arial" w:hAnsi="Arial"/>
                <w:sz w:val="15"/>
                <w:szCs w:val="15"/>
                <w:color w:val="auto"/>
              </w:rPr>
              <w:t>2,025</w:t>
            </w:r>
          </w:p>
        </w:tc>
        <w:tc>
          <w:tcPr>
            <w:tcW w:w="920" w:type="dxa"/>
            <w:vAlign w:val="bottom"/>
          </w:tcPr>
          <w:p>
            <w:pPr>
              <w:jc w:val="right"/>
              <w:spacing w:after="0"/>
              <w:rPr>
                <w:sz w:val="20"/>
                <w:szCs w:val="20"/>
                <w:color w:val="auto"/>
              </w:rPr>
            </w:pPr>
            <w:r>
              <w:rPr>
                <w:rFonts w:ascii="Arial" w:cs="Arial" w:eastAsia="Arial" w:hAnsi="Arial"/>
                <w:sz w:val="15"/>
                <w:szCs w:val="15"/>
                <w:color w:val="auto"/>
              </w:rPr>
              <w:t>25,362</w:t>
            </w:r>
          </w:p>
        </w:tc>
        <w:tc>
          <w:tcPr>
            <w:tcW w:w="120" w:type="dxa"/>
            <w:vAlign w:val="bottom"/>
          </w:tcPr>
          <w:p>
            <w:pPr>
              <w:spacing w:after="0"/>
              <w:rPr>
                <w:sz w:val="17"/>
                <w:szCs w:val="17"/>
                <w:color w:val="auto"/>
              </w:rPr>
            </w:pPr>
          </w:p>
        </w:tc>
        <w:tc>
          <w:tcPr>
            <w:tcW w:w="1180" w:type="dxa"/>
            <w:vAlign w:val="bottom"/>
          </w:tcPr>
          <w:p>
            <w:pPr>
              <w:jc w:val="right"/>
              <w:ind w:right="107"/>
              <w:spacing w:after="0"/>
              <w:rPr>
                <w:sz w:val="20"/>
                <w:szCs w:val="20"/>
                <w:color w:val="auto"/>
              </w:rPr>
            </w:pPr>
            <w:r>
              <w:rPr>
                <w:rFonts w:ascii="Arial" w:cs="Arial" w:eastAsia="Arial" w:hAnsi="Arial"/>
                <w:sz w:val="15"/>
                <w:szCs w:val="15"/>
                <w:color w:val="auto"/>
              </w:rPr>
              <w:t>1,811</w:t>
            </w:r>
          </w:p>
        </w:tc>
        <w:tc>
          <w:tcPr>
            <w:tcW w:w="920" w:type="dxa"/>
            <w:vAlign w:val="bottom"/>
          </w:tcPr>
          <w:p>
            <w:pPr>
              <w:jc w:val="right"/>
              <w:spacing w:after="0"/>
              <w:rPr>
                <w:sz w:val="20"/>
                <w:szCs w:val="20"/>
                <w:color w:val="auto"/>
              </w:rPr>
            </w:pPr>
            <w:r>
              <w:rPr>
                <w:rFonts w:ascii="Arial" w:cs="Arial" w:eastAsia="Arial" w:hAnsi="Arial"/>
                <w:sz w:val="15"/>
                <w:szCs w:val="15"/>
                <w:color w:val="auto"/>
              </w:rPr>
              <w:t>1,892</w:t>
            </w:r>
          </w:p>
        </w:tc>
        <w:tc>
          <w:tcPr>
            <w:tcW w:w="10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5"/>
                <w:szCs w:val="15"/>
                <w:color w:val="auto"/>
              </w:rPr>
              <w:t>755</w:t>
            </w:r>
          </w:p>
        </w:tc>
        <w:tc>
          <w:tcPr>
            <w:tcW w:w="920" w:type="dxa"/>
            <w:vAlign w:val="bottom"/>
          </w:tcPr>
          <w:p>
            <w:pPr>
              <w:jc w:val="right"/>
              <w:spacing w:after="0"/>
              <w:rPr>
                <w:sz w:val="20"/>
                <w:szCs w:val="20"/>
                <w:color w:val="auto"/>
              </w:rPr>
            </w:pPr>
            <w:r>
              <w:rPr>
                <w:rFonts w:ascii="Arial" w:cs="Arial" w:eastAsia="Arial" w:hAnsi="Arial"/>
                <w:sz w:val="15"/>
                <w:szCs w:val="15"/>
                <w:color w:val="auto"/>
              </w:rPr>
              <w:t>232</w:t>
            </w:r>
          </w:p>
        </w:tc>
        <w:tc>
          <w:tcPr>
            <w:tcW w:w="220" w:type="dxa"/>
            <w:vAlign w:val="bottom"/>
          </w:tcPr>
          <w:p>
            <w:pPr>
              <w:spacing w:after="0"/>
              <w:rPr>
                <w:sz w:val="17"/>
                <w:szCs w:val="17"/>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(1,032)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color w:val="auto"/>
              </w:rPr>
              <w:t>Additions to property, plant and equipment</w:t>
            </w:r>
          </w:p>
        </w:tc>
        <w:tc>
          <w:tcPr>
            <w:tcW w:w="1160" w:type="dxa"/>
            <w:vAlign w:val="bottom"/>
          </w:tcPr>
          <w:p>
            <w:pPr>
              <w:jc w:val="right"/>
              <w:ind w:right="87"/>
              <w:spacing w:after="0"/>
              <w:rPr>
                <w:sz w:val="20"/>
                <w:szCs w:val="20"/>
                <w:color w:val="auto"/>
              </w:rPr>
            </w:pPr>
            <w:r>
              <w:rPr>
                <w:rFonts w:ascii="Arial" w:cs="Arial" w:eastAsia="Arial" w:hAnsi="Arial"/>
                <w:sz w:val="15"/>
                <w:szCs w:val="15"/>
                <w:color w:val="auto"/>
              </w:rPr>
              <w:t>9,697</w:t>
            </w:r>
          </w:p>
        </w:tc>
        <w:tc>
          <w:tcPr>
            <w:tcW w:w="920" w:type="dxa"/>
            <w:vAlign w:val="bottom"/>
          </w:tcPr>
          <w:p>
            <w:pPr>
              <w:jc w:val="right"/>
              <w:spacing w:after="0"/>
              <w:rPr>
                <w:sz w:val="20"/>
                <w:szCs w:val="20"/>
                <w:color w:val="auto"/>
              </w:rPr>
            </w:pPr>
            <w:r>
              <w:rPr>
                <w:rFonts w:ascii="Arial" w:cs="Arial" w:eastAsia="Arial" w:hAnsi="Arial"/>
                <w:sz w:val="15"/>
                <w:szCs w:val="15"/>
                <w:color w:val="auto"/>
              </w:rPr>
              <w:t>21,769</w:t>
            </w:r>
          </w:p>
        </w:tc>
        <w:tc>
          <w:tcPr>
            <w:tcW w:w="120" w:type="dxa"/>
            <w:vAlign w:val="bottom"/>
          </w:tcPr>
          <w:p>
            <w:pPr>
              <w:spacing w:after="0"/>
              <w:rPr>
                <w:sz w:val="17"/>
                <w:szCs w:val="17"/>
                <w:color w:val="auto"/>
              </w:rPr>
            </w:pPr>
          </w:p>
        </w:tc>
        <w:tc>
          <w:tcPr>
            <w:tcW w:w="1180" w:type="dxa"/>
            <w:vAlign w:val="bottom"/>
          </w:tcPr>
          <w:p>
            <w:pPr>
              <w:jc w:val="right"/>
              <w:ind w:right="107"/>
              <w:spacing w:after="0"/>
              <w:rPr>
                <w:sz w:val="20"/>
                <w:szCs w:val="20"/>
                <w:color w:val="auto"/>
              </w:rPr>
            </w:pPr>
            <w:r>
              <w:rPr>
                <w:rFonts w:ascii="Arial" w:cs="Arial" w:eastAsia="Arial" w:hAnsi="Arial"/>
                <w:sz w:val="15"/>
                <w:szCs w:val="15"/>
                <w:color w:val="auto"/>
              </w:rPr>
              <w:t>480</w:t>
            </w:r>
          </w:p>
        </w:tc>
        <w:tc>
          <w:tcPr>
            <w:tcW w:w="920" w:type="dxa"/>
            <w:vAlign w:val="bottom"/>
          </w:tcPr>
          <w:p>
            <w:pPr>
              <w:jc w:val="right"/>
              <w:spacing w:after="0"/>
              <w:rPr>
                <w:sz w:val="20"/>
                <w:szCs w:val="20"/>
                <w:color w:val="auto"/>
              </w:rPr>
            </w:pPr>
            <w:r>
              <w:rPr>
                <w:rFonts w:ascii="Arial" w:cs="Arial" w:eastAsia="Arial" w:hAnsi="Arial"/>
                <w:sz w:val="15"/>
                <w:szCs w:val="15"/>
                <w:color w:val="auto"/>
              </w:rPr>
              <w:t>1,153</w:t>
            </w:r>
          </w:p>
        </w:tc>
        <w:tc>
          <w:tcPr>
            <w:tcW w:w="10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5"/>
                <w:szCs w:val="15"/>
                <w:color w:val="auto"/>
              </w:rPr>
              <w:t>338</w:t>
            </w:r>
          </w:p>
        </w:tc>
        <w:tc>
          <w:tcPr>
            <w:tcW w:w="920" w:type="dxa"/>
            <w:vAlign w:val="bottom"/>
          </w:tcPr>
          <w:p>
            <w:pPr>
              <w:jc w:val="right"/>
              <w:spacing w:after="0"/>
              <w:rPr>
                <w:sz w:val="20"/>
                <w:szCs w:val="20"/>
                <w:color w:val="auto"/>
              </w:rPr>
            </w:pPr>
            <w:r>
              <w:rPr>
                <w:rFonts w:ascii="Arial" w:cs="Arial" w:eastAsia="Arial" w:hAnsi="Arial"/>
                <w:sz w:val="15"/>
                <w:szCs w:val="15"/>
                <w:color w:val="auto"/>
              </w:rPr>
              <w:t>659</w:t>
            </w:r>
          </w:p>
        </w:tc>
        <w:tc>
          <w:tcPr>
            <w:tcW w:w="220" w:type="dxa"/>
            <w:vAlign w:val="bottom"/>
          </w:tcPr>
          <w:p>
            <w:pPr>
              <w:spacing w:after="0"/>
              <w:rPr>
                <w:sz w:val="17"/>
                <w:szCs w:val="17"/>
                <w:color w:val="auto"/>
              </w:rPr>
            </w:pPr>
          </w:p>
        </w:tc>
        <w:tc>
          <w:tcPr>
            <w:tcW w:w="980" w:type="dxa"/>
            <w:vAlign w:val="bottom"/>
          </w:tcPr>
          <w:p>
            <w:pPr>
              <w:jc w:val="right"/>
              <w:ind w:right="47"/>
              <w:spacing w:after="0"/>
              <w:rPr>
                <w:sz w:val="20"/>
                <w:szCs w:val="20"/>
                <w:color w:val="auto"/>
              </w:rPr>
            </w:pPr>
            <w:r>
              <w:rPr>
                <w:rFonts w:ascii="Arial" w:cs="Arial" w:eastAsia="Arial" w:hAnsi="Arial"/>
                <w:sz w:val="15"/>
                <w:szCs w:val="15"/>
                <w:color w:val="auto"/>
              </w:rPr>
              <w:t>1,083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5"/>
                <w:szCs w:val="15"/>
                <w:color w:val="auto"/>
              </w:rPr>
              <w:t>Investments in equity companies</w:t>
            </w:r>
          </w:p>
        </w:tc>
        <w:tc>
          <w:tcPr>
            <w:tcW w:w="1160" w:type="dxa"/>
            <w:vAlign w:val="bottom"/>
          </w:tcPr>
          <w:p>
            <w:pPr>
              <w:jc w:val="right"/>
              <w:ind w:right="87"/>
              <w:spacing w:after="0"/>
              <w:rPr>
                <w:sz w:val="20"/>
                <w:szCs w:val="20"/>
                <w:color w:val="auto"/>
              </w:rPr>
            </w:pPr>
            <w:r>
              <w:rPr>
                <w:rFonts w:ascii="Arial" w:cs="Arial" w:eastAsia="Arial" w:hAnsi="Arial"/>
                <w:sz w:val="15"/>
                <w:szCs w:val="15"/>
                <w:color w:val="auto"/>
              </w:rPr>
              <w:t>4,020</w:t>
            </w:r>
          </w:p>
        </w:tc>
        <w:tc>
          <w:tcPr>
            <w:tcW w:w="920" w:type="dxa"/>
            <w:vAlign w:val="bottom"/>
          </w:tcPr>
          <w:p>
            <w:pPr>
              <w:jc w:val="right"/>
              <w:spacing w:after="0"/>
              <w:rPr>
                <w:sz w:val="20"/>
                <w:szCs w:val="20"/>
                <w:color w:val="auto"/>
              </w:rPr>
            </w:pPr>
            <w:r>
              <w:rPr>
                <w:rFonts w:ascii="Arial" w:cs="Arial" w:eastAsia="Arial" w:hAnsi="Arial"/>
                <w:sz w:val="15"/>
                <w:szCs w:val="15"/>
                <w:color w:val="auto"/>
              </w:rPr>
              <w:t>9,147</w:t>
            </w:r>
          </w:p>
        </w:tc>
        <w:tc>
          <w:tcPr>
            <w:tcW w:w="120" w:type="dxa"/>
            <w:vAlign w:val="bottom"/>
          </w:tcPr>
          <w:p>
            <w:pPr>
              <w:spacing w:after="0"/>
              <w:rPr>
                <w:sz w:val="17"/>
                <w:szCs w:val="17"/>
                <w:color w:val="auto"/>
              </w:rPr>
            </w:pPr>
          </w:p>
        </w:tc>
        <w:tc>
          <w:tcPr>
            <w:tcW w:w="1180" w:type="dxa"/>
            <w:vAlign w:val="bottom"/>
          </w:tcPr>
          <w:p>
            <w:pPr>
              <w:jc w:val="right"/>
              <w:ind w:right="107"/>
              <w:spacing w:after="0"/>
              <w:rPr>
                <w:sz w:val="20"/>
                <w:szCs w:val="20"/>
                <w:color w:val="auto"/>
              </w:rPr>
            </w:pPr>
            <w:r>
              <w:rPr>
                <w:rFonts w:ascii="Arial" w:cs="Arial" w:eastAsia="Arial" w:hAnsi="Arial"/>
                <w:sz w:val="15"/>
                <w:szCs w:val="15"/>
                <w:color w:val="auto"/>
              </w:rPr>
              <w:t>195</w:t>
            </w:r>
          </w:p>
        </w:tc>
        <w:tc>
          <w:tcPr>
            <w:tcW w:w="920" w:type="dxa"/>
            <w:vAlign w:val="bottom"/>
          </w:tcPr>
          <w:p>
            <w:pPr>
              <w:jc w:val="right"/>
              <w:spacing w:after="0"/>
              <w:rPr>
                <w:sz w:val="20"/>
                <w:szCs w:val="20"/>
                <w:color w:val="auto"/>
              </w:rPr>
            </w:pPr>
            <w:r>
              <w:rPr>
                <w:rFonts w:ascii="Arial" w:cs="Arial" w:eastAsia="Arial" w:hAnsi="Arial"/>
                <w:sz w:val="15"/>
                <w:szCs w:val="15"/>
                <w:color w:val="auto"/>
              </w:rPr>
              <w:t>2,069</w:t>
            </w:r>
          </w:p>
        </w:tc>
        <w:tc>
          <w:tcPr>
            <w:tcW w:w="100" w:type="dxa"/>
            <w:vAlign w:val="bottom"/>
          </w:tcPr>
          <w:p>
            <w:pPr>
              <w:spacing w:after="0"/>
              <w:rPr>
                <w:sz w:val="17"/>
                <w:szCs w:val="17"/>
                <w:color w:val="auto"/>
              </w:rPr>
            </w:pPr>
          </w:p>
        </w:tc>
        <w:tc>
          <w:tcPr>
            <w:tcW w:w="1120" w:type="dxa"/>
            <w:vAlign w:val="bottom"/>
          </w:tcPr>
          <w:p>
            <w:pPr>
              <w:jc w:val="right"/>
              <w:ind w:right="67"/>
              <w:spacing w:after="0"/>
              <w:rPr>
                <w:sz w:val="20"/>
                <w:szCs w:val="20"/>
                <w:color w:val="auto"/>
              </w:rPr>
            </w:pPr>
            <w:r>
              <w:rPr>
                <w:rFonts w:ascii="Arial" w:cs="Arial" w:eastAsia="Arial" w:hAnsi="Arial"/>
                <w:sz w:val="15"/>
                <w:szCs w:val="15"/>
                <w:color w:val="auto"/>
              </w:rPr>
              <w:t>233</w:t>
            </w:r>
          </w:p>
        </w:tc>
        <w:tc>
          <w:tcPr>
            <w:tcW w:w="920" w:type="dxa"/>
            <w:vAlign w:val="bottom"/>
          </w:tcPr>
          <w:p>
            <w:pPr>
              <w:jc w:val="right"/>
              <w:spacing w:after="0"/>
              <w:rPr>
                <w:sz w:val="20"/>
                <w:szCs w:val="20"/>
                <w:color w:val="auto"/>
              </w:rPr>
            </w:pPr>
            <w:r>
              <w:rPr>
                <w:rFonts w:ascii="Arial" w:cs="Arial" w:eastAsia="Arial" w:hAnsi="Arial"/>
                <w:sz w:val="15"/>
                <w:szCs w:val="15"/>
                <w:color w:val="auto"/>
              </w:rPr>
              <w:t>3,143</w:t>
            </w:r>
          </w:p>
        </w:tc>
        <w:tc>
          <w:tcPr>
            <w:tcW w:w="220" w:type="dxa"/>
            <w:vAlign w:val="bottom"/>
          </w:tcPr>
          <w:p>
            <w:pPr>
              <w:spacing w:after="0"/>
              <w:rPr>
                <w:sz w:val="17"/>
                <w:szCs w:val="17"/>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(277)</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80" w:type="dxa"/>
            <w:vAlign w:val="bottom"/>
          </w:tcPr>
          <w:p>
            <w:pPr>
              <w:spacing w:after="0"/>
              <w:rPr>
                <w:sz w:val="20"/>
                <w:szCs w:val="20"/>
                <w:color w:val="auto"/>
              </w:rPr>
            </w:pPr>
            <w:r>
              <w:rPr>
                <w:rFonts w:ascii="Arial" w:cs="Arial" w:eastAsia="Arial" w:hAnsi="Arial"/>
                <w:sz w:val="15"/>
                <w:szCs w:val="15"/>
                <w:color w:val="auto"/>
              </w:rPr>
              <w:t>Total assets</w:t>
            </w:r>
          </w:p>
        </w:tc>
        <w:tc>
          <w:tcPr>
            <w:tcW w:w="116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86,146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140,848</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18,451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40,956</w:t>
            </w: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7,238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18,886</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21,270</w:t>
            </w:r>
          </w:p>
        </w:tc>
        <w:tc>
          <w:tcPr>
            <w:tcW w:w="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left="300" w:hanging="293"/>
        <w:spacing w:after="0" w:line="286" w:lineRule="auto"/>
        <w:tabs>
          <w:tab w:leader="none" w:pos="280" w:val="left"/>
        </w:tabs>
        <w:rPr>
          <w:sz w:val="20"/>
          <w:szCs w:val="20"/>
          <w:color w:val="auto"/>
        </w:rPr>
      </w:pPr>
      <w:r>
        <w:rPr>
          <w:rFonts w:ascii="Arial" w:cs="Arial" w:eastAsia="Arial" w:hAnsi="Arial"/>
          <w:sz w:val="16"/>
          <w:szCs w:val="16"/>
          <w:i w:val="1"/>
          <w:iCs w:val="1"/>
          <w:color w:val="auto"/>
        </w:rPr>
        <w:t>(1)</w:t>
        <w:tab/>
        <w:t>Sales and other operating revenue includes sales-based taxes of $29,342 million for 2014, $30,589 million for 2013 and $32,409 million for 2012. See Note 1, Su of Accounting Policies.</w:t>
      </w:r>
    </w:p>
    <w:p>
      <w:pPr>
        <w:spacing w:after="0" w:line="174"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94" w:name="page95"/>
    <w:bookmarkEnd w:id="94"/>
    <w:tbl>
      <w:tblPr>
        <w:tblLayout w:type="fixed"/>
        <w:tblInd w:w="580" w:type="dxa"/>
        <w:tblCellMar>
          <w:top w:w="0" w:type="dxa"/>
          <w:left w:w="0" w:type="dxa"/>
          <w:bottom w:w="0" w:type="dxa"/>
          <w:right w:w="0" w:type="dxa"/>
        </w:tblCellMar>
      </w:tblPr>
      <w:tr>
        <w:trPr>
          <w:trHeight w:val="212"/>
        </w:trPr>
        <w:tc>
          <w:tcPr>
            <w:tcW w:w="7220" w:type="dxa"/>
            <w:vAlign w:val="bottom"/>
          </w:tcPr>
          <w:p>
            <w:pPr>
              <w:spacing w:after="0"/>
              <w:rPr>
                <w:sz w:val="20"/>
                <w:szCs w:val="20"/>
                <w:color w:val="auto"/>
              </w:rPr>
            </w:pPr>
            <w:r>
              <w:rPr>
                <w:rFonts w:ascii="Arial" w:cs="Arial" w:eastAsia="Arial" w:hAnsi="Arial"/>
                <w:sz w:val="16"/>
                <w:szCs w:val="16"/>
                <w:b w:val="1"/>
                <w:bCs w:val="1"/>
                <w:color w:val="auto"/>
              </w:rPr>
              <w:t>NOTES TO CONSOLIDATED FINANCIAL STATEMENTS</w:t>
            </w:r>
          </w:p>
        </w:tc>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04"/>
        </w:trPr>
        <w:tc>
          <w:tcPr>
            <w:tcW w:w="7220" w:type="dxa"/>
            <w:vAlign w:val="bottom"/>
          </w:tcPr>
          <w:p>
            <w:pPr>
              <w:spacing w:after="0"/>
              <w:rPr>
                <w:sz w:val="20"/>
                <w:szCs w:val="20"/>
                <w:color w:val="auto"/>
              </w:rPr>
            </w:pPr>
            <w:r>
              <w:rPr>
                <w:rFonts w:ascii="Arial" w:cs="Arial" w:eastAsia="Arial" w:hAnsi="Arial"/>
                <w:sz w:val="16"/>
                <w:szCs w:val="16"/>
                <w:b w:val="1"/>
                <w:bCs w:val="1"/>
                <w:color w:val="auto"/>
              </w:rPr>
              <w:t>Geographic</w:t>
            </w:r>
          </w:p>
        </w:tc>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7"/>
        </w:trPr>
        <w:tc>
          <w:tcPr>
            <w:tcW w:w="7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 xml:space="preserve">Sales and other operating revenue </w:t>
            </w:r>
            <w:r>
              <w:rPr>
                <w:rFonts w:ascii="Arial" w:cs="Arial" w:eastAsia="Arial" w:hAnsi="Arial"/>
                <w:sz w:val="14"/>
                <w:szCs w:val="14"/>
                <w:i w:val="1"/>
                <w:iCs w:val="1"/>
                <w:color w:val="auto"/>
              </w:rPr>
              <w:t>(1)</w:t>
            </w:r>
          </w:p>
        </w:tc>
        <w:tc>
          <w:tcPr>
            <w:tcW w:w="128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2014</w:t>
            </w:r>
          </w:p>
        </w:tc>
        <w:tc>
          <w:tcPr>
            <w:tcW w:w="1820" w:type="dxa"/>
            <w:vAlign w:val="bottom"/>
            <w:tcBorders>
              <w:bottom w:val="single" w:sz="8" w:color="auto"/>
            </w:tcBorders>
          </w:tcPr>
          <w:p>
            <w:pPr>
              <w:jc w:val="right"/>
              <w:ind w:right="761"/>
              <w:spacing w:after="0"/>
              <w:rPr>
                <w:sz w:val="20"/>
                <w:szCs w:val="20"/>
                <w:color w:val="auto"/>
              </w:rPr>
            </w:pPr>
            <w:r>
              <w:rPr>
                <w:rFonts w:ascii="Arial" w:cs="Arial" w:eastAsia="Arial" w:hAnsi="Arial"/>
                <w:sz w:val="13"/>
                <w:szCs w:val="13"/>
                <w:b w:val="1"/>
                <w:bCs w:val="1"/>
                <w:color w:val="auto"/>
              </w:rPr>
              <w:t>2013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w:t>
            </w:r>
          </w:p>
        </w:tc>
      </w:tr>
      <w:tr>
        <w:trPr>
          <w:trHeight w:val="166"/>
        </w:trPr>
        <w:tc>
          <w:tcPr>
            <w:tcW w:w="7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20" w:type="dxa"/>
            <w:vAlign w:val="bottom"/>
          </w:tcPr>
          <w:p>
            <w:pPr>
              <w:jc w:val="right"/>
              <w:ind w:right="381"/>
              <w:spacing w:after="0"/>
              <w:rPr>
                <w:sz w:val="20"/>
                <w:szCs w:val="20"/>
                <w:color w:val="auto"/>
              </w:rPr>
            </w:pPr>
            <w:r>
              <w:rPr>
                <w:rFonts w:ascii="Arial" w:cs="Arial" w:eastAsia="Arial" w:hAnsi="Arial"/>
                <w:sz w:val="13"/>
                <w:szCs w:val="13"/>
                <w:i w:val="1"/>
                <w:iCs w:val="1"/>
                <w:color w:val="auto"/>
              </w:rPr>
              <w:t>(millions of dollars)</w:t>
            </w:r>
          </w:p>
        </w:tc>
        <w:tc>
          <w:tcPr>
            <w:tcW w:w="620" w:type="dxa"/>
            <w:vAlign w:val="bottom"/>
          </w:tcPr>
          <w:p>
            <w:pPr>
              <w:spacing w:after="0"/>
              <w:rPr>
                <w:sz w:val="14"/>
                <w:szCs w:val="14"/>
                <w:color w:val="auto"/>
              </w:rPr>
            </w:pPr>
          </w:p>
        </w:tc>
      </w:tr>
      <w:tr>
        <w:trPr>
          <w:trHeight w:val="427"/>
        </w:trPr>
        <w:tc>
          <w:tcPr>
            <w:tcW w:w="7220" w:type="dxa"/>
            <w:vAlign w:val="bottom"/>
          </w:tcPr>
          <w:p>
            <w:pPr>
              <w:spacing w:after="0"/>
              <w:rPr>
                <w:sz w:val="20"/>
                <w:szCs w:val="20"/>
                <w:color w:val="auto"/>
              </w:rPr>
            </w:pPr>
            <w:r>
              <w:rPr>
                <w:rFonts w:ascii="Arial" w:cs="Arial" w:eastAsia="Arial" w:hAnsi="Arial"/>
                <w:sz w:val="16"/>
                <w:szCs w:val="16"/>
                <w:color w:val="auto"/>
              </w:rPr>
              <w:t>United States</w:t>
            </w:r>
          </w:p>
        </w:tc>
        <w:tc>
          <w:tcPr>
            <w:tcW w:w="1280" w:type="dxa"/>
            <w:vAlign w:val="bottom"/>
          </w:tcPr>
          <w:p>
            <w:pPr>
              <w:jc w:val="right"/>
              <w:ind w:right="220"/>
              <w:spacing w:after="0"/>
              <w:rPr>
                <w:sz w:val="20"/>
                <w:szCs w:val="20"/>
                <w:color w:val="auto"/>
              </w:rPr>
            </w:pPr>
            <w:r>
              <w:rPr>
                <w:rFonts w:ascii="Arial" w:cs="Arial" w:eastAsia="Arial" w:hAnsi="Arial"/>
                <w:sz w:val="16"/>
                <w:szCs w:val="16"/>
                <w:color w:val="auto"/>
              </w:rPr>
              <w:t>148,713</w:t>
            </w:r>
          </w:p>
        </w:tc>
        <w:tc>
          <w:tcPr>
            <w:tcW w:w="1820" w:type="dxa"/>
            <w:vAlign w:val="bottom"/>
          </w:tcPr>
          <w:p>
            <w:pPr>
              <w:jc w:val="right"/>
              <w:ind w:right="441"/>
              <w:spacing w:after="0"/>
              <w:rPr>
                <w:sz w:val="20"/>
                <w:szCs w:val="20"/>
                <w:color w:val="auto"/>
              </w:rPr>
            </w:pPr>
            <w:r>
              <w:rPr>
                <w:rFonts w:ascii="Arial" w:cs="Arial" w:eastAsia="Arial" w:hAnsi="Arial"/>
                <w:sz w:val="16"/>
                <w:szCs w:val="16"/>
                <w:color w:val="auto"/>
              </w:rPr>
              <w:t>152,820</w:t>
            </w: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7220" w:type="dxa"/>
            <w:vAlign w:val="bottom"/>
          </w:tcPr>
          <w:p>
            <w:pPr>
              <w:spacing w:after="0"/>
              <w:rPr>
                <w:sz w:val="20"/>
                <w:szCs w:val="20"/>
                <w:color w:val="auto"/>
              </w:rPr>
            </w:pPr>
            <w:r>
              <w:rPr>
                <w:rFonts w:ascii="Arial" w:cs="Arial" w:eastAsia="Arial" w:hAnsi="Arial"/>
                <w:sz w:val="16"/>
                <w:szCs w:val="16"/>
                <w:color w:val="auto"/>
              </w:rPr>
              <w:t>Non-U.S.</w:t>
            </w: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245,392</w:t>
            </w:r>
          </w:p>
        </w:tc>
        <w:tc>
          <w:tcPr>
            <w:tcW w:w="182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rPr>
              <w:t>268,016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96"/>
        </w:trPr>
        <w:tc>
          <w:tcPr>
            <w:tcW w:w="7220" w:type="dxa"/>
            <w:vAlign w:val="bottom"/>
          </w:tcPr>
          <w:p>
            <w:pPr>
              <w:ind w:left="240"/>
              <w:spacing w:after="0" w:line="183" w:lineRule="exact"/>
              <w:rPr>
                <w:sz w:val="20"/>
                <w:szCs w:val="20"/>
                <w:color w:val="auto"/>
              </w:rPr>
            </w:pPr>
            <w:r>
              <w:rPr>
                <w:rFonts w:ascii="Arial" w:cs="Arial" w:eastAsia="Arial" w:hAnsi="Arial"/>
                <w:sz w:val="16"/>
                <w:szCs w:val="16"/>
                <w:color w:val="auto"/>
              </w:rPr>
              <w:t>Total</w:t>
            </w: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394,105</w:t>
            </w:r>
          </w:p>
        </w:tc>
        <w:tc>
          <w:tcPr>
            <w:tcW w:w="182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rPr>
              <w:t>420,836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383"/>
        </w:trPr>
        <w:tc>
          <w:tcPr>
            <w:tcW w:w="7220" w:type="dxa"/>
            <w:vAlign w:val="bottom"/>
          </w:tcPr>
          <w:p>
            <w:pPr>
              <w:spacing w:after="0"/>
              <w:rPr>
                <w:sz w:val="20"/>
                <w:szCs w:val="20"/>
                <w:color w:val="auto"/>
              </w:rPr>
            </w:pPr>
            <w:r>
              <w:rPr>
                <w:rFonts w:ascii="Arial" w:cs="Arial" w:eastAsia="Arial" w:hAnsi="Arial"/>
                <w:sz w:val="16"/>
                <w:szCs w:val="16"/>
                <w:color w:val="auto"/>
              </w:rPr>
              <w:t>Significant non-U.S. revenue sources include:</w:t>
            </w:r>
          </w:p>
        </w:tc>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8"/>
        </w:trPr>
        <w:tc>
          <w:tcPr>
            <w:tcW w:w="7220" w:type="dxa"/>
            <w:vAlign w:val="bottom"/>
          </w:tcPr>
          <w:p>
            <w:pPr>
              <w:ind w:left="240"/>
              <w:spacing w:after="0"/>
              <w:rPr>
                <w:sz w:val="20"/>
                <w:szCs w:val="20"/>
                <w:color w:val="auto"/>
              </w:rPr>
            </w:pPr>
            <w:r>
              <w:rPr>
                <w:rFonts w:ascii="Arial" w:cs="Arial" w:eastAsia="Arial" w:hAnsi="Arial"/>
                <w:sz w:val="16"/>
                <w:szCs w:val="16"/>
                <w:color w:val="auto"/>
              </w:rPr>
              <w:t>Canada</w:t>
            </w:r>
          </w:p>
        </w:tc>
        <w:tc>
          <w:tcPr>
            <w:tcW w:w="1280" w:type="dxa"/>
            <w:vAlign w:val="bottom"/>
          </w:tcPr>
          <w:p>
            <w:pPr>
              <w:jc w:val="right"/>
              <w:ind w:right="220"/>
              <w:spacing w:after="0"/>
              <w:rPr>
                <w:sz w:val="20"/>
                <w:szCs w:val="20"/>
                <w:color w:val="auto"/>
              </w:rPr>
            </w:pPr>
            <w:r>
              <w:rPr>
                <w:rFonts w:ascii="Arial" w:cs="Arial" w:eastAsia="Arial" w:hAnsi="Arial"/>
                <w:sz w:val="16"/>
                <w:szCs w:val="16"/>
                <w:color w:val="auto"/>
              </w:rPr>
              <w:t>36,072</w:t>
            </w:r>
          </w:p>
        </w:tc>
        <w:tc>
          <w:tcPr>
            <w:tcW w:w="1820" w:type="dxa"/>
            <w:vAlign w:val="bottom"/>
          </w:tcPr>
          <w:p>
            <w:pPr>
              <w:jc w:val="right"/>
              <w:ind w:right="441"/>
              <w:spacing w:after="0"/>
              <w:rPr>
                <w:sz w:val="20"/>
                <w:szCs w:val="20"/>
                <w:color w:val="auto"/>
              </w:rPr>
            </w:pPr>
            <w:r>
              <w:rPr>
                <w:rFonts w:ascii="Arial" w:cs="Arial" w:eastAsia="Arial" w:hAnsi="Arial"/>
                <w:sz w:val="16"/>
                <w:szCs w:val="16"/>
                <w:color w:val="auto"/>
              </w:rPr>
              <w:t>35,924</w:t>
            </w:r>
          </w:p>
        </w:tc>
        <w:tc>
          <w:tcPr>
            <w:tcW w:w="620" w:type="dxa"/>
            <w:vAlign w:val="bottom"/>
          </w:tcPr>
          <w:p>
            <w:pPr>
              <w:spacing w:after="0"/>
              <w:rPr>
                <w:sz w:val="18"/>
                <w:szCs w:val="18"/>
                <w:color w:val="auto"/>
              </w:rPr>
            </w:pPr>
          </w:p>
        </w:tc>
      </w:tr>
      <w:tr>
        <w:trPr>
          <w:trHeight w:val="208"/>
        </w:trPr>
        <w:tc>
          <w:tcPr>
            <w:tcW w:w="7220" w:type="dxa"/>
            <w:vAlign w:val="bottom"/>
          </w:tcPr>
          <w:p>
            <w:pPr>
              <w:ind w:left="240"/>
              <w:spacing w:after="0"/>
              <w:rPr>
                <w:sz w:val="20"/>
                <w:szCs w:val="20"/>
                <w:color w:val="auto"/>
              </w:rPr>
            </w:pPr>
            <w:r>
              <w:rPr>
                <w:rFonts w:ascii="Arial" w:cs="Arial" w:eastAsia="Arial" w:hAnsi="Arial"/>
                <w:sz w:val="16"/>
                <w:szCs w:val="16"/>
                <w:color w:val="auto"/>
              </w:rPr>
              <w:t>United Kingdom</w:t>
            </w:r>
          </w:p>
        </w:tc>
        <w:tc>
          <w:tcPr>
            <w:tcW w:w="1280" w:type="dxa"/>
            <w:vAlign w:val="bottom"/>
          </w:tcPr>
          <w:p>
            <w:pPr>
              <w:jc w:val="right"/>
              <w:ind w:right="220"/>
              <w:spacing w:after="0"/>
              <w:rPr>
                <w:sz w:val="20"/>
                <w:szCs w:val="20"/>
                <w:color w:val="auto"/>
              </w:rPr>
            </w:pPr>
            <w:r>
              <w:rPr>
                <w:rFonts w:ascii="Arial" w:cs="Arial" w:eastAsia="Arial" w:hAnsi="Arial"/>
                <w:sz w:val="16"/>
                <w:szCs w:val="16"/>
                <w:color w:val="auto"/>
              </w:rPr>
              <w:t>31,346</w:t>
            </w:r>
          </w:p>
        </w:tc>
        <w:tc>
          <w:tcPr>
            <w:tcW w:w="1820" w:type="dxa"/>
            <w:vAlign w:val="bottom"/>
          </w:tcPr>
          <w:p>
            <w:pPr>
              <w:jc w:val="right"/>
              <w:ind w:right="441"/>
              <w:spacing w:after="0"/>
              <w:rPr>
                <w:sz w:val="20"/>
                <w:szCs w:val="20"/>
                <w:color w:val="auto"/>
              </w:rPr>
            </w:pPr>
            <w:r>
              <w:rPr>
                <w:rFonts w:ascii="Arial" w:cs="Arial" w:eastAsia="Arial" w:hAnsi="Arial"/>
                <w:sz w:val="16"/>
                <w:szCs w:val="16"/>
                <w:color w:val="auto"/>
              </w:rPr>
              <w:t>34,061</w:t>
            </w:r>
          </w:p>
        </w:tc>
        <w:tc>
          <w:tcPr>
            <w:tcW w:w="620" w:type="dxa"/>
            <w:vAlign w:val="bottom"/>
          </w:tcPr>
          <w:p>
            <w:pPr>
              <w:spacing w:after="0"/>
              <w:rPr>
                <w:sz w:val="18"/>
                <w:szCs w:val="18"/>
                <w:color w:val="auto"/>
              </w:rPr>
            </w:pPr>
          </w:p>
        </w:tc>
      </w:tr>
      <w:tr>
        <w:trPr>
          <w:trHeight w:val="208"/>
        </w:trPr>
        <w:tc>
          <w:tcPr>
            <w:tcW w:w="7220" w:type="dxa"/>
            <w:vAlign w:val="bottom"/>
          </w:tcPr>
          <w:p>
            <w:pPr>
              <w:ind w:left="240"/>
              <w:spacing w:after="0"/>
              <w:rPr>
                <w:sz w:val="20"/>
                <w:szCs w:val="20"/>
                <w:color w:val="auto"/>
              </w:rPr>
            </w:pPr>
            <w:r>
              <w:rPr>
                <w:rFonts w:ascii="Arial" w:cs="Arial" w:eastAsia="Arial" w:hAnsi="Arial"/>
                <w:sz w:val="16"/>
                <w:szCs w:val="16"/>
                <w:color w:val="auto"/>
              </w:rPr>
              <w:t>Belgium</w:t>
            </w:r>
          </w:p>
        </w:tc>
        <w:tc>
          <w:tcPr>
            <w:tcW w:w="1280" w:type="dxa"/>
            <w:vAlign w:val="bottom"/>
          </w:tcPr>
          <w:p>
            <w:pPr>
              <w:jc w:val="right"/>
              <w:ind w:right="220"/>
              <w:spacing w:after="0"/>
              <w:rPr>
                <w:sz w:val="20"/>
                <w:szCs w:val="20"/>
                <w:color w:val="auto"/>
              </w:rPr>
            </w:pPr>
            <w:r>
              <w:rPr>
                <w:rFonts w:ascii="Arial" w:cs="Arial" w:eastAsia="Arial" w:hAnsi="Arial"/>
                <w:sz w:val="16"/>
                <w:szCs w:val="16"/>
                <w:color w:val="auto"/>
              </w:rPr>
              <w:t>20,953</w:t>
            </w:r>
          </w:p>
        </w:tc>
        <w:tc>
          <w:tcPr>
            <w:tcW w:w="1820" w:type="dxa"/>
            <w:vAlign w:val="bottom"/>
          </w:tcPr>
          <w:p>
            <w:pPr>
              <w:jc w:val="right"/>
              <w:ind w:right="441"/>
              <w:spacing w:after="0"/>
              <w:rPr>
                <w:sz w:val="20"/>
                <w:szCs w:val="20"/>
                <w:color w:val="auto"/>
              </w:rPr>
            </w:pPr>
            <w:r>
              <w:rPr>
                <w:rFonts w:ascii="Arial" w:cs="Arial" w:eastAsia="Arial" w:hAnsi="Arial"/>
                <w:sz w:val="16"/>
                <w:szCs w:val="16"/>
                <w:color w:val="auto"/>
              </w:rPr>
              <w:t>20,973</w:t>
            </w:r>
          </w:p>
        </w:tc>
        <w:tc>
          <w:tcPr>
            <w:tcW w:w="620" w:type="dxa"/>
            <w:vAlign w:val="bottom"/>
          </w:tcPr>
          <w:p>
            <w:pPr>
              <w:spacing w:after="0"/>
              <w:rPr>
                <w:sz w:val="18"/>
                <w:szCs w:val="18"/>
                <w:color w:val="auto"/>
              </w:rPr>
            </w:pPr>
          </w:p>
        </w:tc>
      </w:tr>
      <w:tr>
        <w:trPr>
          <w:trHeight w:val="208"/>
        </w:trPr>
        <w:tc>
          <w:tcPr>
            <w:tcW w:w="7220" w:type="dxa"/>
            <w:vAlign w:val="bottom"/>
          </w:tcPr>
          <w:p>
            <w:pPr>
              <w:ind w:left="240"/>
              <w:spacing w:after="0"/>
              <w:rPr>
                <w:sz w:val="20"/>
                <w:szCs w:val="20"/>
                <w:color w:val="auto"/>
              </w:rPr>
            </w:pPr>
            <w:r>
              <w:rPr>
                <w:rFonts w:ascii="Arial" w:cs="Arial" w:eastAsia="Arial" w:hAnsi="Arial"/>
                <w:sz w:val="16"/>
                <w:szCs w:val="16"/>
                <w:color w:val="auto"/>
              </w:rPr>
              <w:t>Italy</w:t>
            </w:r>
          </w:p>
        </w:tc>
        <w:tc>
          <w:tcPr>
            <w:tcW w:w="1280" w:type="dxa"/>
            <w:vAlign w:val="bottom"/>
          </w:tcPr>
          <w:p>
            <w:pPr>
              <w:jc w:val="right"/>
              <w:ind w:right="220"/>
              <w:spacing w:after="0"/>
              <w:rPr>
                <w:sz w:val="20"/>
                <w:szCs w:val="20"/>
                <w:color w:val="auto"/>
              </w:rPr>
            </w:pPr>
            <w:r>
              <w:rPr>
                <w:rFonts w:ascii="Arial" w:cs="Arial" w:eastAsia="Arial" w:hAnsi="Arial"/>
                <w:sz w:val="16"/>
                <w:szCs w:val="16"/>
                <w:color w:val="auto"/>
              </w:rPr>
              <w:t>18,880</w:t>
            </w:r>
          </w:p>
        </w:tc>
        <w:tc>
          <w:tcPr>
            <w:tcW w:w="1820" w:type="dxa"/>
            <w:vAlign w:val="bottom"/>
          </w:tcPr>
          <w:p>
            <w:pPr>
              <w:jc w:val="right"/>
              <w:ind w:right="441"/>
              <w:spacing w:after="0"/>
              <w:rPr>
                <w:sz w:val="20"/>
                <w:szCs w:val="20"/>
                <w:color w:val="auto"/>
              </w:rPr>
            </w:pPr>
            <w:r>
              <w:rPr>
                <w:rFonts w:ascii="Arial" w:cs="Arial" w:eastAsia="Arial" w:hAnsi="Arial"/>
                <w:sz w:val="16"/>
                <w:szCs w:val="16"/>
                <w:color w:val="auto"/>
              </w:rPr>
              <w:t>19,273</w:t>
            </w:r>
          </w:p>
        </w:tc>
        <w:tc>
          <w:tcPr>
            <w:tcW w:w="620" w:type="dxa"/>
            <w:vAlign w:val="bottom"/>
          </w:tcPr>
          <w:p>
            <w:pPr>
              <w:spacing w:after="0"/>
              <w:rPr>
                <w:sz w:val="18"/>
                <w:szCs w:val="18"/>
                <w:color w:val="auto"/>
              </w:rPr>
            </w:pPr>
          </w:p>
        </w:tc>
      </w:tr>
      <w:tr>
        <w:trPr>
          <w:trHeight w:val="208"/>
        </w:trPr>
        <w:tc>
          <w:tcPr>
            <w:tcW w:w="7220" w:type="dxa"/>
            <w:vAlign w:val="bottom"/>
          </w:tcPr>
          <w:p>
            <w:pPr>
              <w:ind w:left="240"/>
              <w:spacing w:after="0"/>
              <w:rPr>
                <w:sz w:val="20"/>
                <w:szCs w:val="20"/>
                <w:color w:val="auto"/>
              </w:rPr>
            </w:pPr>
            <w:r>
              <w:rPr>
                <w:rFonts w:ascii="Arial" w:cs="Arial" w:eastAsia="Arial" w:hAnsi="Arial"/>
                <w:sz w:val="16"/>
                <w:szCs w:val="16"/>
                <w:color w:val="auto"/>
              </w:rPr>
              <w:t>France</w:t>
            </w:r>
          </w:p>
        </w:tc>
        <w:tc>
          <w:tcPr>
            <w:tcW w:w="1280" w:type="dxa"/>
            <w:vAlign w:val="bottom"/>
          </w:tcPr>
          <w:p>
            <w:pPr>
              <w:jc w:val="right"/>
              <w:ind w:right="220"/>
              <w:spacing w:after="0"/>
              <w:rPr>
                <w:sz w:val="20"/>
                <w:szCs w:val="20"/>
                <w:color w:val="auto"/>
              </w:rPr>
            </w:pPr>
            <w:r>
              <w:rPr>
                <w:rFonts w:ascii="Arial" w:cs="Arial" w:eastAsia="Arial" w:hAnsi="Arial"/>
                <w:sz w:val="16"/>
                <w:szCs w:val="16"/>
                <w:color w:val="auto"/>
              </w:rPr>
              <w:t>17,639</w:t>
            </w:r>
          </w:p>
        </w:tc>
        <w:tc>
          <w:tcPr>
            <w:tcW w:w="1820" w:type="dxa"/>
            <w:vAlign w:val="bottom"/>
          </w:tcPr>
          <w:p>
            <w:pPr>
              <w:jc w:val="right"/>
              <w:ind w:right="441"/>
              <w:spacing w:after="0"/>
              <w:rPr>
                <w:sz w:val="20"/>
                <w:szCs w:val="20"/>
                <w:color w:val="auto"/>
              </w:rPr>
            </w:pPr>
            <w:r>
              <w:rPr>
                <w:rFonts w:ascii="Arial" w:cs="Arial" w:eastAsia="Arial" w:hAnsi="Arial"/>
                <w:sz w:val="16"/>
                <w:szCs w:val="16"/>
                <w:color w:val="auto"/>
              </w:rPr>
              <w:t>18,444</w:t>
            </w:r>
          </w:p>
        </w:tc>
        <w:tc>
          <w:tcPr>
            <w:tcW w:w="620" w:type="dxa"/>
            <w:vAlign w:val="bottom"/>
          </w:tcPr>
          <w:p>
            <w:pPr>
              <w:spacing w:after="0"/>
              <w:rPr>
                <w:sz w:val="18"/>
                <w:szCs w:val="18"/>
                <w:color w:val="auto"/>
              </w:rPr>
            </w:pPr>
          </w:p>
        </w:tc>
      </w:tr>
      <w:tr>
        <w:trPr>
          <w:trHeight w:val="208"/>
        </w:trPr>
        <w:tc>
          <w:tcPr>
            <w:tcW w:w="7220" w:type="dxa"/>
            <w:vAlign w:val="bottom"/>
          </w:tcPr>
          <w:p>
            <w:pPr>
              <w:ind w:left="240"/>
              <w:spacing w:after="0"/>
              <w:rPr>
                <w:sz w:val="20"/>
                <w:szCs w:val="20"/>
                <w:color w:val="auto"/>
              </w:rPr>
            </w:pPr>
            <w:r>
              <w:rPr>
                <w:rFonts w:ascii="Arial" w:cs="Arial" w:eastAsia="Arial" w:hAnsi="Arial"/>
                <w:sz w:val="16"/>
                <w:szCs w:val="16"/>
                <w:color w:val="auto"/>
              </w:rPr>
              <w:t>Singapore</w:t>
            </w:r>
          </w:p>
        </w:tc>
        <w:tc>
          <w:tcPr>
            <w:tcW w:w="1280" w:type="dxa"/>
            <w:vAlign w:val="bottom"/>
          </w:tcPr>
          <w:p>
            <w:pPr>
              <w:jc w:val="right"/>
              <w:ind w:right="220"/>
              <w:spacing w:after="0"/>
              <w:rPr>
                <w:sz w:val="20"/>
                <w:szCs w:val="20"/>
                <w:color w:val="auto"/>
              </w:rPr>
            </w:pPr>
            <w:r>
              <w:rPr>
                <w:rFonts w:ascii="Arial" w:cs="Arial" w:eastAsia="Arial" w:hAnsi="Arial"/>
                <w:sz w:val="16"/>
                <w:szCs w:val="16"/>
                <w:color w:val="auto"/>
              </w:rPr>
              <w:t>15,407</w:t>
            </w:r>
          </w:p>
        </w:tc>
        <w:tc>
          <w:tcPr>
            <w:tcW w:w="1820" w:type="dxa"/>
            <w:vAlign w:val="bottom"/>
          </w:tcPr>
          <w:p>
            <w:pPr>
              <w:jc w:val="right"/>
              <w:ind w:right="441"/>
              <w:spacing w:after="0"/>
              <w:rPr>
                <w:sz w:val="20"/>
                <w:szCs w:val="20"/>
                <w:color w:val="auto"/>
              </w:rPr>
            </w:pPr>
            <w:r>
              <w:rPr>
                <w:rFonts w:ascii="Arial" w:cs="Arial" w:eastAsia="Arial" w:hAnsi="Arial"/>
                <w:sz w:val="16"/>
                <w:szCs w:val="16"/>
                <w:color w:val="auto"/>
              </w:rPr>
              <w:t>15,623</w:t>
            </w:r>
          </w:p>
        </w:tc>
        <w:tc>
          <w:tcPr>
            <w:tcW w:w="620" w:type="dxa"/>
            <w:vAlign w:val="bottom"/>
          </w:tcPr>
          <w:p>
            <w:pPr>
              <w:spacing w:after="0"/>
              <w:rPr>
                <w:sz w:val="18"/>
                <w:szCs w:val="18"/>
                <w:color w:val="auto"/>
              </w:rPr>
            </w:pPr>
          </w:p>
        </w:tc>
      </w:tr>
      <w:tr>
        <w:trPr>
          <w:trHeight w:val="208"/>
        </w:trPr>
        <w:tc>
          <w:tcPr>
            <w:tcW w:w="7220" w:type="dxa"/>
            <w:vAlign w:val="bottom"/>
          </w:tcPr>
          <w:p>
            <w:pPr>
              <w:ind w:left="240"/>
              <w:spacing w:after="0"/>
              <w:rPr>
                <w:sz w:val="20"/>
                <w:szCs w:val="20"/>
                <w:color w:val="auto"/>
              </w:rPr>
            </w:pPr>
            <w:r>
              <w:rPr>
                <w:rFonts w:ascii="Arial" w:cs="Arial" w:eastAsia="Arial" w:hAnsi="Arial"/>
                <w:sz w:val="16"/>
                <w:szCs w:val="16"/>
                <w:color w:val="auto"/>
              </w:rPr>
              <w:t>Germany</w:t>
            </w:r>
          </w:p>
        </w:tc>
        <w:tc>
          <w:tcPr>
            <w:tcW w:w="1280" w:type="dxa"/>
            <w:vAlign w:val="bottom"/>
          </w:tcPr>
          <w:p>
            <w:pPr>
              <w:jc w:val="right"/>
              <w:ind w:right="220"/>
              <w:spacing w:after="0"/>
              <w:rPr>
                <w:sz w:val="20"/>
                <w:szCs w:val="20"/>
                <w:color w:val="auto"/>
              </w:rPr>
            </w:pPr>
            <w:r>
              <w:rPr>
                <w:rFonts w:ascii="Arial" w:cs="Arial" w:eastAsia="Arial" w:hAnsi="Arial"/>
                <w:sz w:val="16"/>
                <w:szCs w:val="16"/>
                <w:color w:val="auto"/>
              </w:rPr>
              <w:t>14,816</w:t>
            </w:r>
          </w:p>
        </w:tc>
        <w:tc>
          <w:tcPr>
            <w:tcW w:w="1820" w:type="dxa"/>
            <w:vAlign w:val="bottom"/>
          </w:tcPr>
          <w:p>
            <w:pPr>
              <w:jc w:val="right"/>
              <w:ind w:right="441"/>
              <w:spacing w:after="0"/>
              <w:rPr>
                <w:sz w:val="20"/>
                <w:szCs w:val="20"/>
                <w:color w:val="auto"/>
              </w:rPr>
            </w:pPr>
            <w:r>
              <w:rPr>
                <w:rFonts w:ascii="Arial" w:cs="Arial" w:eastAsia="Arial" w:hAnsi="Arial"/>
                <w:sz w:val="16"/>
                <w:szCs w:val="16"/>
                <w:color w:val="auto"/>
              </w:rPr>
              <w:t>15,701</w:t>
            </w:r>
          </w:p>
        </w:tc>
        <w:tc>
          <w:tcPr>
            <w:tcW w:w="620" w:type="dxa"/>
            <w:vAlign w:val="bottom"/>
          </w:tcPr>
          <w:p>
            <w:pPr>
              <w:spacing w:after="0"/>
              <w:rPr>
                <w:sz w:val="18"/>
                <w:szCs w:val="18"/>
                <w:color w:val="auto"/>
              </w:rPr>
            </w:pPr>
          </w:p>
        </w:tc>
      </w:tr>
    </w:tbl>
    <w:p>
      <w:pPr>
        <w:spacing w:after="0" w:line="246" w:lineRule="exact"/>
        <w:rPr>
          <w:sz w:val="20"/>
          <w:szCs w:val="20"/>
          <w:color w:val="auto"/>
        </w:rPr>
      </w:pPr>
    </w:p>
    <w:p>
      <w:pPr>
        <w:ind w:left="880" w:hanging="249"/>
        <w:spacing w:after="0" w:line="286" w:lineRule="auto"/>
        <w:tabs>
          <w:tab w:leader="none" w:pos="911"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Sales and other operating revenue includes sales-based taxes of $29,342 million for 2014, $30,589 million for 2013 and $32,409 million for 2012. See Note 1, Su of Accounting Policies.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0" w:type="dxa"/>
            <w:vAlign w:val="bottom"/>
          </w:tcPr>
          <w:p>
            <w:pPr>
              <w:spacing w:after="0"/>
              <w:rPr>
                <w:sz w:val="18"/>
                <w:szCs w:val="18"/>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Long-lived assets</w:t>
            </w:r>
          </w:p>
        </w:tc>
        <w:tc>
          <w:tcPr>
            <w:tcW w:w="4160" w:type="dxa"/>
            <w:vAlign w:val="bottom"/>
            <w:tcBorders>
              <w:bottom w:val="single" w:sz="8" w:color="auto"/>
            </w:tcBorders>
            <w:gridSpan w:val="2"/>
          </w:tcPr>
          <w:p>
            <w:pPr>
              <w:jc w:val="right"/>
              <w:ind w:right="558"/>
              <w:spacing w:after="0"/>
              <w:rPr>
                <w:sz w:val="20"/>
                <w:szCs w:val="20"/>
                <w:color w:val="auto"/>
              </w:rPr>
            </w:pPr>
            <w:r>
              <w:rPr>
                <w:rFonts w:ascii="Arial" w:cs="Arial" w:eastAsia="Arial" w:hAnsi="Arial"/>
                <w:sz w:val="13"/>
                <w:szCs w:val="13"/>
                <w:b w:val="1"/>
                <w:bCs w:val="1"/>
                <w:color w:val="auto"/>
              </w:rPr>
              <w:t>2014</w:t>
            </w:r>
          </w:p>
        </w:tc>
        <w:tc>
          <w:tcPr>
            <w:tcW w:w="1820" w:type="dxa"/>
            <w:vAlign w:val="bottom"/>
            <w:tcBorders>
              <w:bottom w:val="single" w:sz="8" w:color="auto"/>
            </w:tcBorders>
          </w:tcPr>
          <w:p>
            <w:pPr>
              <w:jc w:val="right"/>
              <w:ind w:right="761"/>
              <w:spacing w:after="0"/>
              <w:rPr>
                <w:sz w:val="20"/>
                <w:szCs w:val="20"/>
                <w:color w:val="auto"/>
              </w:rPr>
            </w:pPr>
            <w:r>
              <w:rPr>
                <w:rFonts w:ascii="Arial" w:cs="Arial" w:eastAsia="Arial" w:hAnsi="Arial"/>
                <w:sz w:val="13"/>
                <w:szCs w:val="13"/>
                <w:b w:val="1"/>
                <w:bCs w:val="1"/>
                <w:color w:val="auto"/>
              </w:rPr>
              <w:t>2013</w:t>
            </w: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w:t>
            </w: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20" w:type="dxa"/>
            <w:vAlign w:val="bottom"/>
          </w:tcPr>
          <w:p>
            <w:pPr>
              <w:jc w:val="right"/>
              <w:ind w:right="381"/>
              <w:spacing w:after="0"/>
              <w:rPr>
                <w:sz w:val="20"/>
                <w:szCs w:val="20"/>
                <w:color w:val="auto"/>
              </w:rPr>
            </w:pPr>
            <w:r>
              <w:rPr>
                <w:rFonts w:ascii="Arial" w:cs="Arial" w:eastAsia="Arial" w:hAnsi="Arial"/>
                <w:sz w:val="13"/>
                <w:szCs w:val="13"/>
                <w:i w:val="1"/>
                <w:iCs w:val="1"/>
                <w:color w:val="auto"/>
              </w:rPr>
              <w:t>(millions of dollars)</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7"/>
        </w:trPr>
        <w:tc>
          <w:tcPr>
            <w:tcW w:w="5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United States</w:t>
            </w:r>
          </w:p>
        </w:tc>
        <w:tc>
          <w:tcPr>
            <w:tcW w:w="4160" w:type="dxa"/>
            <w:vAlign w:val="bottom"/>
            <w:gridSpan w:val="2"/>
          </w:tcPr>
          <w:p>
            <w:pPr>
              <w:jc w:val="right"/>
              <w:ind w:right="218"/>
              <w:spacing w:after="0"/>
              <w:rPr>
                <w:sz w:val="20"/>
                <w:szCs w:val="20"/>
                <w:color w:val="auto"/>
              </w:rPr>
            </w:pPr>
            <w:r>
              <w:rPr>
                <w:rFonts w:ascii="Arial" w:cs="Arial" w:eastAsia="Arial" w:hAnsi="Arial"/>
                <w:sz w:val="16"/>
                <w:szCs w:val="16"/>
                <w:color w:val="auto"/>
              </w:rPr>
              <w:t>104,000</w:t>
            </w:r>
          </w:p>
        </w:tc>
        <w:tc>
          <w:tcPr>
            <w:tcW w:w="1820" w:type="dxa"/>
            <w:vAlign w:val="bottom"/>
          </w:tcPr>
          <w:p>
            <w:pPr>
              <w:jc w:val="right"/>
              <w:ind w:right="441"/>
              <w:spacing w:after="0"/>
              <w:rPr>
                <w:sz w:val="20"/>
                <w:szCs w:val="20"/>
                <w:color w:val="auto"/>
              </w:rPr>
            </w:pPr>
            <w:r>
              <w:rPr>
                <w:rFonts w:ascii="Arial" w:cs="Arial" w:eastAsia="Arial" w:hAnsi="Arial"/>
                <w:sz w:val="16"/>
                <w:szCs w:val="16"/>
                <w:color w:val="auto"/>
              </w:rPr>
              <w:t>98,271</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Non-U.S.</w:t>
            </w:r>
          </w:p>
        </w:tc>
        <w:tc>
          <w:tcPr>
            <w:tcW w:w="4160" w:type="dxa"/>
            <w:vAlign w:val="bottom"/>
            <w:gridSpan w:val="2"/>
          </w:tcPr>
          <w:p>
            <w:pPr>
              <w:jc w:val="right"/>
              <w:ind w:right="218"/>
              <w:spacing w:after="0"/>
              <w:rPr>
                <w:sz w:val="20"/>
                <w:szCs w:val="20"/>
                <w:color w:val="auto"/>
              </w:rPr>
            </w:pPr>
            <w:r>
              <w:rPr>
                <w:rFonts w:ascii="Arial" w:cs="Arial" w:eastAsia="Arial" w:hAnsi="Arial"/>
                <w:sz w:val="16"/>
                <w:szCs w:val="16"/>
                <w:color w:val="auto"/>
              </w:rPr>
              <w:t>148,668</w:t>
            </w:r>
          </w:p>
        </w:tc>
        <w:tc>
          <w:tcPr>
            <w:tcW w:w="1820" w:type="dxa"/>
            <w:vAlign w:val="bottom"/>
          </w:tcPr>
          <w:p>
            <w:pPr>
              <w:jc w:val="right"/>
              <w:ind w:right="441"/>
              <w:spacing w:after="0"/>
              <w:rPr>
                <w:sz w:val="20"/>
                <w:szCs w:val="20"/>
                <w:color w:val="auto"/>
              </w:rPr>
            </w:pPr>
            <w:r>
              <w:rPr>
                <w:rFonts w:ascii="Arial" w:cs="Arial" w:eastAsia="Arial" w:hAnsi="Arial"/>
                <w:sz w:val="16"/>
                <w:szCs w:val="16"/>
                <w:color w:val="auto"/>
              </w:rPr>
              <w:t>145,379</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340" w:type="dxa"/>
            <w:vAlign w:val="bottom"/>
          </w:tcPr>
          <w:p>
            <w:pPr>
              <w:ind w:left="240"/>
              <w:spacing w:after="0"/>
              <w:rPr>
                <w:sz w:val="20"/>
                <w:szCs w:val="20"/>
                <w:color w:val="auto"/>
              </w:rPr>
            </w:pPr>
            <w:r>
              <w:rPr>
                <w:rFonts w:ascii="Arial" w:cs="Arial" w:eastAsia="Arial" w:hAnsi="Arial"/>
                <w:sz w:val="16"/>
                <w:szCs w:val="16"/>
                <w:color w:val="auto"/>
              </w:rPr>
              <w:t>Total</w:t>
            </w:r>
          </w:p>
        </w:tc>
        <w:tc>
          <w:tcPr>
            <w:tcW w:w="2880" w:type="dxa"/>
            <w:vAlign w:val="bottom"/>
          </w:tcPr>
          <w:p>
            <w:pPr>
              <w:spacing w:after="0"/>
              <w:rPr>
                <w:sz w:val="16"/>
                <w:szCs w:val="16"/>
                <w:color w:val="auto"/>
              </w:rPr>
            </w:pPr>
          </w:p>
        </w:tc>
        <w:tc>
          <w:tcPr>
            <w:tcW w:w="128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6"/>
                <w:szCs w:val="16"/>
                <w:color w:val="auto"/>
              </w:rPr>
              <w:t>252,668</w:t>
            </w:r>
          </w:p>
        </w:tc>
        <w:tc>
          <w:tcPr>
            <w:tcW w:w="182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color w:val="auto"/>
              </w:rPr>
              <w:t>243,650</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96"/>
        </w:trPr>
        <w:tc>
          <w:tcPr>
            <w:tcW w:w="5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Significant non-U.S. long-lived assets include:</w:t>
            </w:r>
          </w:p>
        </w:tc>
        <w:tc>
          <w:tcPr>
            <w:tcW w:w="4160" w:type="dxa"/>
            <w:vAlign w:val="bottom"/>
            <w:gridSpan w:val="2"/>
            <w:vMerge w:val="restart"/>
          </w:tcPr>
          <w:p>
            <w:pPr>
              <w:jc w:val="right"/>
              <w:ind w:right="218"/>
              <w:spacing w:after="0"/>
              <w:rPr>
                <w:sz w:val="20"/>
                <w:szCs w:val="20"/>
                <w:color w:val="auto"/>
              </w:rPr>
            </w:pPr>
            <w:r>
              <w:rPr>
                <w:rFonts w:ascii="Arial" w:cs="Arial" w:eastAsia="Arial" w:hAnsi="Arial"/>
                <w:sz w:val="16"/>
                <w:szCs w:val="16"/>
                <w:color w:val="auto"/>
              </w:rPr>
              <w:t>43,858</w:t>
            </w:r>
          </w:p>
        </w:tc>
        <w:tc>
          <w:tcPr>
            <w:tcW w:w="1820" w:type="dxa"/>
            <w:vAlign w:val="bottom"/>
            <w:vMerge w:val="restart"/>
          </w:tcPr>
          <w:p>
            <w:pPr>
              <w:jc w:val="right"/>
              <w:ind w:right="441"/>
              <w:spacing w:after="0"/>
              <w:rPr>
                <w:sz w:val="20"/>
                <w:szCs w:val="20"/>
                <w:color w:val="auto"/>
              </w:rPr>
            </w:pPr>
            <w:r>
              <w:rPr>
                <w:rFonts w:ascii="Arial" w:cs="Arial" w:eastAsia="Arial" w:hAnsi="Arial"/>
                <w:sz w:val="16"/>
                <w:szCs w:val="16"/>
                <w:color w:val="auto"/>
              </w:rPr>
              <w:t>41,522</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4340" w:type="dxa"/>
            <w:vAlign w:val="bottom"/>
          </w:tcPr>
          <w:p>
            <w:pPr>
              <w:ind w:left="240"/>
              <w:spacing w:after="0"/>
              <w:rPr>
                <w:sz w:val="20"/>
                <w:szCs w:val="20"/>
                <w:color w:val="auto"/>
              </w:rPr>
            </w:pPr>
            <w:r>
              <w:rPr>
                <w:rFonts w:ascii="Arial" w:cs="Arial" w:eastAsia="Arial" w:hAnsi="Arial"/>
                <w:sz w:val="16"/>
                <w:szCs w:val="16"/>
                <w:color w:val="auto"/>
              </w:rPr>
              <w:t>Canada</w:t>
            </w:r>
          </w:p>
        </w:tc>
        <w:tc>
          <w:tcPr>
            <w:tcW w:w="4160" w:type="dxa"/>
            <w:vAlign w:val="bottom"/>
            <w:gridSpan w:val="2"/>
            <w:vMerge w:val="continue"/>
          </w:tcPr>
          <w:p>
            <w:pPr>
              <w:spacing w:after="0"/>
              <w:rPr>
                <w:sz w:val="17"/>
                <w:szCs w:val="17"/>
                <w:color w:val="auto"/>
              </w:rPr>
            </w:pPr>
          </w:p>
        </w:tc>
        <w:tc>
          <w:tcPr>
            <w:tcW w:w="18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6"/>
                <w:szCs w:val="16"/>
                <w:color w:val="auto"/>
              </w:rPr>
              <w:t>Australia</w:t>
            </w:r>
          </w:p>
        </w:tc>
        <w:tc>
          <w:tcPr>
            <w:tcW w:w="4160" w:type="dxa"/>
            <w:vAlign w:val="bottom"/>
            <w:gridSpan w:val="2"/>
          </w:tcPr>
          <w:p>
            <w:pPr>
              <w:jc w:val="right"/>
              <w:ind w:right="218"/>
              <w:spacing w:after="0"/>
              <w:rPr>
                <w:sz w:val="20"/>
                <w:szCs w:val="20"/>
                <w:color w:val="auto"/>
              </w:rPr>
            </w:pPr>
            <w:r>
              <w:rPr>
                <w:rFonts w:ascii="Arial" w:cs="Arial" w:eastAsia="Arial" w:hAnsi="Arial"/>
                <w:sz w:val="16"/>
                <w:szCs w:val="16"/>
                <w:color w:val="auto"/>
              </w:rPr>
              <w:t>15,328</w:t>
            </w:r>
          </w:p>
        </w:tc>
        <w:tc>
          <w:tcPr>
            <w:tcW w:w="1820" w:type="dxa"/>
            <w:vAlign w:val="bottom"/>
          </w:tcPr>
          <w:p>
            <w:pPr>
              <w:jc w:val="right"/>
              <w:ind w:right="441"/>
              <w:spacing w:after="0"/>
              <w:rPr>
                <w:sz w:val="20"/>
                <w:szCs w:val="20"/>
                <w:color w:val="auto"/>
              </w:rPr>
            </w:pPr>
            <w:r>
              <w:rPr>
                <w:rFonts w:ascii="Arial" w:cs="Arial" w:eastAsia="Arial" w:hAnsi="Arial"/>
                <w:sz w:val="16"/>
                <w:szCs w:val="16"/>
                <w:color w:val="auto"/>
              </w:rPr>
              <w:t>14,258</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6"/>
                <w:szCs w:val="16"/>
                <w:color w:val="auto"/>
              </w:rPr>
              <w:t>Nigeria</w:t>
            </w:r>
          </w:p>
        </w:tc>
        <w:tc>
          <w:tcPr>
            <w:tcW w:w="4160" w:type="dxa"/>
            <w:vAlign w:val="bottom"/>
            <w:gridSpan w:val="2"/>
          </w:tcPr>
          <w:p>
            <w:pPr>
              <w:jc w:val="right"/>
              <w:ind w:right="218"/>
              <w:spacing w:after="0"/>
              <w:rPr>
                <w:sz w:val="20"/>
                <w:szCs w:val="20"/>
                <w:color w:val="auto"/>
              </w:rPr>
            </w:pPr>
            <w:r>
              <w:rPr>
                <w:rFonts w:ascii="Arial" w:cs="Arial" w:eastAsia="Arial" w:hAnsi="Arial"/>
                <w:sz w:val="16"/>
                <w:szCs w:val="16"/>
                <w:color w:val="auto"/>
              </w:rPr>
              <w:t>12,265</w:t>
            </w:r>
          </w:p>
        </w:tc>
        <w:tc>
          <w:tcPr>
            <w:tcW w:w="1820" w:type="dxa"/>
            <w:vAlign w:val="bottom"/>
          </w:tcPr>
          <w:p>
            <w:pPr>
              <w:jc w:val="right"/>
              <w:ind w:right="441"/>
              <w:spacing w:after="0"/>
              <w:rPr>
                <w:sz w:val="20"/>
                <w:szCs w:val="20"/>
                <w:color w:val="auto"/>
              </w:rPr>
            </w:pPr>
            <w:r>
              <w:rPr>
                <w:rFonts w:ascii="Arial" w:cs="Arial" w:eastAsia="Arial" w:hAnsi="Arial"/>
                <w:sz w:val="16"/>
                <w:szCs w:val="16"/>
                <w:color w:val="auto"/>
              </w:rPr>
              <w:t>12,343</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6"/>
                <w:szCs w:val="16"/>
                <w:color w:val="auto"/>
              </w:rPr>
              <w:t>Singapore</w:t>
            </w:r>
          </w:p>
        </w:tc>
        <w:tc>
          <w:tcPr>
            <w:tcW w:w="4160" w:type="dxa"/>
            <w:vAlign w:val="bottom"/>
            <w:gridSpan w:val="2"/>
          </w:tcPr>
          <w:p>
            <w:pPr>
              <w:jc w:val="right"/>
              <w:ind w:right="218"/>
              <w:spacing w:after="0"/>
              <w:rPr>
                <w:sz w:val="20"/>
                <w:szCs w:val="20"/>
                <w:color w:val="auto"/>
              </w:rPr>
            </w:pPr>
            <w:r>
              <w:rPr>
                <w:rFonts w:ascii="Arial" w:cs="Arial" w:eastAsia="Arial" w:hAnsi="Arial"/>
                <w:sz w:val="16"/>
                <w:szCs w:val="16"/>
                <w:color w:val="auto"/>
              </w:rPr>
              <w:t>9,620</w:t>
            </w:r>
          </w:p>
        </w:tc>
        <w:tc>
          <w:tcPr>
            <w:tcW w:w="1820" w:type="dxa"/>
            <w:vAlign w:val="bottom"/>
          </w:tcPr>
          <w:p>
            <w:pPr>
              <w:jc w:val="right"/>
              <w:ind w:right="441"/>
              <w:spacing w:after="0"/>
              <w:rPr>
                <w:sz w:val="20"/>
                <w:szCs w:val="20"/>
                <w:color w:val="auto"/>
              </w:rPr>
            </w:pPr>
            <w:r>
              <w:rPr>
                <w:rFonts w:ascii="Arial" w:cs="Arial" w:eastAsia="Arial" w:hAnsi="Arial"/>
                <w:sz w:val="16"/>
                <w:szCs w:val="16"/>
                <w:color w:val="auto"/>
              </w:rPr>
              <w:t>9,570</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6"/>
                <w:szCs w:val="16"/>
                <w:color w:val="auto"/>
              </w:rPr>
              <w:t>Kazakhstan</w:t>
            </w:r>
          </w:p>
        </w:tc>
        <w:tc>
          <w:tcPr>
            <w:tcW w:w="4160" w:type="dxa"/>
            <w:vAlign w:val="bottom"/>
            <w:gridSpan w:val="2"/>
          </w:tcPr>
          <w:p>
            <w:pPr>
              <w:jc w:val="right"/>
              <w:ind w:right="218"/>
              <w:spacing w:after="0"/>
              <w:rPr>
                <w:sz w:val="20"/>
                <w:szCs w:val="20"/>
                <w:color w:val="auto"/>
              </w:rPr>
            </w:pPr>
            <w:r>
              <w:rPr>
                <w:rFonts w:ascii="Arial" w:cs="Arial" w:eastAsia="Arial" w:hAnsi="Arial"/>
                <w:sz w:val="16"/>
                <w:szCs w:val="16"/>
                <w:color w:val="auto"/>
              </w:rPr>
              <w:t>9,138</w:t>
            </w:r>
          </w:p>
        </w:tc>
        <w:tc>
          <w:tcPr>
            <w:tcW w:w="1820" w:type="dxa"/>
            <w:vAlign w:val="bottom"/>
          </w:tcPr>
          <w:p>
            <w:pPr>
              <w:jc w:val="right"/>
              <w:ind w:right="441"/>
              <w:spacing w:after="0"/>
              <w:rPr>
                <w:sz w:val="20"/>
                <w:szCs w:val="20"/>
                <w:color w:val="auto"/>
              </w:rPr>
            </w:pPr>
            <w:r>
              <w:rPr>
                <w:rFonts w:ascii="Arial" w:cs="Arial" w:eastAsia="Arial" w:hAnsi="Arial"/>
                <w:sz w:val="16"/>
                <w:szCs w:val="16"/>
                <w:color w:val="auto"/>
              </w:rPr>
              <w:t>8,530</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6"/>
                <w:szCs w:val="16"/>
                <w:color w:val="auto"/>
              </w:rPr>
              <w:t>Angola</w:t>
            </w:r>
          </w:p>
        </w:tc>
        <w:tc>
          <w:tcPr>
            <w:tcW w:w="4160" w:type="dxa"/>
            <w:vAlign w:val="bottom"/>
            <w:gridSpan w:val="2"/>
          </w:tcPr>
          <w:p>
            <w:pPr>
              <w:jc w:val="right"/>
              <w:ind w:right="218"/>
              <w:spacing w:after="0"/>
              <w:rPr>
                <w:sz w:val="20"/>
                <w:szCs w:val="20"/>
                <w:color w:val="auto"/>
              </w:rPr>
            </w:pPr>
            <w:r>
              <w:rPr>
                <w:rFonts w:ascii="Arial" w:cs="Arial" w:eastAsia="Arial" w:hAnsi="Arial"/>
                <w:sz w:val="16"/>
                <w:szCs w:val="16"/>
                <w:color w:val="auto"/>
              </w:rPr>
              <w:t>9,057</w:t>
            </w:r>
          </w:p>
        </w:tc>
        <w:tc>
          <w:tcPr>
            <w:tcW w:w="1820" w:type="dxa"/>
            <w:vAlign w:val="bottom"/>
          </w:tcPr>
          <w:p>
            <w:pPr>
              <w:jc w:val="right"/>
              <w:ind w:right="441"/>
              <w:spacing w:after="0"/>
              <w:rPr>
                <w:sz w:val="20"/>
                <w:szCs w:val="20"/>
                <w:color w:val="auto"/>
              </w:rPr>
            </w:pPr>
            <w:r>
              <w:rPr>
                <w:rFonts w:ascii="Arial" w:cs="Arial" w:eastAsia="Arial" w:hAnsi="Arial"/>
                <w:sz w:val="16"/>
                <w:szCs w:val="16"/>
                <w:color w:val="auto"/>
              </w:rPr>
              <w:t>8,262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6"/>
                <w:szCs w:val="16"/>
                <w:color w:val="auto"/>
              </w:rPr>
              <w:t>Papua New Guinea</w:t>
            </w:r>
          </w:p>
        </w:tc>
        <w:tc>
          <w:tcPr>
            <w:tcW w:w="4160" w:type="dxa"/>
            <w:vAlign w:val="bottom"/>
            <w:gridSpan w:val="2"/>
          </w:tcPr>
          <w:p>
            <w:pPr>
              <w:jc w:val="right"/>
              <w:ind w:right="218"/>
              <w:spacing w:after="0"/>
              <w:rPr>
                <w:sz w:val="20"/>
                <w:szCs w:val="20"/>
                <w:color w:val="auto"/>
              </w:rPr>
            </w:pPr>
            <w:r>
              <w:rPr>
                <w:rFonts w:ascii="Arial" w:cs="Arial" w:eastAsia="Arial" w:hAnsi="Arial"/>
                <w:sz w:val="16"/>
                <w:szCs w:val="16"/>
                <w:color w:val="auto"/>
              </w:rPr>
              <w:t>6,099</w:t>
            </w:r>
          </w:p>
        </w:tc>
        <w:tc>
          <w:tcPr>
            <w:tcW w:w="1820" w:type="dxa"/>
            <w:vAlign w:val="bottom"/>
          </w:tcPr>
          <w:p>
            <w:pPr>
              <w:jc w:val="right"/>
              <w:ind w:right="441"/>
              <w:spacing w:after="0"/>
              <w:rPr>
                <w:sz w:val="20"/>
                <w:szCs w:val="20"/>
                <w:color w:val="auto"/>
              </w:rPr>
            </w:pPr>
            <w:r>
              <w:rPr>
                <w:rFonts w:ascii="Arial" w:cs="Arial" w:eastAsia="Arial" w:hAnsi="Arial"/>
                <w:sz w:val="16"/>
                <w:szCs w:val="16"/>
                <w:color w:val="auto"/>
              </w:rPr>
              <w:t>5,768</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6"/>
                <w:szCs w:val="16"/>
                <w:color w:val="auto"/>
              </w:rPr>
              <w:t>Norway</w:t>
            </w:r>
          </w:p>
        </w:tc>
        <w:tc>
          <w:tcPr>
            <w:tcW w:w="4160" w:type="dxa"/>
            <w:vAlign w:val="bottom"/>
            <w:gridSpan w:val="2"/>
          </w:tcPr>
          <w:p>
            <w:pPr>
              <w:jc w:val="right"/>
              <w:ind w:right="218"/>
              <w:spacing w:after="0"/>
              <w:rPr>
                <w:sz w:val="20"/>
                <w:szCs w:val="20"/>
                <w:color w:val="auto"/>
              </w:rPr>
            </w:pPr>
            <w:r>
              <w:rPr>
                <w:rFonts w:ascii="Arial" w:cs="Arial" w:eastAsia="Arial" w:hAnsi="Arial"/>
                <w:sz w:val="16"/>
                <w:szCs w:val="16"/>
                <w:color w:val="auto"/>
              </w:rPr>
              <w:t>5,139</w:t>
            </w:r>
          </w:p>
        </w:tc>
        <w:tc>
          <w:tcPr>
            <w:tcW w:w="1820" w:type="dxa"/>
            <w:vAlign w:val="bottom"/>
          </w:tcPr>
          <w:p>
            <w:pPr>
              <w:jc w:val="right"/>
              <w:ind w:right="441"/>
              <w:spacing w:after="0"/>
              <w:rPr>
                <w:sz w:val="20"/>
                <w:szCs w:val="20"/>
                <w:color w:val="auto"/>
              </w:rPr>
            </w:pPr>
            <w:r>
              <w:rPr>
                <w:rFonts w:ascii="Arial" w:cs="Arial" w:eastAsia="Arial" w:hAnsi="Arial"/>
                <w:sz w:val="16"/>
                <w:szCs w:val="16"/>
                <w:color w:val="auto"/>
              </w:rPr>
              <w:t>6,542</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880" w:type="dxa"/>
            <w:vAlign w:val="bottom"/>
          </w:tcPr>
          <w:p>
            <w:pPr>
              <w:jc w:val="right"/>
              <w:ind w:right="1360"/>
              <w:spacing w:after="0"/>
              <w:rPr>
                <w:sz w:val="20"/>
                <w:szCs w:val="20"/>
                <w:color w:val="auto"/>
              </w:rPr>
            </w:pPr>
            <w:r>
              <w:rPr>
                <w:rFonts w:ascii="Arial" w:cs="Arial" w:eastAsia="Arial" w:hAnsi="Arial"/>
                <w:sz w:val="16"/>
                <w:szCs w:val="16"/>
                <w:color w:val="auto"/>
              </w:rPr>
              <w:t>93</w:t>
            </w:r>
          </w:p>
        </w:tc>
        <w:tc>
          <w:tcPr>
            <w:tcW w:w="1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5"/>
        </w:trPr>
        <w:tc>
          <w:tcPr>
            <w:tcW w:w="580" w:type="dxa"/>
            <w:vAlign w:val="bottom"/>
            <w:tcBorders>
              <w:bottom w:val="single" w:sz="8" w:color="808080"/>
            </w:tcBorders>
          </w:tcPr>
          <w:p>
            <w:pPr>
              <w:spacing w:after="0"/>
              <w:rPr>
                <w:sz w:val="24"/>
                <w:szCs w:val="24"/>
                <w:color w:val="auto"/>
              </w:rPr>
            </w:pPr>
          </w:p>
        </w:tc>
        <w:tc>
          <w:tcPr>
            <w:tcW w:w="434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589" w:right="139" w:bottom="1440" w:gutter="0" w:footer="0" w:header="0"/>
        </w:sectPr>
      </w:pPr>
    </w:p>
    <w:bookmarkStart w:id="95" w:name="page96"/>
    <w:bookmarkEnd w:id="95"/>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19. Income, Sales-Based and Other Taxes</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9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1"/>
              <w:spacing w:after="0"/>
              <w:rPr>
                <w:sz w:val="20"/>
                <w:szCs w:val="20"/>
                <w:color w:val="auto"/>
              </w:rPr>
            </w:pPr>
            <w:r>
              <w:rPr>
                <w:rFonts w:ascii="Arial" w:cs="Arial" w:eastAsia="Arial" w:hAnsi="Arial"/>
                <w:sz w:val="13"/>
                <w:szCs w:val="13"/>
                <w:b w:val="1"/>
                <w:bCs w:val="1"/>
                <w:color w:val="auto"/>
              </w:rPr>
              <w:t>2014</w:t>
            </w:r>
          </w:p>
        </w:tc>
        <w:tc>
          <w:tcPr>
            <w:tcW w:w="10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2013</w:t>
            </w:r>
          </w:p>
        </w:tc>
        <w:tc>
          <w:tcPr>
            <w:tcW w:w="8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21"/>
              <w:spacing w:after="0"/>
              <w:rPr>
                <w:sz w:val="20"/>
                <w:szCs w:val="20"/>
                <w:color w:val="auto"/>
              </w:rPr>
            </w:pPr>
            <w:r>
              <w:rPr>
                <w:rFonts w:ascii="Arial" w:cs="Arial" w:eastAsia="Arial" w:hAnsi="Arial"/>
                <w:sz w:val="13"/>
                <w:szCs w:val="13"/>
                <w:b w:val="1"/>
                <w:bCs w:val="1"/>
                <w:color w:val="auto"/>
              </w:rPr>
              <w:t>2012</w:t>
            </w:r>
          </w:p>
        </w:tc>
        <w:tc>
          <w:tcPr>
            <w:tcW w:w="260" w:type="dxa"/>
            <w:vAlign w:val="bottom"/>
            <w:tcBorders>
              <w:bottom w:val="single" w:sz="8" w:color="auto"/>
            </w:tcBorders>
          </w:tcPr>
          <w:p>
            <w:pPr>
              <w:spacing w:after="0"/>
              <w:rPr>
                <w:sz w:val="15"/>
                <w:szCs w:val="15"/>
                <w:color w:val="auto"/>
              </w:rPr>
            </w:pPr>
          </w:p>
        </w:tc>
      </w:tr>
      <w:tr>
        <w:trPr>
          <w:trHeight w:val="168"/>
        </w:trPr>
        <w:tc>
          <w:tcPr>
            <w:tcW w:w="29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U.S.</w:t>
            </w:r>
          </w:p>
        </w:tc>
        <w:tc>
          <w:tcPr>
            <w:tcW w:w="108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Non-U.S.</w:t>
            </w: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Total</w:t>
            </w:r>
          </w:p>
        </w:tc>
        <w:tc>
          <w:tcPr>
            <w:tcW w:w="74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U.S.</w:t>
            </w:r>
          </w:p>
        </w:tc>
        <w:tc>
          <w:tcPr>
            <w:tcW w:w="122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Non-U.S.</w:t>
            </w:r>
          </w:p>
        </w:tc>
        <w:tc>
          <w:tcPr>
            <w:tcW w:w="82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Total</w:t>
            </w: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U.S.</w:t>
            </w:r>
          </w:p>
        </w:tc>
        <w:tc>
          <w:tcPr>
            <w:tcW w:w="100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Non-U.S.</w:t>
            </w:r>
          </w:p>
        </w:tc>
        <w:tc>
          <w:tcPr>
            <w:tcW w:w="260" w:type="dxa"/>
            <w:vAlign w:val="bottom"/>
            <w:tcBorders>
              <w:bottom w:val="single" w:sz="8" w:color="auto"/>
            </w:tcBorders>
          </w:tcPr>
          <w:p>
            <w:pPr>
              <w:spacing w:after="0"/>
              <w:rPr>
                <w:sz w:val="14"/>
                <w:szCs w:val="14"/>
                <w:color w:val="auto"/>
              </w:rPr>
            </w:pPr>
          </w:p>
        </w:tc>
      </w:tr>
      <w:tr>
        <w:trPr>
          <w:trHeight w:val="167"/>
        </w:trPr>
        <w:tc>
          <w:tcPr>
            <w:tcW w:w="2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jc w:val="right"/>
              <w:ind w:right="62"/>
              <w:spacing w:after="0"/>
              <w:rPr>
                <w:sz w:val="20"/>
                <w:szCs w:val="20"/>
                <w:color w:val="auto"/>
              </w:rPr>
            </w:pPr>
            <w:r>
              <w:rPr>
                <w:rFonts w:ascii="Arial" w:cs="Arial" w:eastAsia="Arial" w:hAnsi="Arial"/>
                <w:sz w:val="13"/>
                <w:szCs w:val="13"/>
                <w:i w:val="1"/>
                <w:iCs w:val="1"/>
                <w:color w:val="auto"/>
                <w:w w:val="97"/>
              </w:rPr>
              <w:t>(millions of dollars)</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07"/>
        </w:trPr>
        <w:tc>
          <w:tcPr>
            <w:tcW w:w="2900" w:type="dxa"/>
            <w:vAlign w:val="bottom"/>
          </w:tcPr>
          <w:p>
            <w:pPr>
              <w:spacing w:after="0"/>
              <w:rPr>
                <w:sz w:val="20"/>
                <w:szCs w:val="20"/>
                <w:color w:val="auto"/>
              </w:rPr>
            </w:pPr>
            <w:r>
              <w:rPr>
                <w:rFonts w:ascii="Arial" w:cs="Arial" w:eastAsia="Arial" w:hAnsi="Arial"/>
                <w:sz w:val="16"/>
                <w:szCs w:val="16"/>
                <w:color w:val="auto"/>
              </w:rPr>
              <w:t>Income tax expense</w:t>
            </w: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2900" w:type="dxa"/>
            <w:vAlign w:val="bottom"/>
          </w:tcPr>
          <w:p>
            <w:pPr>
              <w:ind w:left="120"/>
              <w:spacing w:after="0"/>
              <w:rPr>
                <w:sz w:val="20"/>
                <w:szCs w:val="20"/>
                <w:color w:val="auto"/>
              </w:rPr>
            </w:pPr>
            <w:r>
              <w:rPr>
                <w:rFonts w:ascii="Arial" w:cs="Arial" w:eastAsia="Arial" w:hAnsi="Arial"/>
                <w:sz w:val="16"/>
                <w:szCs w:val="16"/>
                <w:color w:val="auto"/>
              </w:rPr>
              <w:t>Federal and non-U.S.</w:t>
            </w: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2900" w:type="dxa"/>
            <w:vAlign w:val="bottom"/>
          </w:tcPr>
          <w:p>
            <w:pPr>
              <w:ind w:left="260"/>
              <w:spacing w:after="0"/>
              <w:rPr>
                <w:sz w:val="20"/>
                <w:szCs w:val="20"/>
                <w:color w:val="auto"/>
              </w:rPr>
            </w:pPr>
            <w:r>
              <w:rPr>
                <w:rFonts w:ascii="Arial" w:cs="Arial" w:eastAsia="Arial" w:hAnsi="Arial"/>
                <w:sz w:val="16"/>
                <w:szCs w:val="16"/>
                <w:color w:val="auto"/>
              </w:rPr>
              <w:t>Current</w:t>
            </w:r>
          </w:p>
        </w:tc>
        <w:tc>
          <w:tcPr>
            <w:tcW w:w="1000" w:type="dxa"/>
            <w:vAlign w:val="bottom"/>
          </w:tcPr>
          <w:p>
            <w:pPr>
              <w:jc w:val="right"/>
              <w:ind w:right="160"/>
              <w:spacing w:after="0"/>
              <w:rPr>
                <w:sz w:val="20"/>
                <w:szCs w:val="20"/>
                <w:color w:val="auto"/>
              </w:rPr>
            </w:pPr>
            <w:r>
              <w:rPr>
                <w:rFonts w:ascii="Arial" w:cs="Arial" w:eastAsia="Arial" w:hAnsi="Arial"/>
                <w:sz w:val="16"/>
                <w:szCs w:val="16"/>
                <w:color w:val="auto"/>
              </w:rPr>
              <w:t>1,456</w:t>
            </w:r>
          </w:p>
        </w:tc>
        <w:tc>
          <w:tcPr>
            <w:tcW w:w="1080" w:type="dxa"/>
            <w:vAlign w:val="bottom"/>
          </w:tcPr>
          <w:p>
            <w:pPr>
              <w:jc w:val="right"/>
              <w:ind w:right="201"/>
              <w:spacing w:after="0"/>
              <w:rPr>
                <w:sz w:val="20"/>
                <w:szCs w:val="20"/>
                <w:color w:val="auto"/>
              </w:rPr>
            </w:pPr>
            <w:r>
              <w:rPr>
                <w:rFonts w:ascii="Arial" w:cs="Arial" w:eastAsia="Arial" w:hAnsi="Arial"/>
                <w:sz w:val="16"/>
                <w:szCs w:val="16"/>
                <w:color w:val="auto"/>
              </w:rPr>
              <w:t>14,755</w:t>
            </w:r>
          </w:p>
        </w:tc>
        <w:tc>
          <w:tcPr>
            <w:tcW w:w="1040" w:type="dxa"/>
            <w:vAlign w:val="bottom"/>
          </w:tcPr>
          <w:p>
            <w:pPr>
              <w:jc w:val="right"/>
              <w:ind w:right="200"/>
              <w:spacing w:after="0"/>
              <w:rPr>
                <w:sz w:val="20"/>
                <w:szCs w:val="20"/>
                <w:color w:val="auto"/>
              </w:rPr>
            </w:pPr>
            <w:r>
              <w:rPr>
                <w:rFonts w:ascii="Arial" w:cs="Arial" w:eastAsia="Arial" w:hAnsi="Arial"/>
                <w:sz w:val="16"/>
                <w:szCs w:val="16"/>
                <w:color w:val="auto"/>
              </w:rPr>
              <w:t>16,211</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1,073</w:t>
            </w:r>
          </w:p>
        </w:tc>
        <w:tc>
          <w:tcPr>
            <w:tcW w:w="1220" w:type="dxa"/>
            <w:vAlign w:val="bottom"/>
          </w:tcPr>
          <w:p>
            <w:pPr>
              <w:jc w:val="right"/>
              <w:ind w:right="342"/>
              <w:spacing w:after="0"/>
              <w:rPr>
                <w:sz w:val="20"/>
                <w:szCs w:val="20"/>
                <w:color w:val="auto"/>
              </w:rPr>
            </w:pPr>
            <w:r>
              <w:rPr>
                <w:rFonts w:ascii="Arial" w:cs="Arial" w:eastAsia="Arial" w:hAnsi="Arial"/>
                <w:sz w:val="16"/>
                <w:szCs w:val="16"/>
                <w:color w:val="auto"/>
              </w:rPr>
              <w:t>22,115</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23,188</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1,791</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25,650</w:t>
            </w:r>
          </w:p>
        </w:tc>
        <w:tc>
          <w:tcPr>
            <w:tcW w:w="260" w:type="dxa"/>
            <w:vAlign w:val="bottom"/>
          </w:tcPr>
          <w:p>
            <w:pPr>
              <w:spacing w:after="0"/>
              <w:rPr>
                <w:sz w:val="17"/>
                <w:szCs w:val="17"/>
                <w:color w:val="auto"/>
              </w:rPr>
            </w:pPr>
          </w:p>
        </w:tc>
      </w:tr>
      <w:tr>
        <w:trPr>
          <w:trHeight w:val="196"/>
        </w:trPr>
        <w:tc>
          <w:tcPr>
            <w:tcW w:w="2900" w:type="dxa"/>
            <w:vAlign w:val="bottom"/>
          </w:tcPr>
          <w:p>
            <w:pPr>
              <w:ind w:left="260"/>
              <w:spacing w:after="0"/>
              <w:rPr>
                <w:sz w:val="20"/>
                <w:szCs w:val="20"/>
                <w:color w:val="auto"/>
              </w:rPr>
            </w:pPr>
            <w:r>
              <w:rPr>
                <w:rFonts w:ascii="Arial" w:cs="Arial" w:eastAsia="Arial" w:hAnsi="Arial"/>
                <w:sz w:val="16"/>
                <w:szCs w:val="16"/>
                <w:color w:val="auto"/>
              </w:rPr>
              <w:t>Deferred - net</w:t>
            </w:r>
          </w:p>
        </w:tc>
        <w:tc>
          <w:tcPr>
            <w:tcW w:w="1000" w:type="dxa"/>
            <w:vAlign w:val="bottom"/>
          </w:tcPr>
          <w:p>
            <w:pPr>
              <w:jc w:val="right"/>
              <w:ind w:right="160"/>
              <w:spacing w:after="0"/>
              <w:rPr>
                <w:sz w:val="20"/>
                <w:szCs w:val="20"/>
                <w:color w:val="auto"/>
              </w:rPr>
            </w:pPr>
            <w:r>
              <w:rPr>
                <w:rFonts w:ascii="Arial" w:cs="Arial" w:eastAsia="Arial" w:hAnsi="Arial"/>
                <w:sz w:val="16"/>
                <w:szCs w:val="16"/>
                <w:color w:val="auto"/>
              </w:rPr>
              <w:t>900</w:t>
            </w:r>
          </w:p>
        </w:tc>
        <w:tc>
          <w:tcPr>
            <w:tcW w:w="1080" w:type="dxa"/>
            <w:vAlign w:val="bottom"/>
          </w:tcPr>
          <w:p>
            <w:pPr>
              <w:jc w:val="right"/>
              <w:ind w:right="201"/>
              <w:spacing w:after="0"/>
              <w:rPr>
                <w:sz w:val="20"/>
                <w:szCs w:val="20"/>
                <w:color w:val="auto"/>
              </w:rPr>
            </w:pPr>
            <w:r>
              <w:rPr>
                <w:rFonts w:ascii="Arial" w:cs="Arial" w:eastAsia="Arial" w:hAnsi="Arial"/>
                <w:sz w:val="16"/>
                <w:szCs w:val="16"/>
                <w:color w:val="auto"/>
              </w:rPr>
              <w:t>1,398</w:t>
            </w:r>
          </w:p>
        </w:tc>
        <w:tc>
          <w:tcPr>
            <w:tcW w:w="1040" w:type="dxa"/>
            <w:vAlign w:val="bottom"/>
          </w:tcPr>
          <w:p>
            <w:pPr>
              <w:jc w:val="right"/>
              <w:ind w:right="200"/>
              <w:spacing w:after="0"/>
              <w:rPr>
                <w:sz w:val="20"/>
                <w:szCs w:val="20"/>
                <w:color w:val="auto"/>
              </w:rPr>
            </w:pPr>
            <w:r>
              <w:rPr>
                <w:rFonts w:ascii="Arial" w:cs="Arial" w:eastAsia="Arial" w:hAnsi="Arial"/>
                <w:sz w:val="16"/>
                <w:szCs w:val="16"/>
                <w:color w:val="auto"/>
              </w:rPr>
              <w:t>2,298</w:t>
            </w:r>
          </w:p>
        </w:tc>
        <w:tc>
          <w:tcPr>
            <w:tcW w:w="740" w:type="dxa"/>
            <w:vAlign w:val="bottom"/>
          </w:tcPr>
          <w:p>
            <w:pPr>
              <w:jc w:val="right"/>
              <w:spacing w:after="0"/>
              <w:rPr>
                <w:sz w:val="20"/>
                <w:szCs w:val="20"/>
                <w:color w:val="auto"/>
              </w:rPr>
            </w:pPr>
            <w:r>
              <w:rPr>
                <w:rFonts w:ascii="Arial" w:cs="Arial" w:eastAsia="Arial" w:hAnsi="Arial"/>
                <w:sz w:val="16"/>
                <w:szCs w:val="16"/>
                <w:color w:val="auto"/>
              </w:rPr>
              <w:t>(116)</w:t>
            </w:r>
          </w:p>
        </w:tc>
        <w:tc>
          <w:tcPr>
            <w:tcW w:w="1220" w:type="dxa"/>
            <w:vAlign w:val="bottom"/>
          </w:tcPr>
          <w:p>
            <w:pPr>
              <w:jc w:val="right"/>
              <w:ind w:right="342"/>
              <w:spacing w:after="0"/>
              <w:rPr>
                <w:sz w:val="20"/>
                <w:szCs w:val="20"/>
                <w:color w:val="auto"/>
              </w:rPr>
            </w:pPr>
            <w:r>
              <w:rPr>
                <w:rFonts w:ascii="Arial" w:cs="Arial" w:eastAsia="Arial" w:hAnsi="Arial"/>
                <w:sz w:val="16"/>
                <w:szCs w:val="16"/>
                <w:color w:val="auto"/>
              </w:rPr>
              <w:t>757</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641</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1,097</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1,816</w:t>
            </w:r>
          </w:p>
        </w:tc>
        <w:tc>
          <w:tcPr>
            <w:tcW w:w="260" w:type="dxa"/>
            <w:vAlign w:val="bottom"/>
          </w:tcPr>
          <w:p>
            <w:pPr>
              <w:spacing w:after="0"/>
              <w:rPr>
                <w:sz w:val="17"/>
                <w:szCs w:val="17"/>
                <w:color w:val="auto"/>
              </w:rPr>
            </w:pPr>
          </w:p>
        </w:tc>
      </w:tr>
      <w:tr>
        <w:trPr>
          <w:trHeight w:val="208"/>
        </w:trPr>
        <w:tc>
          <w:tcPr>
            <w:tcW w:w="2900" w:type="dxa"/>
            <w:vAlign w:val="bottom"/>
          </w:tcPr>
          <w:p>
            <w:pPr>
              <w:ind w:left="120"/>
              <w:spacing w:after="0"/>
              <w:rPr>
                <w:sz w:val="20"/>
                <w:szCs w:val="20"/>
                <w:color w:val="auto"/>
              </w:rPr>
            </w:pPr>
            <w:r>
              <w:rPr>
                <w:rFonts w:ascii="Arial" w:cs="Arial" w:eastAsia="Arial" w:hAnsi="Arial"/>
                <w:sz w:val="16"/>
                <w:szCs w:val="16"/>
                <w:color w:val="auto"/>
              </w:rPr>
              <w:t>U.S. tax on non-U.S. operations</w:t>
            </w:r>
          </w:p>
        </w:tc>
        <w:tc>
          <w:tcPr>
            <w:tcW w:w="10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5</w:t>
            </w:r>
          </w:p>
        </w:tc>
        <w:tc>
          <w:tcPr>
            <w:tcW w:w="108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5</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w:t>
            </w:r>
          </w:p>
        </w:tc>
        <w:tc>
          <w:tcPr>
            <w:tcW w:w="12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37</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89</w:t>
            </w:r>
          </w:p>
        </w:tc>
        <w:tc>
          <w:tcPr>
            <w:tcW w:w="10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r>
      <w:tr>
        <w:trPr>
          <w:trHeight w:val="177"/>
        </w:trPr>
        <w:tc>
          <w:tcPr>
            <w:tcW w:w="2900" w:type="dxa"/>
            <w:vAlign w:val="bottom"/>
          </w:tcPr>
          <w:p>
            <w:pPr>
              <w:ind w:left="480"/>
              <w:spacing w:after="0" w:line="177" w:lineRule="exact"/>
              <w:rPr>
                <w:sz w:val="20"/>
                <w:szCs w:val="20"/>
                <w:color w:val="auto"/>
              </w:rPr>
            </w:pPr>
            <w:r>
              <w:rPr>
                <w:rFonts w:ascii="Arial" w:cs="Arial" w:eastAsia="Arial" w:hAnsi="Arial"/>
                <w:sz w:val="16"/>
                <w:szCs w:val="16"/>
                <w:color w:val="auto"/>
              </w:rPr>
              <w:t>Total federal and non-U.S.</w:t>
            </w:r>
          </w:p>
        </w:tc>
        <w:tc>
          <w:tcPr>
            <w:tcW w:w="1000" w:type="dxa"/>
            <w:vAlign w:val="bottom"/>
          </w:tcPr>
          <w:p>
            <w:pPr>
              <w:jc w:val="right"/>
              <w:ind w:right="160"/>
              <w:spacing w:after="0" w:line="177" w:lineRule="exact"/>
              <w:rPr>
                <w:sz w:val="20"/>
                <w:szCs w:val="20"/>
                <w:color w:val="auto"/>
              </w:rPr>
            </w:pPr>
            <w:r>
              <w:rPr>
                <w:rFonts w:ascii="Arial" w:cs="Arial" w:eastAsia="Arial" w:hAnsi="Arial"/>
                <w:sz w:val="16"/>
                <w:szCs w:val="16"/>
                <w:color w:val="auto"/>
              </w:rPr>
              <w:t>2,361</w:t>
            </w:r>
          </w:p>
        </w:tc>
        <w:tc>
          <w:tcPr>
            <w:tcW w:w="1080" w:type="dxa"/>
            <w:vAlign w:val="bottom"/>
          </w:tcPr>
          <w:p>
            <w:pPr>
              <w:jc w:val="right"/>
              <w:ind w:right="201"/>
              <w:spacing w:after="0" w:line="177" w:lineRule="exact"/>
              <w:rPr>
                <w:sz w:val="20"/>
                <w:szCs w:val="20"/>
                <w:color w:val="auto"/>
              </w:rPr>
            </w:pPr>
            <w:r>
              <w:rPr>
                <w:rFonts w:ascii="Arial" w:cs="Arial" w:eastAsia="Arial" w:hAnsi="Arial"/>
                <w:sz w:val="16"/>
                <w:szCs w:val="16"/>
                <w:color w:val="auto"/>
              </w:rPr>
              <w:t>16,153</w:t>
            </w:r>
          </w:p>
        </w:tc>
        <w:tc>
          <w:tcPr>
            <w:tcW w:w="1040" w:type="dxa"/>
            <w:vAlign w:val="bottom"/>
          </w:tcPr>
          <w:p>
            <w:pPr>
              <w:jc w:val="right"/>
              <w:ind w:right="200"/>
              <w:spacing w:after="0" w:line="177" w:lineRule="exact"/>
              <w:rPr>
                <w:sz w:val="20"/>
                <w:szCs w:val="20"/>
                <w:color w:val="auto"/>
              </w:rPr>
            </w:pPr>
            <w:r>
              <w:rPr>
                <w:rFonts w:ascii="Arial" w:cs="Arial" w:eastAsia="Arial" w:hAnsi="Arial"/>
                <w:sz w:val="16"/>
                <w:szCs w:val="16"/>
                <w:color w:val="auto"/>
              </w:rPr>
              <w:t>18,514</w:t>
            </w:r>
          </w:p>
        </w:tc>
        <w:tc>
          <w:tcPr>
            <w:tcW w:w="740" w:type="dxa"/>
            <w:vAlign w:val="bottom"/>
          </w:tcPr>
          <w:p>
            <w:pPr>
              <w:jc w:val="right"/>
              <w:ind w:right="20"/>
              <w:spacing w:after="0" w:line="177" w:lineRule="exact"/>
              <w:rPr>
                <w:sz w:val="20"/>
                <w:szCs w:val="20"/>
                <w:color w:val="auto"/>
              </w:rPr>
            </w:pPr>
            <w:r>
              <w:rPr>
                <w:rFonts w:ascii="Arial" w:cs="Arial" w:eastAsia="Arial" w:hAnsi="Arial"/>
                <w:sz w:val="16"/>
                <w:szCs w:val="16"/>
                <w:color w:val="auto"/>
              </w:rPr>
              <w:t>994</w:t>
            </w:r>
          </w:p>
        </w:tc>
        <w:tc>
          <w:tcPr>
            <w:tcW w:w="1220" w:type="dxa"/>
            <w:vAlign w:val="bottom"/>
          </w:tcPr>
          <w:p>
            <w:pPr>
              <w:jc w:val="right"/>
              <w:ind w:right="342"/>
              <w:spacing w:after="0" w:line="177" w:lineRule="exact"/>
              <w:rPr>
                <w:sz w:val="20"/>
                <w:szCs w:val="20"/>
                <w:color w:val="auto"/>
              </w:rPr>
            </w:pPr>
            <w:r>
              <w:rPr>
                <w:rFonts w:ascii="Arial" w:cs="Arial" w:eastAsia="Arial" w:hAnsi="Arial"/>
                <w:sz w:val="16"/>
                <w:szCs w:val="16"/>
                <w:color w:val="auto"/>
              </w:rPr>
              <w:t>22,872</w:t>
            </w:r>
          </w:p>
        </w:tc>
        <w:tc>
          <w:tcPr>
            <w:tcW w:w="820" w:type="dxa"/>
            <w:vAlign w:val="bottom"/>
          </w:tcPr>
          <w:p>
            <w:pPr>
              <w:jc w:val="right"/>
              <w:ind w:right="140"/>
              <w:spacing w:after="0" w:line="177" w:lineRule="exact"/>
              <w:rPr>
                <w:sz w:val="20"/>
                <w:szCs w:val="20"/>
                <w:color w:val="auto"/>
              </w:rPr>
            </w:pPr>
            <w:r>
              <w:rPr>
                <w:rFonts w:ascii="Arial" w:cs="Arial" w:eastAsia="Arial" w:hAnsi="Arial"/>
                <w:sz w:val="16"/>
                <w:szCs w:val="16"/>
                <w:color w:val="auto"/>
              </w:rPr>
              <w:t>23,866</w:t>
            </w:r>
          </w:p>
        </w:tc>
        <w:tc>
          <w:tcPr>
            <w:tcW w:w="880" w:type="dxa"/>
            <w:vAlign w:val="bottom"/>
          </w:tcPr>
          <w:p>
            <w:pPr>
              <w:jc w:val="right"/>
              <w:ind w:right="120"/>
              <w:spacing w:after="0" w:line="177" w:lineRule="exact"/>
              <w:rPr>
                <w:sz w:val="20"/>
                <w:szCs w:val="20"/>
                <w:color w:val="auto"/>
              </w:rPr>
            </w:pPr>
            <w:r>
              <w:rPr>
                <w:rFonts w:ascii="Arial" w:cs="Arial" w:eastAsia="Arial" w:hAnsi="Arial"/>
                <w:sz w:val="16"/>
                <w:szCs w:val="16"/>
                <w:color w:val="auto"/>
              </w:rPr>
              <w:t>2,977</w:t>
            </w:r>
          </w:p>
        </w:tc>
        <w:tc>
          <w:tcPr>
            <w:tcW w:w="1000" w:type="dxa"/>
            <w:vAlign w:val="bottom"/>
          </w:tcPr>
          <w:p>
            <w:pPr>
              <w:jc w:val="right"/>
              <w:ind w:right="101"/>
              <w:spacing w:after="0" w:line="177" w:lineRule="exact"/>
              <w:rPr>
                <w:sz w:val="20"/>
                <w:szCs w:val="20"/>
                <w:color w:val="auto"/>
              </w:rPr>
            </w:pPr>
            <w:r>
              <w:rPr>
                <w:rFonts w:ascii="Arial" w:cs="Arial" w:eastAsia="Arial" w:hAnsi="Arial"/>
                <w:sz w:val="16"/>
                <w:szCs w:val="16"/>
                <w:color w:val="auto"/>
              </w:rPr>
              <w:t>27,466</w:t>
            </w:r>
          </w:p>
        </w:tc>
        <w:tc>
          <w:tcPr>
            <w:tcW w:w="260" w:type="dxa"/>
            <w:vAlign w:val="bottom"/>
          </w:tcPr>
          <w:p>
            <w:pPr>
              <w:spacing w:after="0"/>
              <w:rPr>
                <w:sz w:val="15"/>
                <w:szCs w:val="15"/>
                <w:color w:val="auto"/>
              </w:rPr>
            </w:pPr>
          </w:p>
        </w:tc>
      </w:tr>
      <w:tr>
        <w:trPr>
          <w:trHeight w:val="208"/>
        </w:trPr>
        <w:tc>
          <w:tcPr>
            <w:tcW w:w="2900" w:type="dxa"/>
            <w:vAlign w:val="bottom"/>
          </w:tcPr>
          <w:p>
            <w:pPr>
              <w:ind w:left="120"/>
              <w:spacing w:after="0"/>
              <w:rPr>
                <w:sz w:val="20"/>
                <w:szCs w:val="20"/>
                <w:color w:val="auto"/>
              </w:rPr>
            </w:pPr>
            <w:r>
              <w:rPr>
                <w:rFonts w:ascii="Arial" w:cs="Arial" w:eastAsia="Arial" w:hAnsi="Arial"/>
                <w:sz w:val="16"/>
                <w:szCs w:val="16"/>
                <w:color w:val="auto"/>
              </w:rPr>
              <w:t xml:space="preserve">State </w:t>
            </w:r>
            <w:r>
              <w:rPr>
                <w:rFonts w:ascii="Arial" w:cs="Arial" w:eastAsia="Arial" w:hAnsi="Arial"/>
                <w:sz w:val="16"/>
                <w:szCs w:val="16"/>
                <w:i w:val="1"/>
                <w:iCs w:val="1"/>
                <w:color w:val="auto"/>
              </w:rPr>
              <w:t>(1)</w:t>
            </w: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(499)</w:t>
            </w:r>
          </w:p>
        </w:tc>
        <w:tc>
          <w:tcPr>
            <w:tcW w:w="108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(499)</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397</w:t>
            </w:r>
          </w:p>
        </w:tc>
        <w:tc>
          <w:tcPr>
            <w:tcW w:w="12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397</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602</w:t>
            </w:r>
          </w:p>
        </w:tc>
        <w:tc>
          <w:tcPr>
            <w:tcW w:w="10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r>
      <w:tr>
        <w:trPr>
          <w:trHeight w:val="177"/>
        </w:trPr>
        <w:tc>
          <w:tcPr>
            <w:tcW w:w="2900" w:type="dxa"/>
            <w:vAlign w:val="bottom"/>
          </w:tcPr>
          <w:p>
            <w:pPr>
              <w:ind w:left="480"/>
              <w:spacing w:after="0" w:line="177" w:lineRule="exact"/>
              <w:rPr>
                <w:sz w:val="20"/>
                <w:szCs w:val="20"/>
                <w:color w:val="auto"/>
              </w:rPr>
            </w:pPr>
            <w:r>
              <w:rPr>
                <w:rFonts w:ascii="Arial" w:cs="Arial" w:eastAsia="Arial" w:hAnsi="Arial"/>
                <w:sz w:val="16"/>
                <w:szCs w:val="16"/>
                <w:color w:val="auto"/>
              </w:rPr>
              <w:t>Total income tax expense</w:t>
            </w:r>
          </w:p>
        </w:tc>
        <w:tc>
          <w:tcPr>
            <w:tcW w:w="1000" w:type="dxa"/>
            <w:vAlign w:val="bottom"/>
          </w:tcPr>
          <w:p>
            <w:pPr>
              <w:jc w:val="right"/>
              <w:ind w:right="160"/>
              <w:spacing w:after="0" w:line="177" w:lineRule="exact"/>
              <w:rPr>
                <w:sz w:val="20"/>
                <w:szCs w:val="20"/>
                <w:color w:val="auto"/>
              </w:rPr>
            </w:pPr>
            <w:r>
              <w:rPr>
                <w:rFonts w:ascii="Arial" w:cs="Arial" w:eastAsia="Arial" w:hAnsi="Arial"/>
                <w:sz w:val="16"/>
                <w:szCs w:val="16"/>
                <w:color w:val="auto"/>
              </w:rPr>
              <w:t>1,862</w:t>
            </w:r>
          </w:p>
        </w:tc>
        <w:tc>
          <w:tcPr>
            <w:tcW w:w="1080" w:type="dxa"/>
            <w:vAlign w:val="bottom"/>
          </w:tcPr>
          <w:p>
            <w:pPr>
              <w:jc w:val="right"/>
              <w:ind w:right="201"/>
              <w:spacing w:after="0" w:line="177" w:lineRule="exact"/>
              <w:rPr>
                <w:sz w:val="20"/>
                <w:szCs w:val="20"/>
                <w:color w:val="auto"/>
              </w:rPr>
            </w:pPr>
            <w:r>
              <w:rPr>
                <w:rFonts w:ascii="Arial" w:cs="Arial" w:eastAsia="Arial" w:hAnsi="Arial"/>
                <w:sz w:val="16"/>
                <w:szCs w:val="16"/>
                <w:color w:val="auto"/>
              </w:rPr>
              <w:t>16,153</w:t>
            </w:r>
          </w:p>
        </w:tc>
        <w:tc>
          <w:tcPr>
            <w:tcW w:w="1040" w:type="dxa"/>
            <w:vAlign w:val="bottom"/>
          </w:tcPr>
          <w:p>
            <w:pPr>
              <w:jc w:val="right"/>
              <w:ind w:right="200"/>
              <w:spacing w:after="0" w:line="177" w:lineRule="exact"/>
              <w:rPr>
                <w:sz w:val="20"/>
                <w:szCs w:val="20"/>
                <w:color w:val="auto"/>
              </w:rPr>
            </w:pPr>
            <w:r>
              <w:rPr>
                <w:rFonts w:ascii="Arial" w:cs="Arial" w:eastAsia="Arial" w:hAnsi="Arial"/>
                <w:sz w:val="16"/>
                <w:szCs w:val="16"/>
                <w:color w:val="auto"/>
              </w:rPr>
              <w:t>18,015</w:t>
            </w:r>
          </w:p>
        </w:tc>
        <w:tc>
          <w:tcPr>
            <w:tcW w:w="740" w:type="dxa"/>
            <w:vAlign w:val="bottom"/>
          </w:tcPr>
          <w:p>
            <w:pPr>
              <w:jc w:val="right"/>
              <w:ind w:right="20"/>
              <w:spacing w:after="0" w:line="177" w:lineRule="exact"/>
              <w:rPr>
                <w:sz w:val="20"/>
                <w:szCs w:val="20"/>
                <w:color w:val="auto"/>
              </w:rPr>
            </w:pPr>
            <w:r>
              <w:rPr>
                <w:rFonts w:ascii="Arial" w:cs="Arial" w:eastAsia="Arial" w:hAnsi="Arial"/>
                <w:sz w:val="16"/>
                <w:szCs w:val="16"/>
                <w:color w:val="auto"/>
              </w:rPr>
              <w:t>1,391</w:t>
            </w:r>
          </w:p>
        </w:tc>
        <w:tc>
          <w:tcPr>
            <w:tcW w:w="1220" w:type="dxa"/>
            <w:vAlign w:val="bottom"/>
          </w:tcPr>
          <w:p>
            <w:pPr>
              <w:jc w:val="right"/>
              <w:ind w:right="342"/>
              <w:spacing w:after="0" w:line="177" w:lineRule="exact"/>
              <w:rPr>
                <w:sz w:val="20"/>
                <w:szCs w:val="20"/>
                <w:color w:val="auto"/>
              </w:rPr>
            </w:pPr>
            <w:r>
              <w:rPr>
                <w:rFonts w:ascii="Arial" w:cs="Arial" w:eastAsia="Arial" w:hAnsi="Arial"/>
                <w:sz w:val="16"/>
                <w:szCs w:val="16"/>
                <w:color w:val="auto"/>
              </w:rPr>
              <w:t>22,872</w:t>
            </w:r>
          </w:p>
        </w:tc>
        <w:tc>
          <w:tcPr>
            <w:tcW w:w="820" w:type="dxa"/>
            <w:vAlign w:val="bottom"/>
          </w:tcPr>
          <w:p>
            <w:pPr>
              <w:jc w:val="right"/>
              <w:ind w:right="140"/>
              <w:spacing w:after="0" w:line="177" w:lineRule="exact"/>
              <w:rPr>
                <w:sz w:val="20"/>
                <w:szCs w:val="20"/>
                <w:color w:val="auto"/>
              </w:rPr>
            </w:pPr>
            <w:r>
              <w:rPr>
                <w:rFonts w:ascii="Arial" w:cs="Arial" w:eastAsia="Arial" w:hAnsi="Arial"/>
                <w:sz w:val="16"/>
                <w:szCs w:val="16"/>
                <w:color w:val="auto"/>
              </w:rPr>
              <w:t>24,263</w:t>
            </w:r>
          </w:p>
        </w:tc>
        <w:tc>
          <w:tcPr>
            <w:tcW w:w="880" w:type="dxa"/>
            <w:vAlign w:val="bottom"/>
          </w:tcPr>
          <w:p>
            <w:pPr>
              <w:jc w:val="right"/>
              <w:ind w:right="120"/>
              <w:spacing w:after="0" w:line="177" w:lineRule="exact"/>
              <w:rPr>
                <w:sz w:val="20"/>
                <w:szCs w:val="20"/>
                <w:color w:val="auto"/>
              </w:rPr>
            </w:pPr>
            <w:r>
              <w:rPr>
                <w:rFonts w:ascii="Arial" w:cs="Arial" w:eastAsia="Arial" w:hAnsi="Arial"/>
                <w:sz w:val="16"/>
                <w:szCs w:val="16"/>
                <w:color w:val="auto"/>
              </w:rPr>
              <w:t>3,579</w:t>
            </w:r>
          </w:p>
        </w:tc>
        <w:tc>
          <w:tcPr>
            <w:tcW w:w="1000" w:type="dxa"/>
            <w:vAlign w:val="bottom"/>
          </w:tcPr>
          <w:p>
            <w:pPr>
              <w:jc w:val="right"/>
              <w:ind w:right="101"/>
              <w:spacing w:after="0" w:line="177" w:lineRule="exact"/>
              <w:rPr>
                <w:sz w:val="20"/>
                <w:szCs w:val="20"/>
                <w:color w:val="auto"/>
              </w:rPr>
            </w:pPr>
            <w:r>
              <w:rPr>
                <w:rFonts w:ascii="Arial" w:cs="Arial" w:eastAsia="Arial" w:hAnsi="Arial"/>
                <w:sz w:val="16"/>
                <w:szCs w:val="16"/>
                <w:color w:val="auto"/>
              </w:rPr>
              <w:t>27,466</w:t>
            </w:r>
          </w:p>
        </w:tc>
        <w:tc>
          <w:tcPr>
            <w:tcW w:w="260" w:type="dxa"/>
            <w:vAlign w:val="bottom"/>
          </w:tcPr>
          <w:p>
            <w:pPr>
              <w:spacing w:after="0"/>
              <w:rPr>
                <w:sz w:val="15"/>
                <w:szCs w:val="15"/>
                <w:color w:val="auto"/>
              </w:rPr>
            </w:pPr>
          </w:p>
        </w:tc>
      </w:tr>
      <w:tr>
        <w:trPr>
          <w:trHeight w:val="196"/>
        </w:trPr>
        <w:tc>
          <w:tcPr>
            <w:tcW w:w="2900" w:type="dxa"/>
            <w:vAlign w:val="bottom"/>
          </w:tcPr>
          <w:p>
            <w:pPr>
              <w:spacing w:after="0"/>
              <w:rPr>
                <w:sz w:val="20"/>
                <w:szCs w:val="20"/>
                <w:color w:val="auto"/>
              </w:rPr>
            </w:pPr>
            <w:r>
              <w:rPr>
                <w:rFonts w:ascii="Arial" w:cs="Arial" w:eastAsia="Arial" w:hAnsi="Arial"/>
                <w:sz w:val="16"/>
                <w:szCs w:val="16"/>
                <w:color w:val="auto"/>
              </w:rPr>
              <w:t>Sales-based taxes</w:t>
            </w:r>
          </w:p>
        </w:tc>
        <w:tc>
          <w:tcPr>
            <w:tcW w:w="1000" w:type="dxa"/>
            <w:vAlign w:val="bottom"/>
          </w:tcPr>
          <w:p>
            <w:pPr>
              <w:jc w:val="right"/>
              <w:ind w:right="160"/>
              <w:spacing w:after="0"/>
              <w:rPr>
                <w:sz w:val="20"/>
                <w:szCs w:val="20"/>
                <w:color w:val="auto"/>
              </w:rPr>
            </w:pPr>
            <w:r>
              <w:rPr>
                <w:rFonts w:ascii="Arial" w:cs="Arial" w:eastAsia="Arial" w:hAnsi="Arial"/>
                <w:sz w:val="16"/>
                <w:szCs w:val="16"/>
                <w:color w:val="auto"/>
              </w:rPr>
              <w:t>6,310</w:t>
            </w:r>
          </w:p>
        </w:tc>
        <w:tc>
          <w:tcPr>
            <w:tcW w:w="1080" w:type="dxa"/>
            <w:vAlign w:val="bottom"/>
          </w:tcPr>
          <w:p>
            <w:pPr>
              <w:jc w:val="right"/>
              <w:ind w:right="201"/>
              <w:spacing w:after="0"/>
              <w:rPr>
                <w:sz w:val="20"/>
                <w:szCs w:val="20"/>
                <w:color w:val="auto"/>
              </w:rPr>
            </w:pPr>
            <w:r>
              <w:rPr>
                <w:rFonts w:ascii="Arial" w:cs="Arial" w:eastAsia="Arial" w:hAnsi="Arial"/>
                <w:sz w:val="16"/>
                <w:szCs w:val="16"/>
                <w:color w:val="auto"/>
              </w:rPr>
              <w:t>23,032</w:t>
            </w:r>
          </w:p>
        </w:tc>
        <w:tc>
          <w:tcPr>
            <w:tcW w:w="1040" w:type="dxa"/>
            <w:vAlign w:val="bottom"/>
          </w:tcPr>
          <w:p>
            <w:pPr>
              <w:jc w:val="right"/>
              <w:ind w:right="200"/>
              <w:spacing w:after="0"/>
              <w:rPr>
                <w:sz w:val="20"/>
                <w:szCs w:val="20"/>
                <w:color w:val="auto"/>
              </w:rPr>
            </w:pPr>
            <w:r>
              <w:rPr>
                <w:rFonts w:ascii="Arial" w:cs="Arial" w:eastAsia="Arial" w:hAnsi="Arial"/>
                <w:sz w:val="16"/>
                <w:szCs w:val="16"/>
                <w:color w:val="auto"/>
              </w:rPr>
              <w:t>29,342</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5,992</w:t>
            </w:r>
          </w:p>
        </w:tc>
        <w:tc>
          <w:tcPr>
            <w:tcW w:w="1220" w:type="dxa"/>
            <w:vAlign w:val="bottom"/>
          </w:tcPr>
          <w:p>
            <w:pPr>
              <w:jc w:val="right"/>
              <w:ind w:right="342"/>
              <w:spacing w:after="0"/>
              <w:rPr>
                <w:sz w:val="20"/>
                <w:szCs w:val="20"/>
                <w:color w:val="auto"/>
              </w:rPr>
            </w:pPr>
            <w:r>
              <w:rPr>
                <w:rFonts w:ascii="Arial" w:cs="Arial" w:eastAsia="Arial" w:hAnsi="Arial"/>
                <w:sz w:val="16"/>
                <w:szCs w:val="16"/>
                <w:color w:val="auto"/>
              </w:rPr>
              <w:t>24,597</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30,589</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5,785</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26,624</w:t>
            </w:r>
          </w:p>
        </w:tc>
        <w:tc>
          <w:tcPr>
            <w:tcW w:w="260" w:type="dxa"/>
            <w:vAlign w:val="bottom"/>
          </w:tcPr>
          <w:p>
            <w:pPr>
              <w:spacing w:after="0"/>
              <w:rPr>
                <w:sz w:val="17"/>
                <w:szCs w:val="17"/>
                <w:color w:val="auto"/>
              </w:rPr>
            </w:pPr>
          </w:p>
        </w:tc>
      </w:tr>
      <w:tr>
        <w:trPr>
          <w:trHeight w:val="196"/>
        </w:trPr>
        <w:tc>
          <w:tcPr>
            <w:tcW w:w="2900" w:type="dxa"/>
            <w:vAlign w:val="bottom"/>
          </w:tcPr>
          <w:p>
            <w:pPr>
              <w:spacing w:after="0"/>
              <w:rPr>
                <w:sz w:val="20"/>
                <w:szCs w:val="20"/>
                <w:color w:val="auto"/>
              </w:rPr>
            </w:pPr>
            <w:r>
              <w:rPr>
                <w:rFonts w:ascii="Arial" w:cs="Arial" w:eastAsia="Arial" w:hAnsi="Arial"/>
                <w:sz w:val="16"/>
                <w:szCs w:val="16"/>
                <w:color w:val="auto"/>
              </w:rPr>
              <w:t>All other taxes and duties</w:t>
            </w: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2900" w:type="dxa"/>
            <w:vAlign w:val="bottom"/>
          </w:tcPr>
          <w:p>
            <w:pPr>
              <w:ind w:left="120"/>
              <w:spacing w:after="0"/>
              <w:rPr>
                <w:sz w:val="20"/>
                <w:szCs w:val="20"/>
                <w:color w:val="auto"/>
              </w:rPr>
            </w:pPr>
            <w:r>
              <w:rPr>
                <w:rFonts w:ascii="Arial" w:cs="Arial" w:eastAsia="Arial" w:hAnsi="Arial"/>
                <w:sz w:val="16"/>
                <w:szCs w:val="16"/>
                <w:color w:val="auto"/>
              </w:rPr>
              <w:t>Other taxes and duties</w:t>
            </w:r>
          </w:p>
        </w:tc>
        <w:tc>
          <w:tcPr>
            <w:tcW w:w="1000" w:type="dxa"/>
            <w:vAlign w:val="bottom"/>
          </w:tcPr>
          <w:p>
            <w:pPr>
              <w:jc w:val="right"/>
              <w:ind w:right="160"/>
              <w:spacing w:after="0"/>
              <w:rPr>
                <w:sz w:val="20"/>
                <w:szCs w:val="20"/>
                <w:color w:val="auto"/>
              </w:rPr>
            </w:pPr>
            <w:r>
              <w:rPr>
                <w:rFonts w:ascii="Arial" w:cs="Arial" w:eastAsia="Arial" w:hAnsi="Arial"/>
                <w:sz w:val="16"/>
                <w:szCs w:val="16"/>
                <w:color w:val="auto"/>
              </w:rPr>
              <w:t>378</w:t>
            </w:r>
          </w:p>
        </w:tc>
        <w:tc>
          <w:tcPr>
            <w:tcW w:w="1080" w:type="dxa"/>
            <w:vAlign w:val="bottom"/>
          </w:tcPr>
          <w:p>
            <w:pPr>
              <w:jc w:val="right"/>
              <w:ind w:right="201"/>
              <w:spacing w:after="0"/>
              <w:rPr>
                <w:sz w:val="20"/>
                <w:szCs w:val="20"/>
                <w:color w:val="auto"/>
              </w:rPr>
            </w:pPr>
            <w:r>
              <w:rPr>
                <w:rFonts w:ascii="Arial" w:cs="Arial" w:eastAsia="Arial" w:hAnsi="Arial"/>
                <w:sz w:val="16"/>
                <w:szCs w:val="16"/>
                <w:color w:val="auto"/>
              </w:rPr>
              <w:t>31,908</w:t>
            </w:r>
          </w:p>
        </w:tc>
        <w:tc>
          <w:tcPr>
            <w:tcW w:w="1040" w:type="dxa"/>
            <w:vAlign w:val="bottom"/>
          </w:tcPr>
          <w:p>
            <w:pPr>
              <w:jc w:val="right"/>
              <w:ind w:right="200"/>
              <w:spacing w:after="0"/>
              <w:rPr>
                <w:sz w:val="20"/>
                <w:szCs w:val="20"/>
                <w:color w:val="auto"/>
              </w:rPr>
            </w:pPr>
            <w:r>
              <w:rPr>
                <w:rFonts w:ascii="Arial" w:cs="Arial" w:eastAsia="Arial" w:hAnsi="Arial"/>
                <w:sz w:val="16"/>
                <w:szCs w:val="16"/>
                <w:color w:val="auto"/>
              </w:rPr>
              <w:t>32,286</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955</w:t>
            </w:r>
          </w:p>
        </w:tc>
        <w:tc>
          <w:tcPr>
            <w:tcW w:w="1220" w:type="dxa"/>
            <w:vAlign w:val="bottom"/>
          </w:tcPr>
          <w:p>
            <w:pPr>
              <w:jc w:val="right"/>
              <w:ind w:right="342"/>
              <w:spacing w:after="0"/>
              <w:rPr>
                <w:sz w:val="20"/>
                <w:szCs w:val="20"/>
                <w:color w:val="auto"/>
              </w:rPr>
            </w:pPr>
            <w:r>
              <w:rPr>
                <w:rFonts w:ascii="Arial" w:cs="Arial" w:eastAsia="Arial" w:hAnsi="Arial"/>
                <w:sz w:val="16"/>
                <w:szCs w:val="16"/>
                <w:color w:val="auto"/>
              </w:rPr>
              <w:t>32,275</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33,230</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1,406</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34,152</w:t>
            </w:r>
          </w:p>
        </w:tc>
        <w:tc>
          <w:tcPr>
            <w:tcW w:w="260" w:type="dxa"/>
            <w:vAlign w:val="bottom"/>
          </w:tcPr>
          <w:p>
            <w:pPr>
              <w:spacing w:after="0"/>
              <w:rPr>
                <w:sz w:val="17"/>
                <w:szCs w:val="17"/>
                <w:color w:val="auto"/>
              </w:rPr>
            </w:pPr>
          </w:p>
        </w:tc>
      </w:tr>
      <w:tr>
        <w:trPr>
          <w:trHeight w:val="196"/>
        </w:trPr>
        <w:tc>
          <w:tcPr>
            <w:tcW w:w="2900" w:type="dxa"/>
            <w:vAlign w:val="bottom"/>
          </w:tcPr>
          <w:p>
            <w:pPr>
              <w:ind w:left="120"/>
              <w:spacing w:after="0"/>
              <w:rPr>
                <w:sz w:val="20"/>
                <w:szCs w:val="20"/>
                <w:color w:val="auto"/>
              </w:rPr>
            </w:pPr>
            <w:r>
              <w:rPr>
                <w:rFonts w:ascii="Arial" w:cs="Arial" w:eastAsia="Arial" w:hAnsi="Arial"/>
                <w:sz w:val="16"/>
                <w:szCs w:val="16"/>
                <w:color w:val="auto"/>
              </w:rPr>
              <w:t>Included in production and</w:t>
            </w: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2900" w:type="dxa"/>
            <w:vAlign w:val="bottom"/>
          </w:tcPr>
          <w:p>
            <w:pPr>
              <w:ind w:left="260"/>
              <w:spacing w:after="0"/>
              <w:rPr>
                <w:sz w:val="20"/>
                <w:szCs w:val="20"/>
                <w:color w:val="auto"/>
              </w:rPr>
            </w:pPr>
            <w:r>
              <w:rPr>
                <w:rFonts w:ascii="Arial" w:cs="Arial" w:eastAsia="Arial" w:hAnsi="Arial"/>
                <w:sz w:val="16"/>
                <w:szCs w:val="16"/>
                <w:color w:val="auto"/>
              </w:rPr>
              <w:t>manufacturing expenses</w:t>
            </w:r>
          </w:p>
        </w:tc>
        <w:tc>
          <w:tcPr>
            <w:tcW w:w="1000" w:type="dxa"/>
            <w:vAlign w:val="bottom"/>
          </w:tcPr>
          <w:p>
            <w:pPr>
              <w:jc w:val="right"/>
              <w:ind w:right="160"/>
              <w:spacing w:after="0"/>
              <w:rPr>
                <w:sz w:val="20"/>
                <w:szCs w:val="20"/>
                <w:color w:val="auto"/>
              </w:rPr>
            </w:pPr>
            <w:r>
              <w:rPr>
                <w:rFonts w:ascii="Arial" w:cs="Arial" w:eastAsia="Arial" w:hAnsi="Arial"/>
                <w:sz w:val="16"/>
                <w:szCs w:val="16"/>
                <w:color w:val="auto"/>
              </w:rPr>
              <w:t>1,454</w:t>
            </w:r>
          </w:p>
        </w:tc>
        <w:tc>
          <w:tcPr>
            <w:tcW w:w="1080" w:type="dxa"/>
            <w:vAlign w:val="bottom"/>
          </w:tcPr>
          <w:p>
            <w:pPr>
              <w:jc w:val="right"/>
              <w:ind w:right="201"/>
              <w:spacing w:after="0"/>
              <w:rPr>
                <w:sz w:val="20"/>
                <w:szCs w:val="20"/>
                <w:color w:val="auto"/>
              </w:rPr>
            </w:pPr>
            <w:r>
              <w:rPr>
                <w:rFonts w:ascii="Arial" w:cs="Arial" w:eastAsia="Arial" w:hAnsi="Arial"/>
                <w:sz w:val="16"/>
                <w:szCs w:val="16"/>
                <w:color w:val="auto"/>
              </w:rPr>
              <w:t>1,179</w:t>
            </w:r>
          </w:p>
        </w:tc>
        <w:tc>
          <w:tcPr>
            <w:tcW w:w="1040" w:type="dxa"/>
            <w:vAlign w:val="bottom"/>
          </w:tcPr>
          <w:p>
            <w:pPr>
              <w:jc w:val="right"/>
              <w:ind w:right="200"/>
              <w:spacing w:after="0"/>
              <w:rPr>
                <w:sz w:val="20"/>
                <w:szCs w:val="20"/>
                <w:color w:val="auto"/>
              </w:rPr>
            </w:pPr>
            <w:r>
              <w:rPr>
                <w:rFonts w:ascii="Arial" w:cs="Arial" w:eastAsia="Arial" w:hAnsi="Arial"/>
                <w:sz w:val="16"/>
                <w:szCs w:val="16"/>
                <w:color w:val="auto"/>
              </w:rPr>
              <w:t>2,633</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1,318</w:t>
            </w:r>
          </w:p>
        </w:tc>
        <w:tc>
          <w:tcPr>
            <w:tcW w:w="1220" w:type="dxa"/>
            <w:vAlign w:val="bottom"/>
          </w:tcPr>
          <w:p>
            <w:pPr>
              <w:jc w:val="right"/>
              <w:ind w:right="342"/>
              <w:spacing w:after="0"/>
              <w:rPr>
                <w:sz w:val="20"/>
                <w:szCs w:val="20"/>
                <w:color w:val="auto"/>
              </w:rPr>
            </w:pPr>
            <w:r>
              <w:rPr>
                <w:rFonts w:ascii="Arial" w:cs="Arial" w:eastAsia="Arial" w:hAnsi="Arial"/>
                <w:sz w:val="16"/>
                <w:szCs w:val="16"/>
                <w:color w:val="auto"/>
              </w:rPr>
              <w:t>1,182</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2,500</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1,242</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1,308</w:t>
            </w:r>
          </w:p>
        </w:tc>
        <w:tc>
          <w:tcPr>
            <w:tcW w:w="260" w:type="dxa"/>
            <w:vAlign w:val="bottom"/>
          </w:tcPr>
          <w:p>
            <w:pPr>
              <w:spacing w:after="0"/>
              <w:rPr>
                <w:sz w:val="17"/>
                <w:szCs w:val="17"/>
                <w:color w:val="auto"/>
              </w:rPr>
            </w:pPr>
          </w:p>
        </w:tc>
      </w:tr>
      <w:tr>
        <w:trPr>
          <w:trHeight w:val="208"/>
        </w:trPr>
        <w:tc>
          <w:tcPr>
            <w:tcW w:w="2900" w:type="dxa"/>
            <w:vAlign w:val="bottom"/>
          </w:tcPr>
          <w:p>
            <w:pPr>
              <w:ind w:left="120"/>
              <w:spacing w:after="0"/>
              <w:rPr>
                <w:sz w:val="20"/>
                <w:szCs w:val="20"/>
                <w:color w:val="auto"/>
              </w:rPr>
            </w:pPr>
            <w:r>
              <w:rPr>
                <w:rFonts w:ascii="Arial" w:cs="Arial" w:eastAsia="Arial" w:hAnsi="Arial"/>
                <w:sz w:val="16"/>
                <w:szCs w:val="16"/>
                <w:color w:val="auto"/>
              </w:rPr>
              <w:t>Included in SG&amp;A expenses</w:t>
            </w:r>
          </w:p>
        </w:tc>
        <w:tc>
          <w:tcPr>
            <w:tcW w:w="10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155</w:t>
            </w:r>
          </w:p>
        </w:tc>
        <w:tc>
          <w:tcPr>
            <w:tcW w:w="10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441</w:t>
            </w:r>
          </w:p>
        </w:tc>
        <w:tc>
          <w:tcPr>
            <w:tcW w:w="10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596</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150</w:t>
            </w:r>
          </w:p>
        </w:tc>
        <w:tc>
          <w:tcPr>
            <w:tcW w:w="122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516</w:t>
            </w: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666</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154</w:t>
            </w:r>
          </w:p>
        </w:tc>
        <w:tc>
          <w:tcPr>
            <w:tcW w:w="10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595</w:t>
            </w:r>
          </w:p>
        </w:tc>
        <w:tc>
          <w:tcPr>
            <w:tcW w:w="260" w:type="dxa"/>
            <w:vAlign w:val="bottom"/>
            <w:tcBorders>
              <w:bottom w:val="single" w:sz="8" w:color="auto"/>
            </w:tcBorders>
          </w:tcPr>
          <w:p>
            <w:pPr>
              <w:spacing w:after="0"/>
              <w:rPr>
                <w:sz w:val="18"/>
                <w:szCs w:val="18"/>
                <w:color w:val="auto"/>
              </w:rPr>
            </w:pPr>
          </w:p>
        </w:tc>
      </w:tr>
      <w:tr>
        <w:trPr>
          <w:trHeight w:val="189"/>
        </w:trPr>
        <w:tc>
          <w:tcPr>
            <w:tcW w:w="2900" w:type="dxa"/>
            <w:vAlign w:val="bottom"/>
          </w:tcPr>
          <w:p>
            <w:pPr>
              <w:ind w:left="260"/>
              <w:spacing w:after="0"/>
              <w:rPr>
                <w:sz w:val="20"/>
                <w:szCs w:val="20"/>
                <w:color w:val="auto"/>
              </w:rPr>
            </w:pPr>
            <w:r>
              <w:rPr>
                <w:rFonts w:ascii="Arial" w:cs="Arial" w:eastAsia="Arial" w:hAnsi="Arial"/>
                <w:sz w:val="16"/>
                <w:szCs w:val="16"/>
                <w:color w:val="auto"/>
              </w:rPr>
              <w:t>Total other taxes and duties</w:t>
            </w:r>
          </w:p>
        </w:tc>
        <w:tc>
          <w:tcPr>
            <w:tcW w:w="10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1,987</w:t>
            </w:r>
          </w:p>
        </w:tc>
        <w:tc>
          <w:tcPr>
            <w:tcW w:w="10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33,528</w:t>
            </w:r>
          </w:p>
        </w:tc>
        <w:tc>
          <w:tcPr>
            <w:tcW w:w="10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35,515</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2,423</w:t>
            </w:r>
          </w:p>
        </w:tc>
        <w:tc>
          <w:tcPr>
            <w:tcW w:w="122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33,973</w:t>
            </w: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36,396</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2,802</w:t>
            </w:r>
          </w:p>
        </w:tc>
        <w:tc>
          <w:tcPr>
            <w:tcW w:w="10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36,055</w:t>
            </w:r>
          </w:p>
        </w:tc>
        <w:tc>
          <w:tcPr>
            <w:tcW w:w="260" w:type="dxa"/>
            <w:vAlign w:val="bottom"/>
            <w:tcBorders>
              <w:bottom w:val="single" w:sz="8" w:color="auto"/>
            </w:tcBorders>
          </w:tcPr>
          <w:p>
            <w:pPr>
              <w:spacing w:after="0"/>
              <w:rPr>
                <w:sz w:val="16"/>
                <w:szCs w:val="16"/>
                <w:color w:val="auto"/>
              </w:rPr>
            </w:pPr>
          </w:p>
        </w:tc>
      </w:tr>
      <w:tr>
        <w:trPr>
          <w:trHeight w:val="188"/>
        </w:trPr>
        <w:tc>
          <w:tcPr>
            <w:tcW w:w="2900" w:type="dxa"/>
            <w:vAlign w:val="bottom"/>
          </w:tcPr>
          <w:p>
            <w:pPr>
              <w:ind w:left="48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10,159</w:t>
            </w:r>
          </w:p>
        </w:tc>
        <w:tc>
          <w:tcPr>
            <w:tcW w:w="10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72,713</w:t>
            </w:r>
          </w:p>
        </w:tc>
        <w:tc>
          <w:tcPr>
            <w:tcW w:w="10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82,872</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9,806</w:t>
            </w:r>
          </w:p>
        </w:tc>
        <w:tc>
          <w:tcPr>
            <w:tcW w:w="122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81,442</w:t>
            </w: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91,248</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12,166</w:t>
            </w:r>
          </w:p>
        </w:tc>
        <w:tc>
          <w:tcPr>
            <w:tcW w:w="10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90,145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bl>
    <w:p>
      <w:pPr>
        <w:spacing w:after="0" w:line="233"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(1)  In 2014, state taxes included a favorable adjustment of deferred taxes of approximately $830 million.</w:t>
      </w:r>
    </w:p>
    <w:p>
      <w:pPr>
        <w:spacing w:after="0" w:line="208" w:lineRule="exact"/>
        <w:rPr>
          <w:sz w:val="20"/>
          <w:szCs w:val="20"/>
          <w:color w:val="auto"/>
        </w:rPr>
      </w:pPr>
    </w:p>
    <w:p>
      <w:pPr>
        <w:jc w:val="both"/>
        <w:ind w:left="580"/>
        <w:spacing w:after="0" w:line="271" w:lineRule="auto"/>
        <w:rPr>
          <w:sz w:val="20"/>
          <w:szCs w:val="20"/>
          <w:color w:val="auto"/>
        </w:rPr>
      </w:pPr>
      <w:r>
        <w:rPr>
          <w:rFonts w:ascii="Arial" w:cs="Arial" w:eastAsia="Arial" w:hAnsi="Arial"/>
          <w:sz w:val="16"/>
          <w:szCs w:val="16"/>
          <w:color w:val="auto"/>
        </w:rPr>
        <w:t>All other taxes and duties include taxes reported in production and manufacturing and selling, general and administrative (SG&amp;A) expenses. The above provisi deferred income taxes include net credits of $40 million in 2014 and $310 million in 2013 and a net charge of $244 million in 2012 for the effect of changes in tax la rates.</w:t>
      </w:r>
    </w:p>
    <w:p>
      <w:pPr>
        <w:spacing w:after="0" w:line="234" w:lineRule="exact"/>
        <w:rPr>
          <w:sz w:val="20"/>
          <w:szCs w:val="20"/>
          <w:color w:val="auto"/>
        </w:rPr>
      </w:pPr>
    </w:p>
    <w:p>
      <w:pPr>
        <w:ind w:left="780"/>
        <w:spacing w:after="0"/>
        <w:rPr>
          <w:sz w:val="20"/>
          <w:szCs w:val="20"/>
          <w:color w:val="auto"/>
        </w:rPr>
      </w:pPr>
      <w:r>
        <w:rPr>
          <w:rFonts w:ascii="Arial" w:cs="Arial" w:eastAsia="Arial" w:hAnsi="Arial"/>
          <w:sz w:val="15"/>
          <w:szCs w:val="15"/>
          <w:color w:val="auto"/>
        </w:rPr>
        <w:t>The reconciliation between income tax expense and a theoretical U.S. tax computed by applying a rate of 35 percent for 2014, 2013 and 2012 is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0" w:type="dxa"/>
            <w:vAlign w:val="bottom"/>
          </w:tcPr>
          <w:p>
            <w:pPr>
              <w:spacing w:after="0"/>
              <w:rPr>
                <w:sz w:val="13"/>
                <w:szCs w:val="13"/>
                <w:color w:val="auto"/>
              </w:rPr>
            </w:pPr>
          </w:p>
        </w:tc>
        <w:tc>
          <w:tcPr>
            <w:tcW w:w="4500" w:type="dxa"/>
            <w:vAlign w:val="bottom"/>
            <w:tcBorders>
              <w:bottom w:val="single" w:sz="8" w:color="auto"/>
            </w:tcBorders>
          </w:tcPr>
          <w:p>
            <w:pPr>
              <w:spacing w:after="0"/>
              <w:rPr>
                <w:sz w:val="13"/>
                <w:szCs w:val="13"/>
                <w:color w:val="auto"/>
              </w:rPr>
            </w:pPr>
          </w:p>
        </w:tc>
        <w:tc>
          <w:tcPr>
            <w:tcW w:w="4080" w:type="dxa"/>
            <w:vAlign w:val="bottom"/>
            <w:tcBorders>
              <w:bottom w:val="single" w:sz="8" w:color="auto"/>
            </w:tcBorders>
            <w:gridSpan w:val="2"/>
          </w:tcPr>
          <w:p>
            <w:pPr>
              <w:jc w:val="right"/>
              <w:ind w:right="518"/>
              <w:spacing w:after="0"/>
              <w:rPr>
                <w:sz w:val="20"/>
                <w:szCs w:val="20"/>
                <w:color w:val="auto"/>
              </w:rPr>
            </w:pPr>
            <w:r>
              <w:rPr>
                <w:rFonts w:ascii="Arial" w:cs="Arial" w:eastAsia="Arial" w:hAnsi="Arial"/>
                <w:sz w:val="13"/>
                <w:szCs w:val="13"/>
                <w:b w:val="1"/>
                <w:bCs w:val="1"/>
                <w:color w:val="auto"/>
              </w:rPr>
              <w:t>2014</w:t>
            </w:r>
          </w:p>
        </w:tc>
        <w:tc>
          <w:tcPr>
            <w:tcW w:w="2300" w:type="dxa"/>
            <w:vAlign w:val="bottom"/>
            <w:tcBorders>
              <w:bottom w:val="single" w:sz="8" w:color="auto"/>
            </w:tcBorders>
          </w:tcPr>
          <w:p>
            <w:pPr>
              <w:jc w:val="right"/>
              <w:ind w:right="1220"/>
              <w:spacing w:after="0"/>
              <w:rPr>
                <w:sz w:val="20"/>
                <w:szCs w:val="20"/>
                <w:color w:val="auto"/>
              </w:rPr>
            </w:pPr>
            <w:r>
              <w:rPr>
                <w:rFonts w:ascii="Arial" w:cs="Arial" w:eastAsia="Arial" w:hAnsi="Arial"/>
                <w:sz w:val="13"/>
                <w:szCs w:val="13"/>
                <w:b w:val="1"/>
                <w:bCs w:val="1"/>
                <w:color w:val="auto"/>
              </w:rPr>
              <w:t>2013</w:t>
            </w:r>
          </w:p>
        </w:tc>
        <w:tc>
          <w:tcPr>
            <w:tcW w:w="60" w:type="dxa"/>
            <w:vAlign w:val="bottom"/>
            <w:tcBorders>
              <w:bottom w:val="single" w:sz="8" w:color="auto"/>
            </w:tcBorders>
          </w:tcPr>
          <w:p>
            <w:pPr>
              <w:spacing w:after="0"/>
              <w:rPr>
                <w:sz w:val="13"/>
                <w:szCs w:val="13"/>
                <w:color w:val="auto"/>
              </w:rPr>
            </w:pPr>
          </w:p>
        </w:tc>
      </w:tr>
      <w:tr>
        <w:trPr>
          <w:trHeight w:val="165"/>
        </w:trPr>
        <w:tc>
          <w:tcPr>
            <w:tcW w:w="5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360" w:type="dxa"/>
            <w:vAlign w:val="bottom"/>
            <w:gridSpan w:val="2"/>
          </w:tcPr>
          <w:p>
            <w:pPr>
              <w:ind w:left="340"/>
              <w:spacing w:after="0"/>
              <w:rPr>
                <w:sz w:val="20"/>
                <w:szCs w:val="20"/>
                <w:color w:val="auto"/>
              </w:rPr>
            </w:pPr>
            <w:r>
              <w:rPr>
                <w:rFonts w:ascii="Arial" w:cs="Arial" w:eastAsia="Arial" w:hAnsi="Arial"/>
                <w:sz w:val="13"/>
                <w:szCs w:val="13"/>
                <w:i w:val="1"/>
                <w:iCs w:val="1"/>
                <w:color w:val="auto"/>
              </w:rPr>
              <w:t>(millions of dollars)</w:t>
            </w:r>
          </w:p>
        </w:tc>
      </w:tr>
      <w:tr>
        <w:trPr>
          <w:trHeight w:val="207"/>
        </w:trPr>
        <w:tc>
          <w:tcPr>
            <w:tcW w:w="58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2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50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4080" w:type="dxa"/>
            <w:vAlign w:val="bottom"/>
            <w:gridSpan w:val="2"/>
          </w:tcPr>
          <w:p>
            <w:pPr>
              <w:jc w:val="right"/>
              <w:ind w:right="298"/>
              <w:spacing w:after="0"/>
              <w:rPr>
                <w:sz w:val="20"/>
                <w:szCs w:val="20"/>
                <w:color w:val="auto"/>
              </w:rPr>
            </w:pPr>
            <w:r>
              <w:rPr>
                <w:rFonts w:ascii="Arial" w:cs="Arial" w:eastAsia="Arial" w:hAnsi="Arial"/>
                <w:sz w:val="16"/>
                <w:szCs w:val="16"/>
                <w:color w:val="auto"/>
              </w:rPr>
              <w:t>9,080</w:t>
            </w:r>
          </w:p>
        </w:tc>
        <w:tc>
          <w:tcPr>
            <w:tcW w:w="2300" w:type="dxa"/>
            <w:vAlign w:val="bottom"/>
          </w:tcPr>
          <w:p>
            <w:pPr>
              <w:jc w:val="right"/>
              <w:ind w:right="1000"/>
              <w:spacing w:after="0"/>
              <w:rPr>
                <w:sz w:val="20"/>
                <w:szCs w:val="20"/>
                <w:color w:val="auto"/>
              </w:rPr>
            </w:pPr>
            <w:r>
              <w:rPr>
                <w:rFonts w:ascii="Arial" w:cs="Arial" w:eastAsia="Arial" w:hAnsi="Arial"/>
                <w:sz w:val="16"/>
                <w:szCs w:val="16"/>
                <w:color w:val="auto"/>
              </w:rPr>
              <w:t>9,746</w:t>
            </w:r>
          </w:p>
        </w:tc>
        <w:tc>
          <w:tcPr>
            <w:tcW w:w="60" w:type="dxa"/>
            <w:vAlign w:val="bottom"/>
          </w:tcPr>
          <w:p>
            <w:pPr>
              <w:spacing w:after="0"/>
              <w:rPr>
                <w:sz w:val="17"/>
                <w:szCs w:val="17"/>
                <w:color w:val="auto"/>
              </w:rPr>
            </w:pPr>
          </w:p>
        </w:tc>
      </w:tr>
      <w:tr>
        <w:trPr>
          <w:trHeight w:val="208"/>
        </w:trPr>
        <w:tc>
          <w:tcPr>
            <w:tcW w:w="580" w:type="dxa"/>
            <w:vAlign w:val="bottom"/>
          </w:tcPr>
          <w:p>
            <w:pPr>
              <w:spacing w:after="0"/>
              <w:rPr>
                <w:sz w:val="18"/>
                <w:szCs w:val="18"/>
                <w:color w:val="auto"/>
              </w:rPr>
            </w:pPr>
          </w:p>
        </w:tc>
        <w:tc>
          <w:tcPr>
            <w:tcW w:w="4500" w:type="dxa"/>
            <w:vAlign w:val="bottom"/>
          </w:tcPr>
          <w:p>
            <w:pPr>
              <w:ind w:left="240"/>
              <w:spacing w:after="0"/>
              <w:rPr>
                <w:sz w:val="20"/>
                <w:szCs w:val="20"/>
                <w:color w:val="auto"/>
              </w:rPr>
            </w:pPr>
            <w:r>
              <w:rPr>
                <w:rFonts w:ascii="Arial" w:cs="Arial" w:eastAsia="Arial" w:hAnsi="Arial"/>
                <w:sz w:val="16"/>
                <w:szCs w:val="16"/>
                <w:color w:val="auto"/>
              </w:rPr>
              <w:t>Non-U.S.</w:t>
            </w:r>
          </w:p>
        </w:tc>
        <w:tc>
          <w:tcPr>
            <w:tcW w:w="4080" w:type="dxa"/>
            <w:vAlign w:val="bottom"/>
            <w:gridSpan w:val="2"/>
          </w:tcPr>
          <w:p>
            <w:pPr>
              <w:jc w:val="right"/>
              <w:ind w:right="298"/>
              <w:spacing w:after="0"/>
              <w:rPr>
                <w:sz w:val="20"/>
                <w:szCs w:val="20"/>
                <w:color w:val="auto"/>
              </w:rPr>
            </w:pPr>
            <w:r>
              <w:rPr>
                <w:rFonts w:ascii="Arial" w:cs="Arial" w:eastAsia="Arial" w:hAnsi="Arial"/>
                <w:sz w:val="16"/>
                <w:szCs w:val="16"/>
                <w:color w:val="auto"/>
              </w:rPr>
              <w:t>42,550</w:t>
            </w:r>
          </w:p>
        </w:tc>
        <w:tc>
          <w:tcPr>
            <w:tcW w:w="2300" w:type="dxa"/>
            <w:vAlign w:val="bottom"/>
          </w:tcPr>
          <w:p>
            <w:pPr>
              <w:jc w:val="right"/>
              <w:ind w:right="1000"/>
              <w:spacing w:after="0"/>
              <w:rPr>
                <w:sz w:val="20"/>
                <w:szCs w:val="20"/>
                <w:color w:val="auto"/>
              </w:rPr>
            </w:pPr>
            <w:r>
              <w:rPr>
                <w:rFonts w:ascii="Arial" w:cs="Arial" w:eastAsia="Arial" w:hAnsi="Arial"/>
                <w:sz w:val="16"/>
                <w:szCs w:val="16"/>
                <w:color w:val="auto"/>
              </w:rPr>
              <w:t>47,965</w:t>
            </w:r>
          </w:p>
        </w:tc>
        <w:tc>
          <w:tcPr>
            <w:tcW w:w="60" w:type="dxa"/>
            <w:vAlign w:val="bottom"/>
          </w:tcPr>
          <w:p>
            <w:pPr>
              <w:spacing w:after="0"/>
              <w:rPr>
                <w:sz w:val="18"/>
                <w:szCs w:val="18"/>
                <w:color w:val="auto"/>
              </w:rPr>
            </w:pPr>
          </w:p>
        </w:tc>
      </w:tr>
      <w:tr>
        <w:trPr>
          <w:trHeight w:val="189"/>
        </w:trPr>
        <w:tc>
          <w:tcPr>
            <w:tcW w:w="580" w:type="dxa"/>
            <w:vAlign w:val="bottom"/>
          </w:tcPr>
          <w:p>
            <w:pPr>
              <w:spacing w:after="0"/>
              <w:rPr>
                <w:sz w:val="16"/>
                <w:szCs w:val="16"/>
                <w:color w:val="auto"/>
              </w:rPr>
            </w:pPr>
          </w:p>
        </w:tc>
        <w:tc>
          <w:tcPr>
            <w:tcW w:w="4500" w:type="dxa"/>
            <w:vAlign w:val="bottom"/>
          </w:tcPr>
          <w:p>
            <w:pPr>
              <w:ind w:left="480"/>
              <w:spacing w:after="0"/>
              <w:rPr>
                <w:sz w:val="20"/>
                <w:szCs w:val="20"/>
                <w:color w:val="auto"/>
              </w:rPr>
            </w:pPr>
            <w:r>
              <w:rPr>
                <w:rFonts w:ascii="Arial" w:cs="Arial" w:eastAsia="Arial" w:hAnsi="Arial"/>
                <w:sz w:val="16"/>
                <w:szCs w:val="16"/>
                <w:color w:val="auto"/>
              </w:rPr>
              <w:t>Total</w:t>
            </w:r>
          </w:p>
        </w:tc>
        <w:tc>
          <w:tcPr>
            <w:tcW w:w="296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color w:val="auto"/>
              </w:rPr>
              <w:t>51,630</w:t>
            </w:r>
          </w:p>
        </w:tc>
        <w:tc>
          <w:tcPr>
            <w:tcW w:w="2300" w:type="dxa"/>
            <w:vAlign w:val="bottom"/>
            <w:tcBorders>
              <w:top w:val="single" w:sz="8" w:color="auto"/>
              <w:bottom w:val="single" w:sz="8" w:color="auto"/>
            </w:tcBorders>
          </w:tcPr>
          <w:p>
            <w:pPr>
              <w:jc w:val="right"/>
              <w:ind w:right="1000"/>
              <w:spacing w:after="0"/>
              <w:rPr>
                <w:sz w:val="20"/>
                <w:szCs w:val="20"/>
                <w:color w:val="auto"/>
              </w:rPr>
            </w:pPr>
            <w:r>
              <w:rPr>
                <w:rFonts w:ascii="Arial" w:cs="Arial" w:eastAsia="Arial" w:hAnsi="Arial"/>
                <w:sz w:val="16"/>
                <w:szCs w:val="16"/>
                <w:color w:val="auto"/>
              </w:rPr>
              <w:t>57,711</w:t>
            </w:r>
          </w:p>
        </w:tc>
        <w:tc>
          <w:tcPr>
            <w:tcW w:w="60" w:type="dxa"/>
            <w:vAlign w:val="bottom"/>
            <w:tcBorders>
              <w:top w:val="single" w:sz="8" w:color="auto"/>
              <w:bottom w:val="single" w:sz="8" w:color="auto"/>
            </w:tcBorders>
          </w:tcPr>
          <w:p>
            <w:pPr>
              <w:spacing w:after="0"/>
              <w:rPr>
                <w:sz w:val="16"/>
                <w:szCs w:val="16"/>
                <w:color w:val="auto"/>
              </w:rPr>
            </w:pPr>
          </w:p>
        </w:tc>
      </w:tr>
      <w:tr>
        <w:trPr>
          <w:trHeight w:val="176"/>
        </w:trPr>
        <w:tc>
          <w:tcPr>
            <w:tcW w:w="580" w:type="dxa"/>
            <w:vAlign w:val="bottom"/>
          </w:tcPr>
          <w:p>
            <w:pPr>
              <w:spacing w:after="0"/>
              <w:rPr>
                <w:sz w:val="15"/>
                <w:szCs w:val="15"/>
                <w:color w:val="auto"/>
              </w:rPr>
            </w:pPr>
          </w:p>
        </w:tc>
        <w:tc>
          <w:tcPr>
            <w:tcW w:w="4500" w:type="dxa"/>
            <w:vAlign w:val="bottom"/>
          </w:tcPr>
          <w:p>
            <w:pPr>
              <w:spacing w:after="0" w:line="176" w:lineRule="exact"/>
              <w:rPr>
                <w:sz w:val="20"/>
                <w:szCs w:val="20"/>
                <w:color w:val="auto"/>
              </w:rPr>
            </w:pPr>
            <w:r>
              <w:rPr>
                <w:rFonts w:ascii="Arial" w:cs="Arial" w:eastAsia="Arial" w:hAnsi="Arial"/>
                <w:sz w:val="16"/>
                <w:szCs w:val="16"/>
                <w:color w:val="auto"/>
              </w:rPr>
              <w:t>Theoretical tax</w:t>
            </w:r>
          </w:p>
        </w:tc>
        <w:tc>
          <w:tcPr>
            <w:tcW w:w="2960" w:type="dxa"/>
            <w:vAlign w:val="bottom"/>
          </w:tcPr>
          <w:p>
            <w:pPr>
              <w:spacing w:after="0"/>
              <w:rPr>
                <w:sz w:val="15"/>
                <w:szCs w:val="15"/>
                <w:color w:val="auto"/>
              </w:rPr>
            </w:pPr>
          </w:p>
        </w:tc>
        <w:tc>
          <w:tcPr>
            <w:tcW w:w="1120" w:type="dxa"/>
            <w:vAlign w:val="bottom"/>
          </w:tcPr>
          <w:p>
            <w:pPr>
              <w:jc w:val="right"/>
              <w:ind w:right="298"/>
              <w:spacing w:after="0" w:line="176" w:lineRule="exact"/>
              <w:rPr>
                <w:sz w:val="20"/>
                <w:szCs w:val="20"/>
                <w:color w:val="auto"/>
              </w:rPr>
            </w:pPr>
            <w:r>
              <w:rPr>
                <w:rFonts w:ascii="Arial" w:cs="Arial" w:eastAsia="Arial" w:hAnsi="Arial"/>
                <w:sz w:val="16"/>
                <w:szCs w:val="16"/>
                <w:color w:val="auto"/>
              </w:rPr>
              <w:t>18,071</w:t>
            </w:r>
          </w:p>
        </w:tc>
        <w:tc>
          <w:tcPr>
            <w:tcW w:w="2300" w:type="dxa"/>
            <w:vAlign w:val="bottom"/>
          </w:tcPr>
          <w:p>
            <w:pPr>
              <w:jc w:val="right"/>
              <w:ind w:right="1000"/>
              <w:spacing w:after="0" w:line="176" w:lineRule="exact"/>
              <w:rPr>
                <w:sz w:val="20"/>
                <w:szCs w:val="20"/>
                <w:color w:val="auto"/>
              </w:rPr>
            </w:pPr>
            <w:r>
              <w:rPr>
                <w:rFonts w:ascii="Arial" w:cs="Arial" w:eastAsia="Arial" w:hAnsi="Arial"/>
                <w:sz w:val="16"/>
                <w:szCs w:val="16"/>
                <w:color w:val="auto"/>
              </w:rPr>
              <w:t>20,199</w:t>
            </w:r>
          </w:p>
        </w:tc>
        <w:tc>
          <w:tcPr>
            <w:tcW w:w="60" w:type="dxa"/>
            <w:vAlign w:val="bottom"/>
          </w:tcPr>
          <w:p>
            <w:pPr>
              <w:spacing w:after="0"/>
              <w:rPr>
                <w:sz w:val="15"/>
                <w:szCs w:val="15"/>
                <w:color w:val="auto"/>
              </w:rPr>
            </w:pPr>
          </w:p>
        </w:tc>
      </w:tr>
      <w:tr>
        <w:trPr>
          <w:trHeight w:val="196"/>
        </w:trPr>
        <w:tc>
          <w:tcPr>
            <w:tcW w:w="58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Effect of equity method of accounting</w:t>
            </w:r>
          </w:p>
        </w:tc>
        <w:tc>
          <w:tcPr>
            <w:tcW w:w="4080" w:type="dxa"/>
            <w:vAlign w:val="bottom"/>
            <w:gridSpan w:val="2"/>
          </w:tcPr>
          <w:p>
            <w:pPr>
              <w:jc w:val="right"/>
              <w:ind w:right="238"/>
              <w:spacing w:after="0"/>
              <w:rPr>
                <w:sz w:val="20"/>
                <w:szCs w:val="20"/>
                <w:color w:val="auto"/>
              </w:rPr>
            </w:pPr>
            <w:r>
              <w:rPr>
                <w:rFonts w:ascii="Arial" w:cs="Arial" w:eastAsia="Arial" w:hAnsi="Arial"/>
                <w:sz w:val="16"/>
                <w:szCs w:val="16"/>
                <w:color w:val="auto"/>
              </w:rPr>
              <w:t>(4,663)</w:t>
            </w:r>
          </w:p>
        </w:tc>
        <w:tc>
          <w:tcPr>
            <w:tcW w:w="2300" w:type="dxa"/>
            <w:vAlign w:val="bottom"/>
          </w:tcPr>
          <w:p>
            <w:pPr>
              <w:jc w:val="right"/>
              <w:ind w:right="960"/>
              <w:spacing w:after="0"/>
              <w:rPr>
                <w:sz w:val="20"/>
                <w:szCs w:val="20"/>
                <w:color w:val="auto"/>
              </w:rPr>
            </w:pPr>
            <w:r>
              <w:rPr>
                <w:rFonts w:ascii="Arial" w:cs="Arial" w:eastAsia="Arial" w:hAnsi="Arial"/>
                <w:sz w:val="16"/>
                <w:szCs w:val="16"/>
                <w:color w:val="auto"/>
              </w:rPr>
              <w:t>(4,874)</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Non-U.S. taxes in excess of theoretical U.S. tax</w:t>
            </w:r>
          </w:p>
        </w:tc>
        <w:tc>
          <w:tcPr>
            <w:tcW w:w="4080" w:type="dxa"/>
            <w:vAlign w:val="bottom"/>
            <w:gridSpan w:val="2"/>
          </w:tcPr>
          <w:p>
            <w:pPr>
              <w:jc w:val="right"/>
              <w:ind w:right="298"/>
              <w:spacing w:after="0"/>
              <w:rPr>
                <w:sz w:val="20"/>
                <w:szCs w:val="20"/>
                <w:color w:val="auto"/>
              </w:rPr>
            </w:pPr>
            <w:r>
              <w:rPr>
                <w:rFonts w:ascii="Arial" w:cs="Arial" w:eastAsia="Arial" w:hAnsi="Arial"/>
                <w:sz w:val="16"/>
                <w:szCs w:val="16"/>
                <w:color w:val="auto"/>
              </w:rPr>
              <w:t>5,442</w:t>
            </w:r>
          </w:p>
        </w:tc>
        <w:tc>
          <w:tcPr>
            <w:tcW w:w="2300" w:type="dxa"/>
            <w:vAlign w:val="bottom"/>
          </w:tcPr>
          <w:p>
            <w:pPr>
              <w:jc w:val="right"/>
              <w:ind w:right="1000"/>
              <w:spacing w:after="0"/>
              <w:rPr>
                <w:sz w:val="20"/>
                <w:szCs w:val="20"/>
                <w:color w:val="auto"/>
              </w:rPr>
            </w:pPr>
            <w:r>
              <w:rPr>
                <w:rFonts w:ascii="Arial" w:cs="Arial" w:eastAsia="Arial" w:hAnsi="Arial"/>
                <w:sz w:val="16"/>
                <w:szCs w:val="16"/>
                <w:color w:val="auto"/>
              </w:rPr>
              <w:t>10,528</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U.S. tax on non-U.S. operations</w:t>
            </w:r>
          </w:p>
        </w:tc>
        <w:tc>
          <w:tcPr>
            <w:tcW w:w="4080" w:type="dxa"/>
            <w:vAlign w:val="bottom"/>
            <w:gridSpan w:val="2"/>
          </w:tcPr>
          <w:p>
            <w:pPr>
              <w:jc w:val="right"/>
              <w:ind w:right="298"/>
              <w:spacing w:after="0"/>
              <w:rPr>
                <w:sz w:val="20"/>
                <w:szCs w:val="20"/>
                <w:color w:val="auto"/>
              </w:rPr>
            </w:pPr>
            <w:r>
              <w:rPr>
                <w:rFonts w:ascii="Arial" w:cs="Arial" w:eastAsia="Arial" w:hAnsi="Arial"/>
                <w:sz w:val="16"/>
                <w:szCs w:val="16"/>
                <w:color w:val="auto"/>
              </w:rPr>
              <w:t>5</w:t>
            </w:r>
          </w:p>
        </w:tc>
        <w:tc>
          <w:tcPr>
            <w:tcW w:w="2300" w:type="dxa"/>
            <w:vAlign w:val="bottom"/>
          </w:tcPr>
          <w:p>
            <w:pPr>
              <w:jc w:val="right"/>
              <w:ind w:right="1000"/>
              <w:spacing w:after="0"/>
              <w:rPr>
                <w:sz w:val="20"/>
                <w:szCs w:val="20"/>
                <w:color w:val="auto"/>
              </w:rPr>
            </w:pPr>
            <w:r>
              <w:rPr>
                <w:rFonts w:ascii="Arial" w:cs="Arial" w:eastAsia="Arial" w:hAnsi="Arial"/>
                <w:sz w:val="16"/>
                <w:szCs w:val="16"/>
                <w:color w:val="auto"/>
              </w:rPr>
              <w:t>37</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State taxes, net of federal tax benefit</w:t>
            </w:r>
          </w:p>
        </w:tc>
        <w:tc>
          <w:tcPr>
            <w:tcW w:w="4080" w:type="dxa"/>
            <w:vAlign w:val="bottom"/>
            <w:gridSpan w:val="2"/>
          </w:tcPr>
          <w:p>
            <w:pPr>
              <w:jc w:val="right"/>
              <w:ind w:right="238"/>
              <w:spacing w:after="0"/>
              <w:rPr>
                <w:sz w:val="20"/>
                <w:szCs w:val="20"/>
                <w:color w:val="auto"/>
              </w:rPr>
            </w:pPr>
            <w:r>
              <w:rPr>
                <w:rFonts w:ascii="Arial" w:cs="Arial" w:eastAsia="Arial" w:hAnsi="Arial"/>
                <w:sz w:val="16"/>
                <w:szCs w:val="16"/>
                <w:color w:val="auto"/>
              </w:rPr>
              <w:t>(324)</w:t>
            </w:r>
          </w:p>
        </w:tc>
        <w:tc>
          <w:tcPr>
            <w:tcW w:w="2300" w:type="dxa"/>
            <w:vAlign w:val="bottom"/>
          </w:tcPr>
          <w:p>
            <w:pPr>
              <w:jc w:val="right"/>
              <w:ind w:right="1000"/>
              <w:spacing w:after="0"/>
              <w:rPr>
                <w:sz w:val="20"/>
                <w:szCs w:val="20"/>
                <w:color w:val="auto"/>
              </w:rPr>
            </w:pPr>
            <w:r>
              <w:rPr>
                <w:rFonts w:ascii="Arial" w:cs="Arial" w:eastAsia="Arial" w:hAnsi="Arial"/>
                <w:sz w:val="16"/>
                <w:szCs w:val="16"/>
                <w:color w:val="auto"/>
              </w:rPr>
              <w:t>258</w:t>
            </w:r>
          </w:p>
        </w:tc>
        <w:tc>
          <w:tcPr>
            <w:tcW w:w="60" w:type="dxa"/>
            <w:vAlign w:val="bottom"/>
          </w:tcPr>
          <w:p>
            <w:pPr>
              <w:spacing w:after="0"/>
              <w:rPr>
                <w:sz w:val="17"/>
                <w:szCs w:val="17"/>
                <w:color w:val="auto"/>
              </w:rPr>
            </w:pPr>
          </w:p>
        </w:tc>
      </w:tr>
      <w:tr>
        <w:trPr>
          <w:trHeight w:val="208"/>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Other</w:t>
            </w:r>
          </w:p>
        </w:tc>
        <w:tc>
          <w:tcPr>
            <w:tcW w:w="4080" w:type="dxa"/>
            <w:vAlign w:val="bottom"/>
            <w:gridSpan w:val="2"/>
          </w:tcPr>
          <w:p>
            <w:pPr>
              <w:jc w:val="right"/>
              <w:ind w:right="238"/>
              <w:spacing w:after="0"/>
              <w:rPr>
                <w:sz w:val="20"/>
                <w:szCs w:val="20"/>
                <w:color w:val="auto"/>
              </w:rPr>
            </w:pPr>
            <w:r>
              <w:rPr>
                <w:rFonts w:ascii="Arial" w:cs="Arial" w:eastAsia="Arial" w:hAnsi="Arial"/>
                <w:sz w:val="16"/>
                <w:szCs w:val="16"/>
                <w:color w:val="auto"/>
              </w:rPr>
              <w:t>(516)</w:t>
            </w:r>
          </w:p>
        </w:tc>
        <w:tc>
          <w:tcPr>
            <w:tcW w:w="2300" w:type="dxa"/>
            <w:vAlign w:val="bottom"/>
          </w:tcPr>
          <w:p>
            <w:pPr>
              <w:jc w:val="right"/>
              <w:ind w:right="960"/>
              <w:spacing w:after="0"/>
              <w:rPr>
                <w:sz w:val="20"/>
                <w:szCs w:val="20"/>
                <w:color w:val="auto"/>
              </w:rPr>
            </w:pPr>
            <w:r>
              <w:rPr>
                <w:rFonts w:ascii="Arial" w:cs="Arial" w:eastAsia="Arial" w:hAnsi="Arial"/>
                <w:sz w:val="16"/>
                <w:szCs w:val="16"/>
                <w:color w:val="auto"/>
              </w:rPr>
              <w:t>(1,885)</w:t>
            </w:r>
          </w:p>
        </w:tc>
        <w:tc>
          <w:tcPr>
            <w:tcW w:w="60" w:type="dxa"/>
            <w:vAlign w:val="bottom"/>
          </w:tcPr>
          <w:p>
            <w:pPr>
              <w:spacing w:after="0"/>
              <w:rPr>
                <w:sz w:val="18"/>
                <w:szCs w:val="18"/>
                <w:color w:val="auto"/>
              </w:rPr>
            </w:pPr>
          </w:p>
        </w:tc>
      </w:tr>
      <w:tr>
        <w:trPr>
          <w:trHeight w:val="189"/>
        </w:trPr>
        <w:tc>
          <w:tcPr>
            <w:tcW w:w="580" w:type="dxa"/>
            <w:vAlign w:val="bottom"/>
          </w:tcPr>
          <w:p>
            <w:pPr>
              <w:spacing w:after="0"/>
              <w:rPr>
                <w:sz w:val="16"/>
                <w:szCs w:val="16"/>
                <w:color w:val="auto"/>
              </w:rPr>
            </w:pPr>
          </w:p>
        </w:tc>
        <w:tc>
          <w:tcPr>
            <w:tcW w:w="4500" w:type="dxa"/>
            <w:vAlign w:val="bottom"/>
          </w:tcPr>
          <w:p>
            <w:pPr>
              <w:ind w:left="480"/>
              <w:spacing w:after="0"/>
              <w:rPr>
                <w:sz w:val="20"/>
                <w:szCs w:val="20"/>
                <w:color w:val="auto"/>
              </w:rPr>
            </w:pPr>
            <w:r>
              <w:rPr>
                <w:rFonts w:ascii="Arial" w:cs="Arial" w:eastAsia="Arial" w:hAnsi="Arial"/>
                <w:sz w:val="16"/>
                <w:szCs w:val="16"/>
                <w:color w:val="auto"/>
              </w:rPr>
              <w:t>Total income tax expense</w:t>
            </w:r>
          </w:p>
        </w:tc>
        <w:tc>
          <w:tcPr>
            <w:tcW w:w="296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color w:val="auto"/>
              </w:rPr>
              <w:t>18,015</w:t>
            </w:r>
          </w:p>
        </w:tc>
        <w:tc>
          <w:tcPr>
            <w:tcW w:w="2300" w:type="dxa"/>
            <w:vAlign w:val="bottom"/>
            <w:tcBorders>
              <w:top w:val="single" w:sz="8" w:color="auto"/>
              <w:bottom w:val="single" w:sz="8" w:color="auto"/>
            </w:tcBorders>
          </w:tcPr>
          <w:p>
            <w:pPr>
              <w:jc w:val="right"/>
              <w:ind w:right="1000"/>
              <w:spacing w:after="0"/>
              <w:rPr>
                <w:sz w:val="20"/>
                <w:szCs w:val="20"/>
                <w:color w:val="auto"/>
              </w:rPr>
            </w:pPr>
            <w:r>
              <w:rPr>
                <w:rFonts w:ascii="Arial" w:cs="Arial" w:eastAsia="Arial" w:hAnsi="Arial"/>
                <w:sz w:val="16"/>
                <w:szCs w:val="16"/>
                <w:color w:val="auto"/>
              </w:rPr>
              <w:t>24,263</w:t>
            </w:r>
          </w:p>
        </w:tc>
        <w:tc>
          <w:tcPr>
            <w:tcW w:w="60" w:type="dxa"/>
            <w:vAlign w:val="bottom"/>
            <w:tcBorders>
              <w:top w:val="single" w:sz="8" w:color="auto"/>
              <w:bottom w:val="single" w:sz="8" w:color="auto"/>
            </w:tcBorders>
          </w:tcPr>
          <w:p>
            <w:pPr>
              <w:spacing w:after="0"/>
              <w:rPr>
                <w:sz w:val="16"/>
                <w:szCs w:val="16"/>
                <w:color w:val="auto"/>
              </w:rPr>
            </w:pPr>
          </w:p>
        </w:tc>
      </w:tr>
      <w:tr>
        <w:trPr>
          <w:trHeight w:val="372"/>
        </w:trPr>
        <w:tc>
          <w:tcPr>
            <w:tcW w:w="5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Effective tax rate calculation</w:t>
            </w:r>
          </w:p>
        </w:tc>
        <w:tc>
          <w:tcPr>
            <w:tcW w:w="2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Income taxes</w:t>
            </w:r>
          </w:p>
        </w:tc>
        <w:tc>
          <w:tcPr>
            <w:tcW w:w="4080" w:type="dxa"/>
            <w:vAlign w:val="bottom"/>
            <w:gridSpan w:val="2"/>
          </w:tcPr>
          <w:p>
            <w:pPr>
              <w:jc w:val="right"/>
              <w:ind w:right="298"/>
              <w:spacing w:after="0"/>
              <w:rPr>
                <w:sz w:val="20"/>
                <w:szCs w:val="20"/>
                <w:color w:val="auto"/>
              </w:rPr>
            </w:pPr>
            <w:r>
              <w:rPr>
                <w:rFonts w:ascii="Arial" w:cs="Arial" w:eastAsia="Arial" w:hAnsi="Arial"/>
                <w:sz w:val="16"/>
                <w:szCs w:val="16"/>
                <w:color w:val="auto"/>
              </w:rPr>
              <w:t>18,015</w:t>
            </w:r>
          </w:p>
        </w:tc>
        <w:tc>
          <w:tcPr>
            <w:tcW w:w="2300" w:type="dxa"/>
            <w:vAlign w:val="bottom"/>
          </w:tcPr>
          <w:p>
            <w:pPr>
              <w:jc w:val="right"/>
              <w:ind w:right="1000"/>
              <w:spacing w:after="0"/>
              <w:rPr>
                <w:sz w:val="20"/>
                <w:szCs w:val="20"/>
                <w:color w:val="auto"/>
              </w:rPr>
            </w:pPr>
            <w:r>
              <w:rPr>
                <w:rFonts w:ascii="Arial" w:cs="Arial" w:eastAsia="Arial" w:hAnsi="Arial"/>
                <w:sz w:val="16"/>
                <w:szCs w:val="16"/>
                <w:color w:val="auto"/>
              </w:rPr>
              <w:t>24,263</w:t>
            </w:r>
          </w:p>
        </w:tc>
        <w:tc>
          <w:tcPr>
            <w:tcW w:w="60" w:type="dxa"/>
            <w:vAlign w:val="bottom"/>
          </w:tcPr>
          <w:p>
            <w:pPr>
              <w:spacing w:after="0"/>
              <w:rPr>
                <w:sz w:val="17"/>
                <w:szCs w:val="17"/>
                <w:color w:val="auto"/>
              </w:rPr>
            </w:pPr>
          </w:p>
        </w:tc>
      </w:tr>
      <w:tr>
        <w:trPr>
          <w:trHeight w:val="208"/>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ExxonMobil share of equity company income taxes</w:t>
            </w:r>
          </w:p>
        </w:tc>
        <w:tc>
          <w:tcPr>
            <w:tcW w:w="4080" w:type="dxa"/>
            <w:vAlign w:val="bottom"/>
            <w:gridSpan w:val="2"/>
          </w:tcPr>
          <w:p>
            <w:pPr>
              <w:jc w:val="right"/>
              <w:ind w:right="298"/>
              <w:spacing w:after="0"/>
              <w:rPr>
                <w:sz w:val="20"/>
                <w:szCs w:val="20"/>
                <w:color w:val="auto"/>
              </w:rPr>
            </w:pPr>
            <w:r>
              <w:rPr>
                <w:rFonts w:ascii="Arial" w:cs="Arial" w:eastAsia="Arial" w:hAnsi="Arial"/>
                <w:sz w:val="16"/>
                <w:szCs w:val="16"/>
                <w:color w:val="auto"/>
              </w:rPr>
              <w:t>5,678</w:t>
            </w:r>
          </w:p>
        </w:tc>
        <w:tc>
          <w:tcPr>
            <w:tcW w:w="2300" w:type="dxa"/>
            <w:vAlign w:val="bottom"/>
          </w:tcPr>
          <w:p>
            <w:pPr>
              <w:jc w:val="right"/>
              <w:ind w:right="1000"/>
              <w:spacing w:after="0"/>
              <w:rPr>
                <w:sz w:val="20"/>
                <w:szCs w:val="20"/>
                <w:color w:val="auto"/>
              </w:rPr>
            </w:pPr>
            <w:r>
              <w:rPr>
                <w:rFonts w:ascii="Arial" w:cs="Arial" w:eastAsia="Arial" w:hAnsi="Arial"/>
                <w:sz w:val="16"/>
                <w:szCs w:val="16"/>
                <w:color w:val="auto"/>
              </w:rPr>
              <w:t>6,061</w:t>
            </w:r>
          </w:p>
        </w:tc>
        <w:tc>
          <w:tcPr>
            <w:tcW w:w="60" w:type="dxa"/>
            <w:vAlign w:val="bottom"/>
          </w:tcPr>
          <w:p>
            <w:pPr>
              <w:spacing w:after="0"/>
              <w:rPr>
                <w:sz w:val="18"/>
                <w:szCs w:val="18"/>
                <w:color w:val="auto"/>
              </w:rPr>
            </w:pPr>
          </w:p>
        </w:tc>
      </w:tr>
      <w:tr>
        <w:trPr>
          <w:trHeight w:val="177"/>
        </w:trPr>
        <w:tc>
          <w:tcPr>
            <w:tcW w:w="580" w:type="dxa"/>
            <w:vAlign w:val="bottom"/>
          </w:tcPr>
          <w:p>
            <w:pPr>
              <w:spacing w:after="0"/>
              <w:rPr>
                <w:sz w:val="15"/>
                <w:szCs w:val="15"/>
                <w:color w:val="auto"/>
              </w:rPr>
            </w:pPr>
          </w:p>
        </w:tc>
        <w:tc>
          <w:tcPr>
            <w:tcW w:w="4500" w:type="dxa"/>
            <w:vAlign w:val="bottom"/>
          </w:tcPr>
          <w:p>
            <w:pPr>
              <w:ind w:left="480"/>
              <w:spacing w:after="0" w:line="177" w:lineRule="exact"/>
              <w:rPr>
                <w:sz w:val="20"/>
                <w:szCs w:val="20"/>
                <w:color w:val="auto"/>
              </w:rPr>
            </w:pPr>
            <w:r>
              <w:rPr>
                <w:rFonts w:ascii="Arial" w:cs="Arial" w:eastAsia="Arial" w:hAnsi="Arial"/>
                <w:sz w:val="16"/>
                <w:szCs w:val="16"/>
                <w:color w:val="auto"/>
              </w:rPr>
              <w:t>Total income taxes</w:t>
            </w:r>
          </w:p>
        </w:tc>
        <w:tc>
          <w:tcPr>
            <w:tcW w:w="2960" w:type="dxa"/>
            <w:vAlign w:val="bottom"/>
          </w:tcPr>
          <w:p>
            <w:pPr>
              <w:spacing w:after="0"/>
              <w:rPr>
                <w:sz w:val="15"/>
                <w:szCs w:val="15"/>
                <w:color w:val="auto"/>
              </w:rPr>
            </w:pPr>
          </w:p>
        </w:tc>
        <w:tc>
          <w:tcPr>
            <w:tcW w:w="1120" w:type="dxa"/>
            <w:vAlign w:val="bottom"/>
            <w:tcBorders>
              <w:top w:val="single" w:sz="8" w:color="auto"/>
            </w:tcBorders>
          </w:tcPr>
          <w:p>
            <w:pPr>
              <w:jc w:val="right"/>
              <w:ind w:right="298"/>
              <w:spacing w:after="0" w:line="177" w:lineRule="exact"/>
              <w:rPr>
                <w:sz w:val="20"/>
                <w:szCs w:val="20"/>
                <w:color w:val="auto"/>
              </w:rPr>
            </w:pPr>
            <w:r>
              <w:rPr>
                <w:rFonts w:ascii="Arial" w:cs="Arial" w:eastAsia="Arial" w:hAnsi="Arial"/>
                <w:sz w:val="16"/>
                <w:szCs w:val="16"/>
                <w:color w:val="auto"/>
              </w:rPr>
              <w:t>23,693</w:t>
            </w:r>
          </w:p>
        </w:tc>
        <w:tc>
          <w:tcPr>
            <w:tcW w:w="2300" w:type="dxa"/>
            <w:vAlign w:val="bottom"/>
            <w:tcBorders>
              <w:top w:val="single" w:sz="8" w:color="auto"/>
            </w:tcBorders>
          </w:tcPr>
          <w:p>
            <w:pPr>
              <w:jc w:val="right"/>
              <w:ind w:right="1000"/>
              <w:spacing w:after="0" w:line="177" w:lineRule="exact"/>
              <w:rPr>
                <w:sz w:val="20"/>
                <w:szCs w:val="20"/>
                <w:color w:val="auto"/>
              </w:rPr>
            </w:pPr>
            <w:r>
              <w:rPr>
                <w:rFonts w:ascii="Arial" w:cs="Arial" w:eastAsia="Arial" w:hAnsi="Arial"/>
                <w:sz w:val="16"/>
                <w:szCs w:val="16"/>
                <w:color w:val="auto"/>
              </w:rPr>
              <w:t>30,324</w:t>
            </w:r>
          </w:p>
        </w:tc>
        <w:tc>
          <w:tcPr>
            <w:tcW w:w="60" w:type="dxa"/>
            <w:vAlign w:val="bottom"/>
            <w:tcBorders>
              <w:top w:val="single" w:sz="8" w:color="auto"/>
            </w:tcBorders>
          </w:tcPr>
          <w:p>
            <w:pPr>
              <w:spacing w:after="0"/>
              <w:rPr>
                <w:sz w:val="15"/>
                <w:szCs w:val="15"/>
                <w:color w:val="auto"/>
              </w:rPr>
            </w:pPr>
          </w:p>
        </w:tc>
      </w:tr>
      <w:tr>
        <w:trPr>
          <w:trHeight w:val="208"/>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Net income including noncontrolling interests</w:t>
            </w:r>
          </w:p>
        </w:tc>
        <w:tc>
          <w:tcPr>
            <w:tcW w:w="4080" w:type="dxa"/>
            <w:vAlign w:val="bottom"/>
            <w:gridSpan w:val="2"/>
          </w:tcPr>
          <w:p>
            <w:pPr>
              <w:jc w:val="right"/>
              <w:ind w:right="298"/>
              <w:spacing w:after="0"/>
              <w:rPr>
                <w:sz w:val="20"/>
                <w:szCs w:val="20"/>
                <w:color w:val="auto"/>
              </w:rPr>
            </w:pPr>
            <w:r>
              <w:rPr>
                <w:rFonts w:ascii="Arial" w:cs="Arial" w:eastAsia="Arial" w:hAnsi="Arial"/>
                <w:sz w:val="16"/>
                <w:szCs w:val="16"/>
                <w:color w:val="auto"/>
              </w:rPr>
              <w:t>33,615</w:t>
            </w:r>
          </w:p>
        </w:tc>
        <w:tc>
          <w:tcPr>
            <w:tcW w:w="2300" w:type="dxa"/>
            <w:vAlign w:val="bottom"/>
          </w:tcPr>
          <w:p>
            <w:pPr>
              <w:jc w:val="right"/>
              <w:ind w:right="1000"/>
              <w:spacing w:after="0"/>
              <w:rPr>
                <w:sz w:val="20"/>
                <w:szCs w:val="20"/>
                <w:color w:val="auto"/>
              </w:rPr>
            </w:pPr>
            <w:r>
              <w:rPr>
                <w:rFonts w:ascii="Arial" w:cs="Arial" w:eastAsia="Arial" w:hAnsi="Arial"/>
                <w:sz w:val="16"/>
                <w:szCs w:val="16"/>
                <w:color w:val="auto"/>
              </w:rPr>
              <w:t>33,448</w:t>
            </w:r>
          </w:p>
        </w:tc>
        <w:tc>
          <w:tcPr>
            <w:tcW w:w="60" w:type="dxa"/>
            <w:vAlign w:val="bottom"/>
          </w:tcPr>
          <w:p>
            <w:pPr>
              <w:spacing w:after="0"/>
              <w:rPr>
                <w:sz w:val="18"/>
                <w:szCs w:val="18"/>
                <w:color w:val="auto"/>
              </w:rPr>
            </w:pPr>
          </w:p>
        </w:tc>
      </w:tr>
      <w:tr>
        <w:trPr>
          <w:trHeight w:val="189"/>
        </w:trPr>
        <w:tc>
          <w:tcPr>
            <w:tcW w:w="580" w:type="dxa"/>
            <w:vAlign w:val="bottom"/>
          </w:tcPr>
          <w:p>
            <w:pPr>
              <w:spacing w:after="0"/>
              <w:rPr>
                <w:sz w:val="16"/>
                <w:szCs w:val="16"/>
                <w:color w:val="auto"/>
              </w:rPr>
            </w:pPr>
          </w:p>
        </w:tc>
        <w:tc>
          <w:tcPr>
            <w:tcW w:w="4500" w:type="dxa"/>
            <w:vAlign w:val="bottom"/>
          </w:tcPr>
          <w:p>
            <w:pPr>
              <w:ind w:left="480"/>
              <w:spacing w:after="0"/>
              <w:rPr>
                <w:sz w:val="20"/>
                <w:szCs w:val="20"/>
                <w:color w:val="auto"/>
              </w:rPr>
            </w:pPr>
            <w:r>
              <w:rPr>
                <w:rFonts w:ascii="Arial" w:cs="Arial" w:eastAsia="Arial" w:hAnsi="Arial"/>
                <w:sz w:val="16"/>
                <w:szCs w:val="16"/>
                <w:color w:val="auto"/>
              </w:rPr>
              <w:t>Total income before taxes</w:t>
            </w:r>
          </w:p>
        </w:tc>
        <w:tc>
          <w:tcPr>
            <w:tcW w:w="296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color w:val="auto"/>
              </w:rPr>
              <w:t>57,308</w:t>
            </w:r>
          </w:p>
        </w:tc>
        <w:tc>
          <w:tcPr>
            <w:tcW w:w="2300" w:type="dxa"/>
            <w:vAlign w:val="bottom"/>
            <w:tcBorders>
              <w:top w:val="single" w:sz="8" w:color="auto"/>
              <w:bottom w:val="single" w:sz="8" w:color="auto"/>
            </w:tcBorders>
          </w:tcPr>
          <w:p>
            <w:pPr>
              <w:jc w:val="right"/>
              <w:ind w:right="1000"/>
              <w:spacing w:after="0"/>
              <w:rPr>
                <w:sz w:val="20"/>
                <w:szCs w:val="20"/>
                <w:color w:val="auto"/>
              </w:rPr>
            </w:pPr>
            <w:r>
              <w:rPr>
                <w:rFonts w:ascii="Arial" w:cs="Arial" w:eastAsia="Arial" w:hAnsi="Arial"/>
                <w:sz w:val="16"/>
                <w:szCs w:val="16"/>
                <w:color w:val="auto"/>
              </w:rPr>
              <w:t>63,772</w:t>
            </w:r>
          </w:p>
        </w:tc>
        <w:tc>
          <w:tcPr>
            <w:tcW w:w="60" w:type="dxa"/>
            <w:vAlign w:val="bottom"/>
            <w:tcBorders>
              <w:top w:val="single" w:sz="8" w:color="auto"/>
              <w:bottom w:val="single" w:sz="8" w:color="auto"/>
            </w:tcBorders>
          </w:tcPr>
          <w:p>
            <w:pPr>
              <w:spacing w:after="0"/>
              <w:rPr>
                <w:sz w:val="16"/>
                <w:szCs w:val="16"/>
                <w:color w:val="auto"/>
              </w:rPr>
            </w:pPr>
          </w:p>
        </w:tc>
      </w:tr>
      <w:tr>
        <w:trPr>
          <w:trHeight w:val="383"/>
        </w:trPr>
        <w:tc>
          <w:tcPr>
            <w:tcW w:w="5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Effective income tax rate</w:t>
            </w:r>
          </w:p>
        </w:tc>
        <w:tc>
          <w:tcPr>
            <w:tcW w:w="4080" w:type="dxa"/>
            <w:vAlign w:val="bottom"/>
            <w:gridSpan w:val="2"/>
          </w:tcPr>
          <w:p>
            <w:pPr>
              <w:jc w:val="right"/>
              <w:ind w:right="238"/>
              <w:spacing w:after="0"/>
              <w:rPr>
                <w:sz w:val="20"/>
                <w:szCs w:val="20"/>
                <w:color w:val="auto"/>
              </w:rPr>
            </w:pPr>
            <w:r>
              <w:rPr>
                <w:rFonts w:ascii="Arial" w:cs="Arial" w:eastAsia="Arial" w:hAnsi="Arial"/>
                <w:sz w:val="16"/>
                <w:szCs w:val="16"/>
                <w:color w:val="auto"/>
              </w:rPr>
              <w:t>41%</w:t>
            </w:r>
          </w:p>
        </w:tc>
        <w:tc>
          <w:tcPr>
            <w:tcW w:w="2300" w:type="dxa"/>
            <w:vAlign w:val="bottom"/>
          </w:tcPr>
          <w:p>
            <w:pPr>
              <w:jc w:val="right"/>
              <w:ind w:right="960"/>
              <w:spacing w:after="0"/>
              <w:rPr>
                <w:sz w:val="20"/>
                <w:szCs w:val="20"/>
                <w:color w:val="auto"/>
              </w:rPr>
            </w:pPr>
            <w:r>
              <w:rPr>
                <w:rFonts w:ascii="Arial" w:cs="Arial" w:eastAsia="Arial" w:hAnsi="Arial"/>
                <w:sz w:val="16"/>
                <w:szCs w:val="16"/>
                <w:color w:val="auto"/>
              </w:rPr>
              <w:t>48%</w:t>
            </w:r>
          </w:p>
        </w:tc>
        <w:tc>
          <w:tcPr>
            <w:tcW w:w="60" w:type="dxa"/>
            <w:vAlign w:val="bottom"/>
          </w:tcPr>
          <w:p>
            <w:pPr>
              <w:spacing w:after="0"/>
              <w:rPr>
                <w:sz w:val="24"/>
                <w:szCs w:val="24"/>
                <w:color w:val="auto"/>
              </w:rPr>
            </w:pPr>
          </w:p>
        </w:tc>
      </w:tr>
      <w:tr>
        <w:trPr>
          <w:trHeight w:val="294"/>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960" w:type="dxa"/>
            <w:vAlign w:val="bottom"/>
          </w:tcPr>
          <w:p>
            <w:pPr>
              <w:jc w:val="right"/>
              <w:ind w:right="1600"/>
              <w:spacing w:after="0"/>
              <w:rPr>
                <w:sz w:val="20"/>
                <w:szCs w:val="20"/>
                <w:color w:val="auto"/>
              </w:rPr>
            </w:pPr>
            <w:r>
              <w:rPr>
                <w:rFonts w:ascii="Arial" w:cs="Arial" w:eastAsia="Arial" w:hAnsi="Arial"/>
                <w:sz w:val="16"/>
                <w:szCs w:val="16"/>
                <w:color w:val="auto"/>
              </w:rPr>
              <w:t>94</w:t>
            </w:r>
          </w:p>
        </w:tc>
        <w:tc>
          <w:tcPr>
            <w:tcW w:w="1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45"/>
        </w:trPr>
        <w:tc>
          <w:tcPr>
            <w:tcW w:w="580" w:type="dxa"/>
            <w:vAlign w:val="bottom"/>
            <w:tcBorders>
              <w:bottom w:val="single" w:sz="8" w:color="808080"/>
            </w:tcBorders>
          </w:tcPr>
          <w:p>
            <w:pPr>
              <w:spacing w:after="0"/>
              <w:rPr>
                <w:sz w:val="24"/>
                <w:szCs w:val="24"/>
                <w:color w:val="auto"/>
              </w:rPr>
            </w:pPr>
          </w:p>
        </w:tc>
        <w:tc>
          <w:tcPr>
            <w:tcW w:w="450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588" w:right="13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Deferred income taxes reflect the impact of temporary differences between the amount of assets and liabilities recognized for financial reporting purposes and such a recognized for tax purposes.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Deferred tax liabilities/(assets) are comprised of the following at December 31:</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Tax effects of temporary differences for:</w:t>
            </w:r>
          </w:p>
        </w:tc>
        <w:tc>
          <w:tcPr>
            <w:tcW w:w="1840" w:type="dxa"/>
            <w:vAlign w:val="bottom"/>
            <w:tcBorders>
              <w:bottom w:val="single" w:sz="8" w:color="auto"/>
            </w:tcBorders>
          </w:tcPr>
          <w:p>
            <w:pPr>
              <w:jc w:val="right"/>
              <w:ind w:right="1181"/>
              <w:spacing w:after="0"/>
              <w:rPr>
                <w:sz w:val="20"/>
                <w:szCs w:val="20"/>
                <w:color w:val="auto"/>
              </w:rPr>
            </w:pPr>
            <w:r>
              <w:rPr>
                <w:rFonts w:ascii="Arial" w:cs="Arial" w:eastAsia="Arial" w:hAnsi="Arial"/>
                <w:sz w:val="13"/>
                <w:szCs w:val="13"/>
                <w:b w:val="1"/>
                <w:bCs w:val="1"/>
                <w:color w:val="auto"/>
              </w:rPr>
              <w:t>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w:t>
            </w:r>
          </w:p>
        </w:tc>
      </w:tr>
      <w:tr>
        <w:trPr>
          <w:trHeight w:val="166"/>
        </w:trPr>
        <w:tc>
          <w:tcPr>
            <w:tcW w:w="894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3"/>
                <w:szCs w:val="13"/>
                <w:i w:val="1"/>
                <w:iCs w:val="1"/>
                <w:color w:val="auto"/>
              </w:rPr>
              <w:t>(millions of dollars)</w:t>
            </w:r>
          </w:p>
        </w:tc>
        <w:tc>
          <w:tcPr>
            <w:tcW w:w="160" w:type="dxa"/>
            <w:vAlign w:val="bottom"/>
          </w:tcPr>
          <w:p>
            <w:pPr>
              <w:spacing w:after="0"/>
              <w:rPr>
                <w:sz w:val="14"/>
                <w:szCs w:val="14"/>
                <w:color w:val="auto"/>
              </w:rPr>
            </w:pPr>
          </w:p>
        </w:tc>
      </w:tr>
      <w:tr>
        <w:trPr>
          <w:trHeight w:val="403"/>
        </w:trPr>
        <w:tc>
          <w:tcPr>
            <w:tcW w:w="894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1840" w:type="dxa"/>
            <w:vAlign w:val="bottom"/>
          </w:tcPr>
          <w:p>
            <w:pPr>
              <w:jc w:val="right"/>
              <w:ind w:right="901"/>
              <w:spacing w:after="0"/>
              <w:rPr>
                <w:sz w:val="20"/>
                <w:szCs w:val="20"/>
                <w:color w:val="auto"/>
              </w:rPr>
            </w:pPr>
            <w:r>
              <w:rPr>
                <w:rFonts w:ascii="Arial" w:cs="Arial" w:eastAsia="Arial" w:hAnsi="Arial"/>
                <w:sz w:val="16"/>
                <w:szCs w:val="16"/>
                <w:color w:val="auto"/>
              </w:rPr>
              <w:t>51,643</w:t>
            </w:r>
          </w:p>
        </w:tc>
        <w:tc>
          <w:tcPr>
            <w:tcW w:w="160" w:type="dxa"/>
            <w:vAlign w:val="bottom"/>
          </w:tcPr>
          <w:p>
            <w:pPr>
              <w:spacing w:after="0"/>
              <w:rPr>
                <w:sz w:val="24"/>
                <w:szCs w:val="24"/>
                <w:color w:val="auto"/>
              </w:rPr>
            </w:pPr>
          </w:p>
        </w:tc>
      </w:tr>
      <w:tr>
        <w:trPr>
          <w:trHeight w:val="208"/>
        </w:trPr>
        <w:tc>
          <w:tcPr>
            <w:tcW w:w="8940" w:type="dxa"/>
            <w:vAlign w:val="bottom"/>
          </w:tcPr>
          <w:p>
            <w:pPr>
              <w:spacing w:after="0"/>
              <w:rPr>
                <w:sz w:val="20"/>
                <w:szCs w:val="20"/>
                <w:color w:val="auto"/>
              </w:rPr>
            </w:pPr>
            <w:r>
              <w:rPr>
                <w:rFonts w:ascii="Arial" w:cs="Arial" w:eastAsia="Arial" w:hAnsi="Arial"/>
                <w:sz w:val="16"/>
                <w:szCs w:val="16"/>
                <w:color w:val="auto"/>
              </w:rPr>
              <w:t>Other liabilities</w:t>
            </w:r>
          </w:p>
        </w:tc>
        <w:tc>
          <w:tcPr>
            <w:tcW w:w="184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rPr>
              <w:t>4,359</w:t>
            </w:r>
          </w:p>
        </w:tc>
        <w:tc>
          <w:tcPr>
            <w:tcW w:w="160" w:type="dxa"/>
            <w:vAlign w:val="bottom"/>
            <w:tcBorders>
              <w:bottom w:val="single" w:sz="8" w:color="auto"/>
            </w:tcBorders>
          </w:tcPr>
          <w:p>
            <w:pPr>
              <w:spacing w:after="0"/>
              <w:rPr>
                <w:sz w:val="18"/>
                <w:szCs w:val="18"/>
                <w:color w:val="auto"/>
              </w:rPr>
            </w:pPr>
          </w:p>
        </w:tc>
      </w:tr>
      <w:tr>
        <w:trPr>
          <w:trHeight w:val="189"/>
        </w:trPr>
        <w:tc>
          <w:tcPr>
            <w:tcW w:w="8940" w:type="dxa"/>
            <w:vAlign w:val="bottom"/>
          </w:tcPr>
          <w:p>
            <w:pPr>
              <w:ind w:left="240"/>
              <w:spacing w:after="0"/>
              <w:rPr>
                <w:sz w:val="20"/>
                <w:szCs w:val="20"/>
                <w:color w:val="auto"/>
              </w:rPr>
            </w:pPr>
            <w:r>
              <w:rPr>
                <w:rFonts w:ascii="Arial" w:cs="Arial" w:eastAsia="Arial" w:hAnsi="Arial"/>
                <w:sz w:val="16"/>
                <w:szCs w:val="16"/>
                <w:color w:val="auto"/>
              </w:rPr>
              <w:t>Total deferred tax liabilities</w:t>
            </w:r>
          </w:p>
        </w:tc>
        <w:tc>
          <w:tcPr>
            <w:tcW w:w="184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rPr>
              <w:t>56,002</w:t>
            </w:r>
          </w:p>
        </w:tc>
        <w:tc>
          <w:tcPr>
            <w:tcW w:w="160" w:type="dxa"/>
            <w:vAlign w:val="bottom"/>
            <w:tcBorders>
              <w:bottom w:val="single" w:sz="8" w:color="auto"/>
            </w:tcBorders>
          </w:tcPr>
          <w:p>
            <w:pPr>
              <w:spacing w:after="0"/>
              <w:rPr>
                <w:sz w:val="16"/>
                <w:szCs w:val="16"/>
                <w:color w:val="auto"/>
              </w:rPr>
            </w:pPr>
          </w:p>
        </w:tc>
      </w:tr>
      <w:tr>
        <w:trPr>
          <w:trHeight w:val="372"/>
        </w:trPr>
        <w:tc>
          <w:tcPr>
            <w:tcW w:w="8940" w:type="dxa"/>
            <w:vAlign w:val="bottom"/>
          </w:tcPr>
          <w:p>
            <w:pPr>
              <w:spacing w:after="0"/>
              <w:rPr>
                <w:sz w:val="20"/>
                <w:szCs w:val="20"/>
                <w:color w:val="auto"/>
              </w:rPr>
            </w:pPr>
            <w:r>
              <w:rPr>
                <w:rFonts w:ascii="Arial" w:cs="Arial" w:eastAsia="Arial" w:hAnsi="Arial"/>
                <w:sz w:val="16"/>
                <w:szCs w:val="16"/>
                <w:color w:val="auto"/>
              </w:rPr>
              <w:t>Pension and other postretirement benefits</w:t>
            </w:r>
          </w:p>
        </w:tc>
        <w:tc>
          <w:tcPr>
            <w:tcW w:w="1840" w:type="dxa"/>
            <w:vAlign w:val="bottom"/>
          </w:tcPr>
          <w:p>
            <w:pPr>
              <w:jc w:val="right"/>
              <w:ind w:right="841"/>
              <w:spacing w:after="0"/>
              <w:rPr>
                <w:sz w:val="20"/>
                <w:szCs w:val="20"/>
                <w:color w:val="auto"/>
              </w:rPr>
            </w:pPr>
            <w:r>
              <w:rPr>
                <w:rFonts w:ascii="Arial" w:cs="Arial" w:eastAsia="Arial" w:hAnsi="Arial"/>
                <w:sz w:val="16"/>
                <w:szCs w:val="16"/>
                <w:color w:val="auto"/>
              </w:rPr>
              <w:t>(8,140)</w:t>
            </w:r>
          </w:p>
        </w:tc>
        <w:tc>
          <w:tcPr>
            <w:tcW w:w="160" w:type="dxa"/>
            <w:vAlign w:val="bottom"/>
          </w:tcPr>
          <w:p>
            <w:pPr>
              <w:spacing w:after="0"/>
              <w:rPr>
                <w:sz w:val="24"/>
                <w:szCs w:val="24"/>
                <w:color w:val="auto"/>
              </w:rPr>
            </w:pPr>
          </w:p>
        </w:tc>
      </w:tr>
      <w:tr>
        <w:trPr>
          <w:trHeight w:val="196"/>
        </w:trPr>
        <w:tc>
          <w:tcPr>
            <w:tcW w:w="8940" w:type="dxa"/>
            <w:vAlign w:val="bottom"/>
          </w:tcPr>
          <w:p>
            <w:pPr>
              <w:spacing w:after="0"/>
              <w:rPr>
                <w:sz w:val="20"/>
                <w:szCs w:val="20"/>
                <w:color w:val="auto"/>
              </w:rPr>
            </w:pPr>
            <w:r>
              <w:rPr>
                <w:rFonts w:ascii="Arial" w:cs="Arial" w:eastAsia="Arial" w:hAnsi="Arial"/>
                <w:sz w:val="16"/>
                <w:szCs w:val="16"/>
                <w:color w:val="auto"/>
              </w:rPr>
              <w:t>Asset retirement obligations</w:t>
            </w:r>
          </w:p>
        </w:tc>
        <w:tc>
          <w:tcPr>
            <w:tcW w:w="1840" w:type="dxa"/>
            <w:vAlign w:val="bottom"/>
          </w:tcPr>
          <w:p>
            <w:pPr>
              <w:jc w:val="right"/>
              <w:ind w:right="841"/>
              <w:spacing w:after="0"/>
              <w:rPr>
                <w:sz w:val="20"/>
                <w:szCs w:val="20"/>
                <w:color w:val="auto"/>
              </w:rPr>
            </w:pPr>
            <w:r>
              <w:rPr>
                <w:rFonts w:ascii="Arial" w:cs="Arial" w:eastAsia="Arial" w:hAnsi="Arial"/>
                <w:sz w:val="16"/>
                <w:szCs w:val="16"/>
                <w:color w:val="auto"/>
              </w:rPr>
              <w:t>(6,162)</w:t>
            </w:r>
          </w:p>
        </w:tc>
        <w:tc>
          <w:tcPr>
            <w:tcW w:w="160" w:type="dxa"/>
            <w:vAlign w:val="bottom"/>
          </w:tcPr>
          <w:p>
            <w:pPr>
              <w:spacing w:after="0"/>
              <w:rPr>
                <w:sz w:val="17"/>
                <w:szCs w:val="17"/>
                <w:color w:val="auto"/>
              </w:rPr>
            </w:pPr>
          </w:p>
        </w:tc>
      </w:tr>
      <w:tr>
        <w:trPr>
          <w:trHeight w:val="196"/>
        </w:trPr>
        <w:tc>
          <w:tcPr>
            <w:tcW w:w="8940" w:type="dxa"/>
            <w:vAlign w:val="bottom"/>
          </w:tcPr>
          <w:p>
            <w:pPr>
              <w:spacing w:after="0"/>
              <w:rPr>
                <w:sz w:val="20"/>
                <w:szCs w:val="20"/>
                <w:color w:val="auto"/>
              </w:rPr>
            </w:pPr>
            <w:r>
              <w:rPr>
                <w:rFonts w:ascii="Arial" w:cs="Arial" w:eastAsia="Arial" w:hAnsi="Arial"/>
                <w:sz w:val="16"/>
                <w:szCs w:val="16"/>
                <w:color w:val="auto"/>
              </w:rPr>
              <w:t>Tax loss carryforwards</w:t>
            </w:r>
          </w:p>
        </w:tc>
        <w:tc>
          <w:tcPr>
            <w:tcW w:w="1840" w:type="dxa"/>
            <w:vAlign w:val="bottom"/>
          </w:tcPr>
          <w:p>
            <w:pPr>
              <w:jc w:val="right"/>
              <w:ind w:right="841"/>
              <w:spacing w:after="0"/>
              <w:rPr>
                <w:sz w:val="20"/>
                <w:szCs w:val="20"/>
                <w:color w:val="auto"/>
              </w:rPr>
            </w:pPr>
            <w:r>
              <w:rPr>
                <w:rFonts w:ascii="Arial" w:cs="Arial" w:eastAsia="Arial" w:hAnsi="Arial"/>
                <w:sz w:val="16"/>
                <w:szCs w:val="16"/>
                <w:color w:val="auto"/>
              </w:rPr>
              <w:t>(4,099)</w:t>
            </w:r>
          </w:p>
        </w:tc>
        <w:tc>
          <w:tcPr>
            <w:tcW w:w="160" w:type="dxa"/>
            <w:vAlign w:val="bottom"/>
          </w:tcPr>
          <w:p>
            <w:pPr>
              <w:spacing w:after="0"/>
              <w:rPr>
                <w:sz w:val="17"/>
                <w:szCs w:val="17"/>
                <w:color w:val="auto"/>
              </w:rPr>
            </w:pPr>
          </w:p>
        </w:tc>
      </w:tr>
      <w:tr>
        <w:trPr>
          <w:trHeight w:val="208"/>
        </w:trPr>
        <w:tc>
          <w:tcPr>
            <w:tcW w:w="8940" w:type="dxa"/>
            <w:vAlign w:val="bottom"/>
          </w:tcPr>
          <w:p>
            <w:pPr>
              <w:spacing w:after="0"/>
              <w:rPr>
                <w:sz w:val="20"/>
                <w:szCs w:val="20"/>
                <w:color w:val="auto"/>
              </w:rPr>
            </w:pPr>
            <w:r>
              <w:rPr>
                <w:rFonts w:ascii="Arial" w:cs="Arial" w:eastAsia="Arial" w:hAnsi="Arial"/>
                <w:sz w:val="16"/>
                <w:szCs w:val="16"/>
                <w:color w:val="auto"/>
              </w:rPr>
              <w:t>Other assets</w:t>
            </w:r>
          </w:p>
        </w:tc>
        <w:tc>
          <w:tcPr>
            <w:tcW w:w="184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rPr>
              <w:t>(6,446)</w:t>
            </w:r>
          </w:p>
        </w:tc>
        <w:tc>
          <w:tcPr>
            <w:tcW w:w="160" w:type="dxa"/>
            <w:vAlign w:val="bottom"/>
            <w:tcBorders>
              <w:bottom w:val="single" w:sz="8" w:color="auto"/>
            </w:tcBorders>
          </w:tcPr>
          <w:p>
            <w:pPr>
              <w:spacing w:after="0"/>
              <w:rPr>
                <w:sz w:val="18"/>
                <w:szCs w:val="18"/>
                <w:color w:val="auto"/>
              </w:rPr>
            </w:pPr>
          </w:p>
        </w:tc>
      </w:tr>
      <w:tr>
        <w:trPr>
          <w:trHeight w:val="189"/>
        </w:trPr>
        <w:tc>
          <w:tcPr>
            <w:tcW w:w="8940" w:type="dxa"/>
            <w:vAlign w:val="bottom"/>
          </w:tcPr>
          <w:p>
            <w:pPr>
              <w:ind w:left="240"/>
              <w:spacing w:after="0"/>
              <w:rPr>
                <w:sz w:val="20"/>
                <w:szCs w:val="20"/>
                <w:color w:val="auto"/>
              </w:rPr>
            </w:pPr>
            <w:r>
              <w:rPr>
                <w:rFonts w:ascii="Arial" w:cs="Arial" w:eastAsia="Arial" w:hAnsi="Arial"/>
                <w:sz w:val="16"/>
                <w:szCs w:val="16"/>
                <w:color w:val="auto"/>
              </w:rPr>
              <w:t>Total deferred tax assets</w:t>
            </w:r>
          </w:p>
        </w:tc>
        <w:tc>
          <w:tcPr>
            <w:tcW w:w="184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rPr>
              <w:t>(24,847)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383"/>
        </w:trPr>
        <w:tc>
          <w:tcPr>
            <w:tcW w:w="8940" w:type="dxa"/>
            <w:vAlign w:val="bottom"/>
          </w:tcPr>
          <w:p>
            <w:pPr>
              <w:spacing w:after="0"/>
              <w:rPr>
                <w:sz w:val="20"/>
                <w:szCs w:val="20"/>
                <w:color w:val="auto"/>
              </w:rPr>
            </w:pPr>
            <w:r>
              <w:rPr>
                <w:rFonts w:ascii="Arial" w:cs="Arial" w:eastAsia="Arial" w:hAnsi="Arial"/>
                <w:sz w:val="16"/>
                <w:szCs w:val="16"/>
                <w:color w:val="auto"/>
              </w:rPr>
              <w:t>Asset valuation allowances</w:t>
            </w:r>
          </w:p>
        </w:tc>
        <w:tc>
          <w:tcPr>
            <w:tcW w:w="184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rPr>
              <w:t>2,570</w:t>
            </w:r>
          </w:p>
        </w:tc>
        <w:tc>
          <w:tcPr>
            <w:tcW w:w="160" w:type="dxa"/>
            <w:vAlign w:val="bottom"/>
            <w:tcBorders>
              <w:bottom w:val="single" w:sz="8" w:color="auto"/>
            </w:tcBorders>
          </w:tcPr>
          <w:p>
            <w:pPr>
              <w:spacing w:after="0"/>
              <w:rPr>
                <w:sz w:val="24"/>
                <w:szCs w:val="24"/>
                <w:color w:val="auto"/>
              </w:rPr>
            </w:pPr>
          </w:p>
        </w:tc>
      </w:tr>
      <w:tr>
        <w:trPr>
          <w:trHeight w:val="189"/>
        </w:trPr>
        <w:tc>
          <w:tcPr>
            <w:tcW w:w="8940" w:type="dxa"/>
            <w:vAlign w:val="bottom"/>
          </w:tcPr>
          <w:p>
            <w:pPr>
              <w:ind w:left="240"/>
              <w:spacing w:after="0"/>
              <w:rPr>
                <w:sz w:val="20"/>
                <w:szCs w:val="20"/>
                <w:color w:val="auto"/>
              </w:rPr>
            </w:pPr>
            <w:r>
              <w:rPr>
                <w:rFonts w:ascii="Arial" w:cs="Arial" w:eastAsia="Arial" w:hAnsi="Arial"/>
                <w:sz w:val="16"/>
                <w:szCs w:val="16"/>
                <w:color w:val="auto"/>
              </w:rPr>
              <w:t>Net deferred tax liabilities</w:t>
            </w:r>
          </w:p>
        </w:tc>
        <w:tc>
          <w:tcPr>
            <w:tcW w:w="184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rPr>
              <w:t>33,725</w:t>
            </w:r>
          </w:p>
        </w:tc>
        <w:tc>
          <w:tcPr>
            <w:tcW w:w="160" w:type="dxa"/>
            <w:vAlign w:val="bottom"/>
            <w:tcBorders>
              <w:bottom w:val="single" w:sz="8" w:color="auto"/>
            </w:tcBorders>
          </w:tcPr>
          <w:p>
            <w:pPr>
              <w:spacing w:after="0"/>
              <w:rPr>
                <w:sz w:val="16"/>
                <w:szCs w:val="16"/>
                <w:color w:val="auto"/>
              </w:rPr>
            </w:pPr>
          </w:p>
        </w:tc>
      </w:tr>
    </w:tbl>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2014, asset valuation allowances of $2,570 million increased by $79 million and included additional net provisions of $340 million and effects of foreign c translation of $(261) million.</w:t>
      </w:r>
    </w:p>
    <w:p>
      <w:pPr>
        <w:spacing w:after="0" w:line="27" w:lineRule="exact"/>
        <w:rPr>
          <w:sz w:val="20"/>
          <w:szCs w:val="20"/>
          <w:color w:val="auto"/>
        </w:rPr>
      </w:pPr>
    </w:p>
    <w:p>
      <w:pPr>
        <w:ind w:right="40" w:firstLine="200"/>
        <w:spacing w:after="0" w:line="286" w:lineRule="auto"/>
        <w:rPr>
          <w:sz w:val="20"/>
          <w:szCs w:val="20"/>
          <w:color w:val="auto"/>
        </w:rPr>
      </w:pPr>
      <w:r>
        <w:rPr>
          <w:rFonts w:ascii="Arial" w:cs="Arial" w:eastAsia="Arial" w:hAnsi="Arial"/>
          <w:sz w:val="16"/>
          <w:szCs w:val="16"/>
          <w:color w:val="auto"/>
        </w:rPr>
        <w:t>Deferred income tax (assets) and liabilities are included in the balance sheet as shown below. Deferred income tax (assets) and liabilities are classified as current term consistent with the classification of the related temporary difference – separately by tax jurisdiction.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sheet classification</w:t>
            </w:r>
          </w:p>
        </w:tc>
        <w:tc>
          <w:tcPr>
            <w:tcW w:w="1900" w:type="dxa"/>
            <w:vAlign w:val="bottom"/>
            <w:tcBorders>
              <w:bottom w:val="single" w:sz="8" w:color="auto"/>
            </w:tcBorders>
          </w:tcPr>
          <w:p>
            <w:pPr>
              <w:jc w:val="right"/>
              <w:ind w:right="1283"/>
              <w:spacing w:after="0"/>
              <w:rPr>
                <w:sz w:val="20"/>
                <w:szCs w:val="20"/>
                <w:color w:val="auto"/>
              </w:rPr>
            </w:pPr>
            <w:r>
              <w:rPr>
                <w:rFonts w:ascii="Arial" w:cs="Arial" w:eastAsia="Arial" w:hAnsi="Arial"/>
                <w:sz w:val="13"/>
                <w:szCs w:val="13"/>
                <w:b w:val="1"/>
                <w:bCs w:val="1"/>
                <w:color w:val="auto"/>
              </w:rPr>
              <w:t>2014</w:t>
            </w:r>
          </w:p>
        </w:tc>
      </w:tr>
      <w:tr>
        <w:trPr>
          <w:trHeight w:val="166"/>
        </w:trPr>
        <w:tc>
          <w:tcPr>
            <w:tcW w:w="9040" w:type="dxa"/>
            <w:vAlign w:val="bottom"/>
          </w:tcPr>
          <w:p>
            <w:pPr>
              <w:spacing w:after="0"/>
              <w:rPr>
                <w:sz w:val="14"/>
                <w:szCs w:val="14"/>
                <w:color w:val="auto"/>
              </w:rPr>
            </w:pPr>
          </w:p>
        </w:tc>
        <w:tc>
          <w:tcPr>
            <w:tcW w:w="1900" w:type="dxa"/>
            <w:vAlign w:val="bottom"/>
          </w:tcPr>
          <w:p>
            <w:pPr>
              <w:jc w:val="right"/>
              <w:ind w:right="103"/>
              <w:spacing w:after="0"/>
              <w:rPr>
                <w:sz w:val="20"/>
                <w:szCs w:val="20"/>
                <w:color w:val="auto"/>
              </w:rPr>
            </w:pPr>
            <w:r>
              <w:rPr>
                <w:rFonts w:ascii="Arial" w:cs="Arial" w:eastAsia="Arial" w:hAnsi="Arial"/>
                <w:sz w:val="13"/>
                <w:szCs w:val="13"/>
                <w:i w:val="1"/>
                <w:iCs w:val="1"/>
                <w:color w:val="auto"/>
              </w:rPr>
              <w:t>(millions of dollars)</w:t>
            </w:r>
          </w:p>
        </w:tc>
      </w:tr>
      <w:tr>
        <w:trPr>
          <w:trHeight w:val="403"/>
        </w:trPr>
        <w:tc>
          <w:tcPr>
            <w:tcW w:w="9040" w:type="dxa"/>
            <w:vAlign w:val="bottom"/>
          </w:tcPr>
          <w:p>
            <w:pPr>
              <w:spacing w:after="0"/>
              <w:rPr>
                <w:sz w:val="20"/>
                <w:szCs w:val="20"/>
                <w:color w:val="auto"/>
              </w:rPr>
            </w:pPr>
            <w:r>
              <w:rPr>
                <w:rFonts w:ascii="Arial" w:cs="Arial" w:eastAsia="Arial" w:hAnsi="Arial"/>
                <w:sz w:val="16"/>
                <w:szCs w:val="16"/>
                <w:color w:val="auto"/>
              </w:rPr>
              <w:t>Other current assets</w:t>
            </w:r>
          </w:p>
        </w:tc>
        <w:tc>
          <w:tcPr>
            <w:tcW w:w="1900" w:type="dxa"/>
            <w:vAlign w:val="bottom"/>
          </w:tcPr>
          <w:p>
            <w:pPr>
              <w:jc w:val="right"/>
              <w:ind w:right="1023"/>
              <w:spacing w:after="0"/>
              <w:rPr>
                <w:sz w:val="20"/>
                <w:szCs w:val="20"/>
                <w:color w:val="auto"/>
              </w:rPr>
            </w:pPr>
            <w:r>
              <w:rPr>
                <w:rFonts w:ascii="Arial" w:cs="Arial" w:eastAsia="Arial" w:hAnsi="Arial"/>
                <w:sz w:val="16"/>
                <w:szCs w:val="16"/>
                <w:color w:val="auto"/>
              </w:rPr>
              <w:t>(2,001)</w:t>
            </w:r>
          </w:p>
        </w:tc>
      </w:tr>
      <w:tr>
        <w:trPr>
          <w:trHeight w:val="196"/>
        </w:trPr>
        <w:tc>
          <w:tcPr>
            <w:tcW w:w="9040" w:type="dxa"/>
            <w:vAlign w:val="bottom"/>
          </w:tcPr>
          <w:p>
            <w:pPr>
              <w:spacing w:after="0"/>
              <w:rPr>
                <w:sz w:val="20"/>
                <w:szCs w:val="20"/>
                <w:color w:val="auto"/>
              </w:rPr>
            </w:pPr>
            <w:r>
              <w:rPr>
                <w:rFonts w:ascii="Arial" w:cs="Arial" w:eastAsia="Arial" w:hAnsi="Arial"/>
                <w:sz w:val="16"/>
                <w:szCs w:val="16"/>
                <w:color w:val="auto"/>
              </w:rPr>
              <w:t>Other assets, including intangibles, net</w:t>
            </w:r>
          </w:p>
        </w:tc>
        <w:tc>
          <w:tcPr>
            <w:tcW w:w="1900" w:type="dxa"/>
            <w:vAlign w:val="bottom"/>
          </w:tcPr>
          <w:p>
            <w:pPr>
              <w:jc w:val="right"/>
              <w:ind w:right="1023"/>
              <w:spacing w:after="0"/>
              <w:rPr>
                <w:sz w:val="20"/>
                <w:szCs w:val="20"/>
                <w:color w:val="auto"/>
              </w:rPr>
            </w:pPr>
            <w:r>
              <w:rPr>
                <w:rFonts w:ascii="Arial" w:cs="Arial" w:eastAsia="Arial" w:hAnsi="Arial"/>
                <w:sz w:val="16"/>
                <w:szCs w:val="16"/>
                <w:color w:val="auto"/>
              </w:rPr>
              <w:t>(3,955)</w:t>
            </w:r>
          </w:p>
        </w:tc>
      </w:tr>
      <w:tr>
        <w:trPr>
          <w:trHeight w:val="196"/>
        </w:trPr>
        <w:tc>
          <w:tcPr>
            <w:tcW w:w="9040" w:type="dxa"/>
            <w:vAlign w:val="bottom"/>
          </w:tcPr>
          <w:p>
            <w:pPr>
              <w:spacing w:after="0"/>
              <w:rPr>
                <w:sz w:val="20"/>
                <w:szCs w:val="20"/>
                <w:color w:val="auto"/>
              </w:rPr>
            </w:pPr>
            <w:r>
              <w:rPr>
                <w:rFonts w:ascii="Arial" w:cs="Arial" w:eastAsia="Arial" w:hAnsi="Arial"/>
                <w:sz w:val="16"/>
                <w:szCs w:val="16"/>
                <w:color w:val="auto"/>
              </w:rPr>
              <w:t>Accounts payable and accrued liabilities</w:t>
            </w:r>
          </w:p>
        </w:tc>
        <w:tc>
          <w:tcPr>
            <w:tcW w:w="1900" w:type="dxa"/>
            <w:vAlign w:val="bottom"/>
          </w:tcPr>
          <w:p>
            <w:pPr>
              <w:jc w:val="right"/>
              <w:ind w:right="1063"/>
              <w:spacing w:after="0"/>
              <w:rPr>
                <w:sz w:val="20"/>
                <w:szCs w:val="20"/>
                <w:color w:val="auto"/>
              </w:rPr>
            </w:pPr>
            <w:r>
              <w:rPr>
                <w:rFonts w:ascii="Arial" w:cs="Arial" w:eastAsia="Arial" w:hAnsi="Arial"/>
                <w:sz w:val="16"/>
                <w:szCs w:val="16"/>
                <w:color w:val="auto"/>
              </w:rPr>
              <w:t>451</w:t>
            </w:r>
          </w:p>
        </w:tc>
      </w:tr>
      <w:tr>
        <w:trPr>
          <w:trHeight w:val="208"/>
        </w:trPr>
        <w:tc>
          <w:tcPr>
            <w:tcW w:w="9040" w:type="dxa"/>
            <w:vAlign w:val="bottom"/>
          </w:tcPr>
          <w:p>
            <w:pPr>
              <w:spacing w:after="0"/>
              <w:rPr>
                <w:sz w:val="20"/>
                <w:szCs w:val="20"/>
                <w:color w:val="auto"/>
              </w:rPr>
            </w:pPr>
            <w:r>
              <w:rPr>
                <w:rFonts w:ascii="Arial" w:cs="Arial" w:eastAsia="Arial" w:hAnsi="Arial"/>
                <w:sz w:val="16"/>
                <w:szCs w:val="16"/>
                <w:color w:val="auto"/>
              </w:rPr>
              <w:t>Deferred income tax liabilities</w:t>
            </w:r>
          </w:p>
        </w:tc>
        <w:tc>
          <w:tcPr>
            <w:tcW w:w="1900" w:type="dxa"/>
            <w:vAlign w:val="bottom"/>
            <w:tcBorders>
              <w:bottom w:val="single" w:sz="8" w:color="auto"/>
            </w:tcBorders>
          </w:tcPr>
          <w:p>
            <w:pPr>
              <w:jc w:val="right"/>
              <w:ind w:right="1063"/>
              <w:spacing w:after="0"/>
              <w:rPr>
                <w:sz w:val="20"/>
                <w:szCs w:val="20"/>
                <w:color w:val="auto"/>
              </w:rPr>
            </w:pPr>
            <w:r>
              <w:rPr>
                <w:rFonts w:ascii="Arial" w:cs="Arial" w:eastAsia="Arial" w:hAnsi="Arial"/>
                <w:sz w:val="16"/>
                <w:szCs w:val="16"/>
                <w:color w:val="auto"/>
              </w:rPr>
              <w:t>39,230</w:t>
            </w:r>
          </w:p>
        </w:tc>
      </w:tr>
      <w:tr>
        <w:trPr>
          <w:trHeight w:val="189"/>
        </w:trPr>
        <w:tc>
          <w:tcPr>
            <w:tcW w:w="9040" w:type="dxa"/>
            <w:vAlign w:val="bottom"/>
          </w:tcPr>
          <w:p>
            <w:pPr>
              <w:ind w:left="240"/>
              <w:spacing w:after="0"/>
              <w:rPr>
                <w:sz w:val="20"/>
                <w:szCs w:val="20"/>
                <w:color w:val="auto"/>
              </w:rPr>
            </w:pPr>
            <w:r>
              <w:rPr>
                <w:rFonts w:ascii="Arial" w:cs="Arial" w:eastAsia="Arial" w:hAnsi="Arial"/>
                <w:sz w:val="16"/>
                <w:szCs w:val="16"/>
                <w:color w:val="auto"/>
              </w:rPr>
              <w:t>Net deferred tax liabilities</w:t>
            </w:r>
          </w:p>
        </w:tc>
        <w:tc>
          <w:tcPr>
            <w:tcW w:w="1900" w:type="dxa"/>
            <w:vAlign w:val="bottom"/>
            <w:tcBorders>
              <w:bottom w:val="single" w:sz="8" w:color="auto"/>
            </w:tcBorders>
          </w:tcPr>
          <w:p>
            <w:pPr>
              <w:jc w:val="right"/>
              <w:ind w:right="1063"/>
              <w:spacing w:after="0"/>
              <w:rPr>
                <w:sz w:val="20"/>
                <w:szCs w:val="20"/>
                <w:color w:val="auto"/>
              </w:rPr>
            </w:pPr>
            <w:r>
              <w:rPr>
                <w:rFonts w:ascii="Arial" w:cs="Arial" w:eastAsia="Arial" w:hAnsi="Arial"/>
                <w:sz w:val="16"/>
                <w:szCs w:val="16"/>
                <w:color w:val="auto"/>
              </w:rPr>
              <w:t>33,725</w:t>
            </w:r>
          </w:p>
        </w:tc>
      </w:tr>
    </w:tbl>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Corporation had $51 billion of indefinitely reinvested, undistributed earnings from subsidiary companies outside the U.S. Unrecognized deferred taxes on remitt these funds are not expected to be material.</w:t>
      </w:r>
    </w:p>
    <w:p>
      <w:pPr>
        <w:spacing w:after="0" w:line="52"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97" w:name="page98"/>
    <w:bookmarkEnd w:id="97"/>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b w:val="1"/>
          <w:bCs w:val="1"/>
          <w:color w:val="auto"/>
        </w:rPr>
        <w:t xml:space="preserve">Unrecognized Tax Benefits. </w:t>
      </w:r>
      <w:r>
        <w:rPr>
          <w:rFonts w:ascii="Arial" w:cs="Arial" w:eastAsia="Arial" w:hAnsi="Arial"/>
          <w:sz w:val="16"/>
          <w:szCs w:val="16"/>
          <w:color w:val="auto"/>
        </w:rPr>
        <w:t>The Corporation is subject to income taxation in many jurisdictions around the world. Unrecognized tax benefits reflect the difference b</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positions taken or expected to be taken on income tax returns and the amounts recognized in the financial statements. The following table summarizes the move unrecognized tax benefits: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Gross unrecognized tax benefits</w:t>
            </w: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2014</w:t>
            </w:r>
          </w:p>
        </w:tc>
        <w:tc>
          <w:tcPr>
            <w:tcW w:w="2360" w:type="dxa"/>
            <w:vAlign w:val="bottom"/>
            <w:tcBorders>
              <w:bottom w:val="single" w:sz="8" w:color="auto"/>
            </w:tcBorders>
          </w:tcPr>
          <w:p>
            <w:pPr>
              <w:jc w:val="right"/>
              <w:ind w:right="1282"/>
              <w:spacing w:after="0"/>
              <w:rPr>
                <w:sz w:val="20"/>
                <w:szCs w:val="20"/>
                <w:color w:val="auto"/>
              </w:rPr>
            </w:pPr>
            <w:r>
              <w:rPr>
                <w:rFonts w:ascii="Arial" w:cs="Arial" w:eastAsia="Arial" w:hAnsi="Arial"/>
                <w:sz w:val="13"/>
                <w:szCs w:val="13"/>
                <w:b w:val="1"/>
                <w:bCs w:val="1"/>
                <w:color w:val="auto"/>
              </w:rPr>
              <w:t>2013</w:t>
            </w:r>
          </w:p>
        </w:tc>
      </w:tr>
      <w:tr>
        <w:trPr>
          <w:trHeight w:val="166"/>
        </w:trPr>
        <w:tc>
          <w:tcPr>
            <w:tcW w:w="7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60" w:type="dxa"/>
            <w:vAlign w:val="bottom"/>
          </w:tcPr>
          <w:p>
            <w:pPr>
              <w:jc w:val="right"/>
              <w:ind w:right="902"/>
              <w:spacing w:after="0"/>
              <w:rPr>
                <w:sz w:val="20"/>
                <w:szCs w:val="20"/>
                <w:color w:val="auto"/>
              </w:rPr>
            </w:pPr>
            <w:r>
              <w:rPr>
                <w:rFonts w:ascii="Arial" w:cs="Arial" w:eastAsia="Arial" w:hAnsi="Arial"/>
                <w:sz w:val="13"/>
                <w:szCs w:val="13"/>
                <w:i w:val="1"/>
                <w:iCs w:val="1"/>
                <w:color w:val="auto"/>
              </w:rPr>
              <w:t>(millions of dollars)</w:t>
            </w:r>
          </w:p>
        </w:tc>
      </w:tr>
      <w:tr>
        <w:trPr>
          <w:trHeight w:val="403"/>
        </w:trPr>
        <w:tc>
          <w:tcPr>
            <w:tcW w:w="7440" w:type="dxa"/>
            <w:vAlign w:val="bottom"/>
          </w:tcPr>
          <w:p>
            <w:pPr>
              <w:spacing w:after="0"/>
              <w:rPr>
                <w:sz w:val="20"/>
                <w:szCs w:val="20"/>
                <w:color w:val="auto"/>
              </w:rPr>
            </w:pPr>
            <w:r>
              <w:rPr>
                <w:rFonts w:ascii="Arial" w:cs="Arial" w:eastAsia="Arial" w:hAnsi="Arial"/>
                <w:sz w:val="16"/>
                <w:szCs w:val="16"/>
                <w:color w:val="auto"/>
              </w:rPr>
              <w:t>Balance at January 1</w:t>
            </w:r>
          </w:p>
        </w:tc>
        <w:tc>
          <w:tcPr>
            <w:tcW w:w="1140" w:type="dxa"/>
            <w:vAlign w:val="bottom"/>
          </w:tcPr>
          <w:p>
            <w:pPr>
              <w:jc w:val="right"/>
              <w:ind w:right="300"/>
              <w:spacing w:after="0"/>
              <w:rPr>
                <w:sz w:val="20"/>
                <w:szCs w:val="20"/>
                <w:color w:val="auto"/>
              </w:rPr>
            </w:pPr>
            <w:r>
              <w:rPr>
                <w:rFonts w:ascii="Arial" w:cs="Arial" w:eastAsia="Arial" w:hAnsi="Arial"/>
                <w:sz w:val="16"/>
                <w:szCs w:val="16"/>
                <w:color w:val="auto"/>
              </w:rPr>
              <w:t>7,838</w:t>
            </w:r>
          </w:p>
        </w:tc>
        <w:tc>
          <w:tcPr>
            <w:tcW w:w="2360" w:type="dxa"/>
            <w:vAlign w:val="bottom"/>
          </w:tcPr>
          <w:p>
            <w:pPr>
              <w:jc w:val="right"/>
              <w:ind w:right="1062"/>
              <w:spacing w:after="0"/>
              <w:rPr>
                <w:sz w:val="20"/>
                <w:szCs w:val="20"/>
                <w:color w:val="auto"/>
              </w:rPr>
            </w:pPr>
            <w:r>
              <w:rPr>
                <w:rFonts w:ascii="Arial" w:cs="Arial" w:eastAsia="Arial" w:hAnsi="Arial"/>
                <w:sz w:val="16"/>
                <w:szCs w:val="16"/>
                <w:color w:val="auto"/>
              </w:rPr>
              <w:t>7,663</w:t>
            </w:r>
          </w:p>
        </w:tc>
      </w:tr>
      <w:tr>
        <w:trPr>
          <w:trHeight w:val="196"/>
        </w:trPr>
        <w:tc>
          <w:tcPr>
            <w:tcW w:w="7440" w:type="dxa"/>
            <w:vAlign w:val="bottom"/>
          </w:tcPr>
          <w:p>
            <w:pPr>
              <w:ind w:left="340"/>
              <w:spacing w:after="0"/>
              <w:rPr>
                <w:sz w:val="20"/>
                <w:szCs w:val="20"/>
                <w:color w:val="auto"/>
              </w:rPr>
            </w:pPr>
            <w:r>
              <w:rPr>
                <w:rFonts w:ascii="Arial" w:cs="Arial" w:eastAsia="Arial" w:hAnsi="Arial"/>
                <w:sz w:val="16"/>
                <w:szCs w:val="16"/>
                <w:color w:val="auto"/>
              </w:rPr>
              <w:t>Additions based on current year's tax positions</w:t>
            </w:r>
          </w:p>
        </w:tc>
        <w:tc>
          <w:tcPr>
            <w:tcW w:w="1140" w:type="dxa"/>
            <w:vAlign w:val="bottom"/>
          </w:tcPr>
          <w:p>
            <w:pPr>
              <w:jc w:val="right"/>
              <w:ind w:right="300"/>
              <w:spacing w:after="0"/>
              <w:rPr>
                <w:sz w:val="20"/>
                <w:szCs w:val="20"/>
                <w:color w:val="auto"/>
              </w:rPr>
            </w:pPr>
            <w:r>
              <w:rPr>
                <w:rFonts w:ascii="Arial" w:cs="Arial" w:eastAsia="Arial" w:hAnsi="Arial"/>
                <w:sz w:val="16"/>
                <w:szCs w:val="16"/>
                <w:color w:val="auto"/>
              </w:rPr>
              <w:t>1,454</w:t>
            </w:r>
          </w:p>
        </w:tc>
        <w:tc>
          <w:tcPr>
            <w:tcW w:w="2360" w:type="dxa"/>
            <w:vAlign w:val="bottom"/>
          </w:tcPr>
          <w:p>
            <w:pPr>
              <w:jc w:val="right"/>
              <w:ind w:right="1062"/>
              <w:spacing w:after="0"/>
              <w:rPr>
                <w:sz w:val="20"/>
                <w:szCs w:val="20"/>
                <w:color w:val="auto"/>
              </w:rPr>
            </w:pPr>
            <w:r>
              <w:rPr>
                <w:rFonts w:ascii="Arial" w:cs="Arial" w:eastAsia="Arial" w:hAnsi="Arial"/>
                <w:sz w:val="16"/>
                <w:szCs w:val="16"/>
                <w:color w:val="auto"/>
              </w:rPr>
              <w:t>1,460</w:t>
            </w:r>
          </w:p>
        </w:tc>
      </w:tr>
      <w:tr>
        <w:trPr>
          <w:trHeight w:val="196"/>
        </w:trPr>
        <w:tc>
          <w:tcPr>
            <w:tcW w:w="7440" w:type="dxa"/>
            <w:vAlign w:val="bottom"/>
          </w:tcPr>
          <w:p>
            <w:pPr>
              <w:ind w:left="340"/>
              <w:spacing w:after="0"/>
              <w:rPr>
                <w:sz w:val="20"/>
                <w:szCs w:val="20"/>
                <w:color w:val="auto"/>
              </w:rPr>
            </w:pPr>
            <w:r>
              <w:rPr>
                <w:rFonts w:ascii="Arial" w:cs="Arial" w:eastAsia="Arial" w:hAnsi="Arial"/>
                <w:sz w:val="16"/>
                <w:szCs w:val="16"/>
                <w:color w:val="auto"/>
              </w:rPr>
              <w:t>Additions for prior years' tax positions</w:t>
            </w:r>
          </w:p>
        </w:tc>
        <w:tc>
          <w:tcPr>
            <w:tcW w:w="1140" w:type="dxa"/>
            <w:vAlign w:val="bottom"/>
          </w:tcPr>
          <w:p>
            <w:pPr>
              <w:jc w:val="right"/>
              <w:ind w:right="300"/>
              <w:spacing w:after="0"/>
              <w:rPr>
                <w:sz w:val="20"/>
                <w:szCs w:val="20"/>
                <w:color w:val="auto"/>
              </w:rPr>
            </w:pPr>
            <w:r>
              <w:rPr>
                <w:rFonts w:ascii="Arial" w:cs="Arial" w:eastAsia="Arial" w:hAnsi="Arial"/>
                <w:sz w:val="16"/>
                <w:szCs w:val="16"/>
                <w:color w:val="auto"/>
              </w:rPr>
              <w:t>448</w:t>
            </w:r>
          </w:p>
        </w:tc>
        <w:tc>
          <w:tcPr>
            <w:tcW w:w="2360" w:type="dxa"/>
            <w:vAlign w:val="bottom"/>
          </w:tcPr>
          <w:p>
            <w:pPr>
              <w:jc w:val="right"/>
              <w:ind w:right="1062"/>
              <w:spacing w:after="0"/>
              <w:rPr>
                <w:sz w:val="20"/>
                <w:szCs w:val="20"/>
                <w:color w:val="auto"/>
              </w:rPr>
            </w:pPr>
            <w:r>
              <w:rPr>
                <w:rFonts w:ascii="Arial" w:cs="Arial" w:eastAsia="Arial" w:hAnsi="Arial"/>
                <w:sz w:val="16"/>
                <w:szCs w:val="16"/>
                <w:color w:val="auto"/>
              </w:rPr>
              <w:t>464</w:t>
            </w:r>
          </w:p>
        </w:tc>
      </w:tr>
      <w:tr>
        <w:trPr>
          <w:trHeight w:val="196"/>
        </w:trPr>
        <w:tc>
          <w:tcPr>
            <w:tcW w:w="7440" w:type="dxa"/>
            <w:vAlign w:val="bottom"/>
          </w:tcPr>
          <w:p>
            <w:pPr>
              <w:ind w:left="340"/>
              <w:spacing w:after="0"/>
              <w:rPr>
                <w:sz w:val="20"/>
                <w:szCs w:val="20"/>
                <w:color w:val="auto"/>
              </w:rPr>
            </w:pPr>
            <w:r>
              <w:rPr>
                <w:rFonts w:ascii="Arial" w:cs="Arial" w:eastAsia="Arial" w:hAnsi="Arial"/>
                <w:sz w:val="16"/>
                <w:szCs w:val="16"/>
                <w:color w:val="auto"/>
              </w:rPr>
              <w:t>Reductions for prior years' tax positions</w:t>
            </w:r>
          </w:p>
        </w:tc>
        <w:tc>
          <w:tcPr>
            <w:tcW w:w="1140" w:type="dxa"/>
            <w:vAlign w:val="bottom"/>
          </w:tcPr>
          <w:p>
            <w:pPr>
              <w:jc w:val="right"/>
              <w:ind w:right="240"/>
              <w:spacing w:after="0"/>
              <w:rPr>
                <w:sz w:val="20"/>
                <w:szCs w:val="20"/>
                <w:color w:val="auto"/>
              </w:rPr>
            </w:pPr>
            <w:r>
              <w:rPr>
                <w:rFonts w:ascii="Arial" w:cs="Arial" w:eastAsia="Arial" w:hAnsi="Arial"/>
                <w:sz w:val="16"/>
                <w:szCs w:val="16"/>
                <w:color w:val="auto"/>
              </w:rPr>
              <w:t>(532)</w:t>
            </w:r>
          </w:p>
        </w:tc>
        <w:tc>
          <w:tcPr>
            <w:tcW w:w="2360" w:type="dxa"/>
            <w:vAlign w:val="bottom"/>
          </w:tcPr>
          <w:p>
            <w:pPr>
              <w:jc w:val="right"/>
              <w:ind w:right="1022"/>
              <w:spacing w:after="0"/>
              <w:rPr>
                <w:sz w:val="20"/>
                <w:szCs w:val="20"/>
                <w:color w:val="auto"/>
              </w:rPr>
            </w:pPr>
            <w:r>
              <w:rPr>
                <w:rFonts w:ascii="Arial" w:cs="Arial" w:eastAsia="Arial" w:hAnsi="Arial"/>
                <w:sz w:val="16"/>
                <w:szCs w:val="16"/>
                <w:color w:val="auto"/>
              </w:rPr>
              <w:t>(249)</w:t>
            </w:r>
          </w:p>
        </w:tc>
      </w:tr>
      <w:tr>
        <w:trPr>
          <w:trHeight w:val="196"/>
        </w:trPr>
        <w:tc>
          <w:tcPr>
            <w:tcW w:w="7440" w:type="dxa"/>
            <w:vAlign w:val="bottom"/>
          </w:tcPr>
          <w:p>
            <w:pPr>
              <w:ind w:left="340"/>
              <w:spacing w:after="0"/>
              <w:rPr>
                <w:sz w:val="20"/>
                <w:szCs w:val="20"/>
                <w:color w:val="auto"/>
              </w:rPr>
            </w:pPr>
            <w:r>
              <w:rPr>
                <w:rFonts w:ascii="Arial" w:cs="Arial" w:eastAsia="Arial" w:hAnsi="Arial"/>
                <w:sz w:val="16"/>
                <w:szCs w:val="16"/>
                <w:color w:val="auto"/>
              </w:rPr>
              <w:t>Reductions due to lapse of the statute of limitations</w:t>
            </w:r>
          </w:p>
        </w:tc>
        <w:tc>
          <w:tcPr>
            <w:tcW w:w="1140" w:type="dxa"/>
            <w:vAlign w:val="bottom"/>
          </w:tcPr>
          <w:p>
            <w:pPr>
              <w:jc w:val="right"/>
              <w:ind w:right="240"/>
              <w:spacing w:after="0"/>
              <w:rPr>
                <w:sz w:val="20"/>
                <w:szCs w:val="20"/>
                <w:color w:val="auto"/>
              </w:rPr>
            </w:pPr>
            <w:r>
              <w:rPr>
                <w:rFonts w:ascii="Arial" w:cs="Arial" w:eastAsia="Arial" w:hAnsi="Arial"/>
                <w:sz w:val="16"/>
                <w:szCs w:val="16"/>
                <w:color w:val="auto"/>
              </w:rPr>
              <w:t>(117)</w:t>
            </w:r>
          </w:p>
        </w:tc>
        <w:tc>
          <w:tcPr>
            <w:tcW w:w="2360" w:type="dxa"/>
            <w:vAlign w:val="bottom"/>
          </w:tcPr>
          <w:p>
            <w:pPr>
              <w:jc w:val="right"/>
              <w:ind w:right="1022"/>
              <w:spacing w:after="0"/>
              <w:rPr>
                <w:sz w:val="20"/>
                <w:szCs w:val="20"/>
                <w:color w:val="auto"/>
              </w:rPr>
            </w:pPr>
            <w:r>
              <w:rPr>
                <w:rFonts w:ascii="Arial" w:cs="Arial" w:eastAsia="Arial" w:hAnsi="Arial"/>
                <w:sz w:val="16"/>
                <w:szCs w:val="16"/>
                <w:color w:val="auto"/>
              </w:rPr>
              <w:t>(588)</w:t>
            </w:r>
          </w:p>
        </w:tc>
      </w:tr>
      <w:tr>
        <w:trPr>
          <w:trHeight w:val="196"/>
        </w:trPr>
        <w:tc>
          <w:tcPr>
            <w:tcW w:w="7440" w:type="dxa"/>
            <w:vAlign w:val="bottom"/>
          </w:tcPr>
          <w:p>
            <w:pPr>
              <w:ind w:left="340"/>
              <w:spacing w:after="0"/>
              <w:rPr>
                <w:sz w:val="20"/>
                <w:szCs w:val="20"/>
                <w:color w:val="auto"/>
              </w:rPr>
            </w:pPr>
            <w:r>
              <w:rPr>
                <w:rFonts w:ascii="Arial" w:cs="Arial" w:eastAsia="Arial" w:hAnsi="Arial"/>
                <w:sz w:val="16"/>
                <w:szCs w:val="16"/>
                <w:color w:val="auto"/>
              </w:rPr>
              <w:t>Settlements with tax authorities</w:t>
            </w:r>
          </w:p>
        </w:tc>
        <w:tc>
          <w:tcPr>
            <w:tcW w:w="1140" w:type="dxa"/>
            <w:vAlign w:val="bottom"/>
          </w:tcPr>
          <w:p>
            <w:pPr>
              <w:jc w:val="right"/>
              <w:ind w:right="240"/>
              <w:spacing w:after="0"/>
              <w:rPr>
                <w:sz w:val="20"/>
                <w:szCs w:val="20"/>
                <w:color w:val="auto"/>
              </w:rPr>
            </w:pPr>
            <w:r>
              <w:rPr>
                <w:rFonts w:ascii="Arial" w:cs="Arial" w:eastAsia="Arial" w:hAnsi="Arial"/>
                <w:sz w:val="16"/>
                <w:szCs w:val="16"/>
                <w:color w:val="auto"/>
              </w:rPr>
              <w:t>(43)</w:t>
            </w:r>
          </w:p>
        </w:tc>
        <w:tc>
          <w:tcPr>
            <w:tcW w:w="2360" w:type="dxa"/>
            <w:vAlign w:val="bottom"/>
          </w:tcPr>
          <w:p>
            <w:pPr>
              <w:jc w:val="right"/>
              <w:ind w:right="1022"/>
              <w:spacing w:after="0"/>
              <w:rPr>
                <w:sz w:val="20"/>
                <w:szCs w:val="20"/>
                <w:color w:val="auto"/>
              </w:rPr>
            </w:pPr>
            <w:r>
              <w:rPr>
                <w:rFonts w:ascii="Arial" w:cs="Arial" w:eastAsia="Arial" w:hAnsi="Arial"/>
                <w:sz w:val="16"/>
                <w:szCs w:val="16"/>
                <w:color w:val="auto"/>
              </w:rPr>
              <w:t>(849)</w:t>
            </w:r>
          </w:p>
        </w:tc>
      </w:tr>
      <w:tr>
        <w:trPr>
          <w:trHeight w:val="208"/>
        </w:trPr>
        <w:tc>
          <w:tcPr>
            <w:tcW w:w="7440" w:type="dxa"/>
            <w:vAlign w:val="bottom"/>
          </w:tcPr>
          <w:p>
            <w:pPr>
              <w:ind w:left="340"/>
              <w:spacing w:after="0"/>
              <w:rPr>
                <w:sz w:val="20"/>
                <w:szCs w:val="20"/>
                <w:color w:val="auto"/>
              </w:rPr>
            </w:pPr>
            <w:r>
              <w:rPr>
                <w:rFonts w:ascii="Arial" w:cs="Arial" w:eastAsia="Arial" w:hAnsi="Arial"/>
                <w:sz w:val="16"/>
                <w:szCs w:val="16"/>
                <w:color w:val="auto"/>
              </w:rPr>
              <w:t>Foreign exchange effects/other</w:t>
            </w:r>
          </w:p>
        </w:tc>
        <w:tc>
          <w:tcPr>
            <w:tcW w:w="11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(62)</w:t>
            </w:r>
          </w:p>
        </w:tc>
        <w:tc>
          <w:tcPr>
            <w:tcW w:w="2360" w:type="dxa"/>
            <w:vAlign w:val="bottom"/>
            <w:tcBorders>
              <w:bottom w:val="single" w:sz="8" w:color="auto"/>
            </w:tcBorders>
          </w:tcPr>
          <w:p>
            <w:pPr>
              <w:jc w:val="right"/>
              <w:ind w:right="1022"/>
              <w:spacing w:after="0"/>
              <w:rPr>
                <w:sz w:val="20"/>
                <w:szCs w:val="20"/>
                <w:color w:val="auto"/>
              </w:rPr>
            </w:pPr>
            <w:r>
              <w:rPr>
                <w:rFonts w:ascii="Arial" w:cs="Arial" w:eastAsia="Arial" w:hAnsi="Arial"/>
                <w:sz w:val="16"/>
                <w:szCs w:val="16"/>
                <w:color w:val="auto"/>
              </w:rPr>
              <w:t>(63)</w:t>
            </w:r>
          </w:p>
        </w:tc>
      </w:tr>
      <w:tr>
        <w:trPr>
          <w:trHeight w:val="189"/>
        </w:trPr>
        <w:tc>
          <w:tcPr>
            <w:tcW w:w="7440" w:type="dxa"/>
            <w:vAlign w:val="bottom"/>
          </w:tcPr>
          <w:p>
            <w:pPr>
              <w:spacing w:after="0"/>
              <w:rPr>
                <w:sz w:val="20"/>
                <w:szCs w:val="20"/>
                <w:color w:val="auto"/>
              </w:rPr>
            </w:pPr>
            <w:r>
              <w:rPr>
                <w:rFonts w:ascii="Arial" w:cs="Arial" w:eastAsia="Arial" w:hAnsi="Arial"/>
                <w:sz w:val="16"/>
                <w:szCs w:val="16"/>
                <w:color w:val="auto"/>
              </w:rPr>
              <w:t>Balance at December 31</w:t>
            </w:r>
          </w:p>
        </w:tc>
        <w:tc>
          <w:tcPr>
            <w:tcW w:w="11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8,986</w:t>
            </w:r>
          </w:p>
        </w:tc>
        <w:tc>
          <w:tcPr>
            <w:tcW w:w="2360" w:type="dxa"/>
            <w:vAlign w:val="bottom"/>
            <w:tcBorders>
              <w:bottom w:val="single" w:sz="8" w:color="auto"/>
            </w:tcBorders>
          </w:tcPr>
          <w:p>
            <w:pPr>
              <w:jc w:val="right"/>
              <w:ind w:right="1062"/>
              <w:spacing w:after="0"/>
              <w:rPr>
                <w:sz w:val="20"/>
                <w:szCs w:val="20"/>
                <w:color w:val="auto"/>
              </w:rPr>
            </w:pPr>
            <w:r>
              <w:rPr>
                <w:rFonts w:ascii="Arial" w:cs="Arial" w:eastAsia="Arial" w:hAnsi="Arial"/>
                <w:sz w:val="16"/>
                <w:szCs w:val="16"/>
                <w:color w:val="auto"/>
              </w:rPr>
              <w:t>7,838</w:t>
            </w:r>
          </w:p>
        </w:tc>
      </w:tr>
    </w:tbl>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gross unrecognized tax benefit balances shown above are predominantly related to tax positions that would reduce the Corporation’s effective tax rate if the posit favorably resolved. Unfavorable resolution of these tax positions generally would not increase the effective tax rate. The 2014, 2013 and 2012 changes in unrecogni benefits did not have a material effect on the Corporation’s net income.</w:t>
      </w:r>
    </w:p>
    <w:p>
      <w:pPr>
        <w:spacing w:after="0" w:line="38" w:lineRule="exact"/>
        <w:rPr>
          <w:sz w:val="20"/>
          <w:szCs w:val="20"/>
          <w:color w:val="auto"/>
        </w:rPr>
      </w:pPr>
    </w:p>
    <w:p>
      <w:pPr>
        <w:jc w:val="both"/>
        <w:ind w:firstLine="200"/>
        <w:spacing w:after="0" w:line="271" w:lineRule="auto"/>
        <w:rPr>
          <w:sz w:val="20"/>
          <w:szCs w:val="20"/>
          <w:color w:val="auto"/>
        </w:rPr>
      </w:pPr>
      <w:r>
        <w:rPr>
          <w:rFonts w:ascii="Arial" w:cs="Arial" w:eastAsia="Arial" w:hAnsi="Arial"/>
          <w:sz w:val="16"/>
          <w:szCs w:val="16"/>
          <w:color w:val="auto"/>
        </w:rPr>
        <w:t>Resolution of these tax positions through negotiations with the relevant tax authorities or through litigation will take many years to complete. It is difficult to pre timing of resolution for tax positions since such timing is not entirely within the control of the Corporation. It is reasonably possible that the total amount of unrecogni benefits could increase by up to 30 percent in the next 12 months, with no material impact on the Corporation’s net income.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summarizes the tax years that remain subject to examination by major tax jurisdiction:</w:t>
      </w:r>
    </w:p>
    <w:p>
      <w:pPr>
        <w:spacing w:after="0" w:line="278" w:lineRule="exact"/>
        <w:rPr>
          <w:sz w:val="20"/>
          <w:szCs w:val="20"/>
          <w:color w:val="auto"/>
        </w:rPr>
      </w:pPr>
    </w:p>
    <w:tbl>
      <w:tblPr>
        <w:tblLayout w:type="fixed"/>
        <w:tblInd w:w="1720" w:type="dxa"/>
        <w:tblCellMar>
          <w:top w:w="0" w:type="dxa"/>
          <w:left w:w="0" w:type="dxa"/>
          <w:bottom w:w="0" w:type="dxa"/>
          <w:right w:w="0" w:type="dxa"/>
        </w:tblCellMar>
      </w:tblPr>
      <w:tr>
        <w:trPr>
          <w:trHeight w:val="212"/>
        </w:trPr>
        <w:tc>
          <w:tcPr>
            <w:tcW w:w="4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Country of Operation</w:t>
            </w:r>
          </w:p>
        </w:tc>
        <w:tc>
          <w:tcPr>
            <w:tcW w:w="3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Open Tax Years</w:t>
            </w:r>
          </w:p>
        </w:tc>
      </w:tr>
      <w:tr>
        <w:trPr>
          <w:trHeight w:val="176"/>
        </w:trPr>
        <w:tc>
          <w:tcPr>
            <w:tcW w:w="4320" w:type="dxa"/>
            <w:vAlign w:val="bottom"/>
          </w:tcPr>
          <w:p>
            <w:pPr>
              <w:spacing w:after="0" w:line="176" w:lineRule="exact"/>
              <w:rPr>
                <w:sz w:val="20"/>
                <w:szCs w:val="20"/>
                <w:color w:val="auto"/>
              </w:rPr>
            </w:pPr>
            <w:r>
              <w:rPr>
                <w:rFonts w:ascii="Arial" w:cs="Arial" w:eastAsia="Arial" w:hAnsi="Arial"/>
                <w:sz w:val="16"/>
                <w:szCs w:val="16"/>
                <w:color w:val="auto"/>
              </w:rPr>
              <w:t>Abu Dhabi</w:t>
            </w:r>
          </w:p>
        </w:tc>
        <w:tc>
          <w:tcPr>
            <w:tcW w:w="3700" w:type="dxa"/>
            <w:vAlign w:val="bottom"/>
          </w:tcPr>
          <w:p>
            <w:pPr>
              <w:jc w:val="right"/>
              <w:spacing w:after="0" w:line="176" w:lineRule="exact"/>
              <w:rPr>
                <w:sz w:val="20"/>
                <w:szCs w:val="20"/>
                <w:color w:val="auto"/>
              </w:rPr>
            </w:pPr>
            <w:r>
              <w:rPr>
                <w:rFonts w:ascii="Arial" w:cs="Arial" w:eastAsia="Arial" w:hAnsi="Arial"/>
                <w:sz w:val="16"/>
                <w:szCs w:val="16"/>
                <w:color w:val="auto"/>
              </w:rPr>
              <w:t>2012 - 2014</w:t>
            </w:r>
          </w:p>
        </w:tc>
      </w:tr>
      <w:tr>
        <w:trPr>
          <w:trHeight w:val="196"/>
        </w:trPr>
        <w:tc>
          <w:tcPr>
            <w:tcW w:w="4320" w:type="dxa"/>
            <w:vAlign w:val="bottom"/>
          </w:tcPr>
          <w:p>
            <w:pPr>
              <w:spacing w:after="0"/>
              <w:rPr>
                <w:sz w:val="20"/>
                <w:szCs w:val="20"/>
                <w:color w:val="auto"/>
              </w:rPr>
            </w:pPr>
            <w:r>
              <w:rPr>
                <w:rFonts w:ascii="Arial" w:cs="Arial" w:eastAsia="Arial" w:hAnsi="Arial"/>
                <w:sz w:val="16"/>
                <w:szCs w:val="16"/>
                <w:color w:val="auto"/>
              </w:rPr>
              <w:t>Angola</w:t>
            </w:r>
          </w:p>
        </w:tc>
        <w:tc>
          <w:tcPr>
            <w:tcW w:w="3700" w:type="dxa"/>
            <w:vAlign w:val="bottom"/>
          </w:tcPr>
          <w:p>
            <w:pPr>
              <w:jc w:val="right"/>
              <w:spacing w:after="0"/>
              <w:rPr>
                <w:sz w:val="20"/>
                <w:szCs w:val="20"/>
                <w:color w:val="auto"/>
              </w:rPr>
            </w:pPr>
            <w:r>
              <w:rPr>
                <w:rFonts w:ascii="Arial" w:cs="Arial" w:eastAsia="Arial" w:hAnsi="Arial"/>
                <w:sz w:val="16"/>
                <w:szCs w:val="16"/>
                <w:color w:val="auto"/>
              </w:rPr>
              <w:t>2009 - 2014</w:t>
            </w:r>
          </w:p>
        </w:tc>
      </w:tr>
      <w:tr>
        <w:trPr>
          <w:trHeight w:val="196"/>
        </w:trPr>
        <w:tc>
          <w:tcPr>
            <w:tcW w:w="4320" w:type="dxa"/>
            <w:vAlign w:val="bottom"/>
          </w:tcPr>
          <w:p>
            <w:pPr>
              <w:spacing w:after="0"/>
              <w:rPr>
                <w:sz w:val="20"/>
                <w:szCs w:val="20"/>
                <w:color w:val="auto"/>
              </w:rPr>
            </w:pPr>
            <w:r>
              <w:rPr>
                <w:rFonts w:ascii="Arial" w:cs="Arial" w:eastAsia="Arial" w:hAnsi="Arial"/>
                <w:sz w:val="16"/>
                <w:szCs w:val="16"/>
                <w:color w:val="auto"/>
              </w:rPr>
              <w:t>Australia:</w:t>
            </w:r>
          </w:p>
        </w:tc>
        <w:tc>
          <w:tcPr>
            <w:tcW w:w="3700" w:type="dxa"/>
            <w:vAlign w:val="bottom"/>
          </w:tcPr>
          <w:p>
            <w:pPr>
              <w:jc w:val="right"/>
              <w:spacing w:after="0"/>
              <w:rPr>
                <w:sz w:val="20"/>
                <w:szCs w:val="20"/>
                <w:color w:val="auto"/>
              </w:rPr>
            </w:pPr>
            <w:r>
              <w:rPr>
                <w:rFonts w:ascii="Arial" w:cs="Arial" w:eastAsia="Arial" w:hAnsi="Arial"/>
                <w:sz w:val="16"/>
                <w:szCs w:val="16"/>
                <w:color w:val="auto"/>
              </w:rPr>
              <w:t>2000 - 2003</w:t>
            </w:r>
          </w:p>
        </w:tc>
      </w:tr>
      <w:tr>
        <w:trPr>
          <w:trHeight w:val="196"/>
        </w:trPr>
        <w:tc>
          <w:tcPr>
            <w:tcW w:w="4320" w:type="dxa"/>
            <w:vAlign w:val="bottom"/>
          </w:tcPr>
          <w:p>
            <w:pPr>
              <w:spacing w:after="0"/>
              <w:rPr>
                <w:sz w:val="17"/>
                <w:szCs w:val="17"/>
                <w:color w:val="auto"/>
              </w:rPr>
            </w:pPr>
          </w:p>
        </w:tc>
        <w:tc>
          <w:tcPr>
            <w:tcW w:w="3700" w:type="dxa"/>
            <w:vAlign w:val="bottom"/>
          </w:tcPr>
          <w:p>
            <w:pPr>
              <w:jc w:val="right"/>
              <w:spacing w:after="0"/>
              <w:rPr>
                <w:sz w:val="20"/>
                <w:szCs w:val="20"/>
                <w:color w:val="auto"/>
              </w:rPr>
            </w:pPr>
            <w:r>
              <w:rPr>
                <w:rFonts w:ascii="Arial" w:cs="Arial" w:eastAsia="Arial" w:hAnsi="Arial"/>
                <w:sz w:val="16"/>
                <w:szCs w:val="16"/>
                <w:color w:val="auto"/>
              </w:rPr>
              <w:t>2005</w:t>
            </w:r>
          </w:p>
        </w:tc>
      </w:tr>
      <w:tr>
        <w:trPr>
          <w:trHeight w:val="196"/>
        </w:trPr>
        <w:tc>
          <w:tcPr>
            <w:tcW w:w="4320" w:type="dxa"/>
            <w:vAlign w:val="bottom"/>
          </w:tcPr>
          <w:p>
            <w:pPr>
              <w:spacing w:after="0"/>
              <w:rPr>
                <w:sz w:val="17"/>
                <w:szCs w:val="17"/>
                <w:color w:val="auto"/>
              </w:rPr>
            </w:pPr>
          </w:p>
        </w:tc>
        <w:tc>
          <w:tcPr>
            <w:tcW w:w="3700" w:type="dxa"/>
            <w:vAlign w:val="bottom"/>
          </w:tcPr>
          <w:p>
            <w:pPr>
              <w:jc w:val="right"/>
              <w:spacing w:after="0"/>
              <w:rPr>
                <w:sz w:val="20"/>
                <w:szCs w:val="20"/>
                <w:color w:val="auto"/>
              </w:rPr>
            </w:pPr>
            <w:r>
              <w:rPr>
                <w:rFonts w:ascii="Arial" w:cs="Arial" w:eastAsia="Arial" w:hAnsi="Arial"/>
                <w:sz w:val="16"/>
                <w:szCs w:val="16"/>
                <w:color w:val="auto"/>
              </w:rPr>
              <w:t>2008 - 2014</w:t>
            </w:r>
          </w:p>
        </w:tc>
      </w:tr>
      <w:tr>
        <w:trPr>
          <w:trHeight w:val="196"/>
        </w:trPr>
        <w:tc>
          <w:tcPr>
            <w:tcW w:w="4320" w:type="dxa"/>
            <w:vAlign w:val="bottom"/>
          </w:tcPr>
          <w:p>
            <w:pPr>
              <w:spacing w:after="0"/>
              <w:rPr>
                <w:sz w:val="20"/>
                <w:szCs w:val="20"/>
                <w:color w:val="auto"/>
              </w:rPr>
            </w:pPr>
            <w:r>
              <w:rPr>
                <w:rFonts w:ascii="Arial" w:cs="Arial" w:eastAsia="Arial" w:hAnsi="Arial"/>
                <w:sz w:val="16"/>
                <w:szCs w:val="16"/>
                <w:color w:val="auto"/>
              </w:rPr>
              <w:t>Canada</w:t>
            </w:r>
          </w:p>
        </w:tc>
        <w:tc>
          <w:tcPr>
            <w:tcW w:w="3700" w:type="dxa"/>
            <w:vAlign w:val="bottom"/>
          </w:tcPr>
          <w:p>
            <w:pPr>
              <w:jc w:val="right"/>
              <w:spacing w:after="0"/>
              <w:rPr>
                <w:sz w:val="20"/>
                <w:szCs w:val="20"/>
                <w:color w:val="auto"/>
              </w:rPr>
            </w:pPr>
            <w:r>
              <w:rPr>
                <w:rFonts w:ascii="Arial" w:cs="Arial" w:eastAsia="Arial" w:hAnsi="Arial"/>
                <w:sz w:val="16"/>
                <w:szCs w:val="16"/>
                <w:color w:val="auto"/>
              </w:rPr>
              <w:t>2007 - 2014</w:t>
            </w:r>
          </w:p>
        </w:tc>
      </w:tr>
      <w:tr>
        <w:trPr>
          <w:trHeight w:val="196"/>
        </w:trPr>
        <w:tc>
          <w:tcPr>
            <w:tcW w:w="4320" w:type="dxa"/>
            <w:vAlign w:val="bottom"/>
          </w:tcPr>
          <w:p>
            <w:pPr>
              <w:spacing w:after="0"/>
              <w:rPr>
                <w:sz w:val="20"/>
                <w:szCs w:val="20"/>
                <w:color w:val="auto"/>
              </w:rPr>
            </w:pPr>
            <w:r>
              <w:rPr>
                <w:rFonts w:ascii="Arial" w:cs="Arial" w:eastAsia="Arial" w:hAnsi="Arial"/>
                <w:sz w:val="16"/>
                <w:szCs w:val="16"/>
                <w:color w:val="auto"/>
              </w:rPr>
              <w:t>Equatorial Guinea</w:t>
            </w:r>
          </w:p>
        </w:tc>
        <w:tc>
          <w:tcPr>
            <w:tcW w:w="3700" w:type="dxa"/>
            <w:vAlign w:val="bottom"/>
          </w:tcPr>
          <w:p>
            <w:pPr>
              <w:jc w:val="right"/>
              <w:spacing w:after="0"/>
              <w:rPr>
                <w:sz w:val="20"/>
                <w:szCs w:val="20"/>
                <w:color w:val="auto"/>
              </w:rPr>
            </w:pPr>
            <w:r>
              <w:rPr>
                <w:rFonts w:ascii="Arial" w:cs="Arial" w:eastAsia="Arial" w:hAnsi="Arial"/>
                <w:sz w:val="16"/>
                <w:szCs w:val="16"/>
                <w:color w:val="auto"/>
              </w:rPr>
              <w:t>2007 - 2014</w:t>
            </w:r>
          </w:p>
        </w:tc>
      </w:tr>
      <w:tr>
        <w:trPr>
          <w:trHeight w:val="196"/>
        </w:trPr>
        <w:tc>
          <w:tcPr>
            <w:tcW w:w="4320" w:type="dxa"/>
            <w:vAlign w:val="bottom"/>
          </w:tcPr>
          <w:p>
            <w:pPr>
              <w:spacing w:after="0"/>
              <w:rPr>
                <w:sz w:val="20"/>
                <w:szCs w:val="20"/>
                <w:color w:val="auto"/>
              </w:rPr>
            </w:pPr>
            <w:r>
              <w:rPr>
                <w:rFonts w:ascii="Arial" w:cs="Arial" w:eastAsia="Arial" w:hAnsi="Arial"/>
                <w:sz w:val="16"/>
                <w:szCs w:val="16"/>
                <w:color w:val="auto"/>
              </w:rPr>
              <w:t>Malaysia</w:t>
            </w:r>
          </w:p>
        </w:tc>
        <w:tc>
          <w:tcPr>
            <w:tcW w:w="3700" w:type="dxa"/>
            <w:vAlign w:val="bottom"/>
          </w:tcPr>
          <w:p>
            <w:pPr>
              <w:jc w:val="right"/>
              <w:spacing w:after="0"/>
              <w:rPr>
                <w:sz w:val="20"/>
                <w:szCs w:val="20"/>
                <w:color w:val="auto"/>
              </w:rPr>
            </w:pPr>
            <w:r>
              <w:rPr>
                <w:rFonts w:ascii="Arial" w:cs="Arial" w:eastAsia="Arial" w:hAnsi="Arial"/>
                <w:sz w:val="16"/>
                <w:szCs w:val="16"/>
                <w:color w:val="auto"/>
              </w:rPr>
              <w:t>2008 - 2014</w:t>
            </w:r>
          </w:p>
        </w:tc>
      </w:tr>
      <w:tr>
        <w:trPr>
          <w:trHeight w:val="196"/>
        </w:trPr>
        <w:tc>
          <w:tcPr>
            <w:tcW w:w="4320" w:type="dxa"/>
            <w:vAlign w:val="bottom"/>
          </w:tcPr>
          <w:p>
            <w:pPr>
              <w:spacing w:after="0"/>
              <w:rPr>
                <w:sz w:val="20"/>
                <w:szCs w:val="20"/>
                <w:color w:val="auto"/>
              </w:rPr>
            </w:pPr>
            <w:r>
              <w:rPr>
                <w:rFonts w:ascii="Arial" w:cs="Arial" w:eastAsia="Arial" w:hAnsi="Arial"/>
                <w:sz w:val="16"/>
                <w:szCs w:val="16"/>
                <w:color w:val="auto"/>
              </w:rPr>
              <w:t>Nigeria</w:t>
            </w:r>
          </w:p>
        </w:tc>
        <w:tc>
          <w:tcPr>
            <w:tcW w:w="3700" w:type="dxa"/>
            <w:vAlign w:val="bottom"/>
          </w:tcPr>
          <w:p>
            <w:pPr>
              <w:jc w:val="right"/>
              <w:spacing w:after="0"/>
              <w:rPr>
                <w:sz w:val="20"/>
                <w:szCs w:val="20"/>
                <w:color w:val="auto"/>
              </w:rPr>
            </w:pPr>
            <w:r>
              <w:rPr>
                <w:rFonts w:ascii="Arial" w:cs="Arial" w:eastAsia="Arial" w:hAnsi="Arial"/>
                <w:sz w:val="16"/>
                <w:szCs w:val="16"/>
                <w:color w:val="auto"/>
              </w:rPr>
              <w:t>2004 - 2014</w:t>
            </w:r>
          </w:p>
        </w:tc>
      </w:tr>
      <w:tr>
        <w:trPr>
          <w:trHeight w:val="196"/>
        </w:trPr>
        <w:tc>
          <w:tcPr>
            <w:tcW w:w="4320" w:type="dxa"/>
            <w:vAlign w:val="bottom"/>
          </w:tcPr>
          <w:p>
            <w:pPr>
              <w:spacing w:after="0"/>
              <w:rPr>
                <w:sz w:val="20"/>
                <w:szCs w:val="20"/>
                <w:color w:val="auto"/>
              </w:rPr>
            </w:pPr>
            <w:r>
              <w:rPr>
                <w:rFonts w:ascii="Arial" w:cs="Arial" w:eastAsia="Arial" w:hAnsi="Arial"/>
                <w:sz w:val="16"/>
                <w:szCs w:val="16"/>
                <w:color w:val="auto"/>
              </w:rPr>
              <w:t>Norway</w:t>
            </w:r>
          </w:p>
        </w:tc>
        <w:tc>
          <w:tcPr>
            <w:tcW w:w="3700" w:type="dxa"/>
            <w:vAlign w:val="bottom"/>
          </w:tcPr>
          <w:p>
            <w:pPr>
              <w:jc w:val="right"/>
              <w:spacing w:after="0"/>
              <w:rPr>
                <w:sz w:val="20"/>
                <w:szCs w:val="20"/>
                <w:color w:val="auto"/>
              </w:rPr>
            </w:pPr>
            <w:r>
              <w:rPr>
                <w:rFonts w:ascii="Arial" w:cs="Arial" w:eastAsia="Arial" w:hAnsi="Arial"/>
                <w:sz w:val="16"/>
                <w:szCs w:val="16"/>
                <w:color w:val="auto"/>
              </w:rPr>
              <w:t>2005 - 2014</w:t>
            </w:r>
          </w:p>
        </w:tc>
      </w:tr>
      <w:tr>
        <w:trPr>
          <w:trHeight w:val="196"/>
        </w:trPr>
        <w:tc>
          <w:tcPr>
            <w:tcW w:w="4320" w:type="dxa"/>
            <w:vAlign w:val="bottom"/>
          </w:tcPr>
          <w:p>
            <w:pPr>
              <w:spacing w:after="0"/>
              <w:rPr>
                <w:sz w:val="20"/>
                <w:szCs w:val="20"/>
                <w:color w:val="auto"/>
              </w:rPr>
            </w:pPr>
            <w:r>
              <w:rPr>
                <w:rFonts w:ascii="Arial" w:cs="Arial" w:eastAsia="Arial" w:hAnsi="Arial"/>
                <w:sz w:val="16"/>
                <w:szCs w:val="16"/>
                <w:color w:val="auto"/>
              </w:rPr>
              <w:t>Qatar</w:t>
            </w:r>
          </w:p>
        </w:tc>
        <w:tc>
          <w:tcPr>
            <w:tcW w:w="3700" w:type="dxa"/>
            <w:vAlign w:val="bottom"/>
          </w:tcPr>
          <w:p>
            <w:pPr>
              <w:jc w:val="right"/>
              <w:spacing w:after="0"/>
              <w:rPr>
                <w:sz w:val="20"/>
                <w:szCs w:val="20"/>
                <w:color w:val="auto"/>
              </w:rPr>
            </w:pPr>
            <w:r>
              <w:rPr>
                <w:rFonts w:ascii="Arial" w:cs="Arial" w:eastAsia="Arial" w:hAnsi="Arial"/>
                <w:sz w:val="16"/>
                <w:szCs w:val="16"/>
                <w:color w:val="auto"/>
              </w:rPr>
              <w:t>2008 - 2014</w:t>
            </w:r>
          </w:p>
        </w:tc>
      </w:tr>
      <w:tr>
        <w:trPr>
          <w:trHeight w:val="196"/>
        </w:trPr>
        <w:tc>
          <w:tcPr>
            <w:tcW w:w="4320" w:type="dxa"/>
            <w:vAlign w:val="bottom"/>
          </w:tcPr>
          <w:p>
            <w:pPr>
              <w:spacing w:after="0"/>
              <w:rPr>
                <w:sz w:val="20"/>
                <w:szCs w:val="20"/>
                <w:color w:val="auto"/>
              </w:rPr>
            </w:pPr>
            <w:r>
              <w:rPr>
                <w:rFonts w:ascii="Arial" w:cs="Arial" w:eastAsia="Arial" w:hAnsi="Arial"/>
                <w:sz w:val="16"/>
                <w:szCs w:val="16"/>
                <w:color w:val="auto"/>
              </w:rPr>
              <w:t>Russia</w:t>
            </w:r>
          </w:p>
        </w:tc>
        <w:tc>
          <w:tcPr>
            <w:tcW w:w="3700" w:type="dxa"/>
            <w:vAlign w:val="bottom"/>
          </w:tcPr>
          <w:p>
            <w:pPr>
              <w:jc w:val="right"/>
              <w:spacing w:after="0"/>
              <w:rPr>
                <w:sz w:val="20"/>
                <w:szCs w:val="20"/>
                <w:color w:val="auto"/>
              </w:rPr>
            </w:pPr>
            <w:r>
              <w:rPr>
                <w:rFonts w:ascii="Arial" w:cs="Arial" w:eastAsia="Arial" w:hAnsi="Arial"/>
                <w:sz w:val="16"/>
                <w:szCs w:val="16"/>
                <w:color w:val="auto"/>
              </w:rPr>
              <w:t>2011 - 2014</w:t>
            </w:r>
          </w:p>
        </w:tc>
      </w:tr>
      <w:tr>
        <w:trPr>
          <w:trHeight w:val="196"/>
        </w:trPr>
        <w:tc>
          <w:tcPr>
            <w:tcW w:w="4320" w:type="dxa"/>
            <w:vAlign w:val="bottom"/>
          </w:tcPr>
          <w:p>
            <w:pPr>
              <w:spacing w:after="0"/>
              <w:rPr>
                <w:sz w:val="20"/>
                <w:szCs w:val="20"/>
                <w:color w:val="auto"/>
              </w:rPr>
            </w:pPr>
            <w:r>
              <w:rPr>
                <w:rFonts w:ascii="Arial" w:cs="Arial" w:eastAsia="Arial" w:hAnsi="Arial"/>
                <w:sz w:val="16"/>
                <w:szCs w:val="16"/>
                <w:color w:val="auto"/>
              </w:rPr>
              <w:t>United Kingdom</w:t>
            </w:r>
          </w:p>
        </w:tc>
        <w:tc>
          <w:tcPr>
            <w:tcW w:w="3700" w:type="dxa"/>
            <w:vAlign w:val="bottom"/>
          </w:tcPr>
          <w:p>
            <w:pPr>
              <w:jc w:val="right"/>
              <w:spacing w:after="0"/>
              <w:rPr>
                <w:sz w:val="20"/>
                <w:szCs w:val="20"/>
                <w:color w:val="auto"/>
              </w:rPr>
            </w:pPr>
            <w:r>
              <w:rPr>
                <w:rFonts w:ascii="Arial" w:cs="Arial" w:eastAsia="Arial" w:hAnsi="Arial"/>
                <w:sz w:val="16"/>
                <w:szCs w:val="16"/>
                <w:color w:val="auto"/>
              </w:rPr>
              <w:t>2010 - 2014</w:t>
            </w:r>
          </w:p>
        </w:tc>
      </w:tr>
      <w:tr>
        <w:trPr>
          <w:trHeight w:val="208"/>
        </w:trPr>
        <w:tc>
          <w:tcPr>
            <w:tcW w:w="4320" w:type="dxa"/>
            <w:vAlign w:val="bottom"/>
          </w:tcPr>
          <w:p>
            <w:pPr>
              <w:spacing w:after="0"/>
              <w:rPr>
                <w:sz w:val="20"/>
                <w:szCs w:val="20"/>
                <w:color w:val="auto"/>
              </w:rPr>
            </w:pPr>
            <w:r>
              <w:rPr>
                <w:rFonts w:ascii="Arial" w:cs="Arial" w:eastAsia="Arial" w:hAnsi="Arial"/>
                <w:sz w:val="16"/>
                <w:szCs w:val="16"/>
                <w:color w:val="auto"/>
              </w:rPr>
              <w:t>United States</w:t>
            </w:r>
          </w:p>
        </w:tc>
        <w:tc>
          <w:tcPr>
            <w:tcW w:w="3700" w:type="dxa"/>
            <w:vAlign w:val="bottom"/>
          </w:tcPr>
          <w:p>
            <w:pPr>
              <w:jc w:val="right"/>
              <w:spacing w:after="0"/>
              <w:rPr>
                <w:sz w:val="20"/>
                <w:szCs w:val="20"/>
                <w:color w:val="auto"/>
              </w:rPr>
            </w:pPr>
            <w:r>
              <w:rPr>
                <w:rFonts w:ascii="Arial" w:cs="Arial" w:eastAsia="Arial" w:hAnsi="Arial"/>
                <w:sz w:val="16"/>
                <w:szCs w:val="16"/>
                <w:color w:val="auto"/>
              </w:rPr>
              <w:t>2006 - 2014</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The Corporation classifies interest on income tax-related balances as interest expense or interest income and classifies tax-related penalties as operating expense.</w:t>
      </w:r>
    </w:p>
    <w:p>
      <w:pPr>
        <w:spacing w:after="0" w:line="97" w:lineRule="exact"/>
        <w:rPr>
          <w:sz w:val="20"/>
          <w:szCs w:val="20"/>
          <w:color w:val="auto"/>
        </w:rPr>
      </w:pPr>
    </w:p>
    <w:p>
      <w:pPr>
        <w:jc w:val="both"/>
        <w:ind w:right="40" w:firstLine="200"/>
        <w:spacing w:after="0" w:line="271" w:lineRule="auto"/>
        <w:rPr>
          <w:sz w:val="20"/>
          <w:szCs w:val="20"/>
          <w:color w:val="auto"/>
        </w:rPr>
      </w:pPr>
      <w:r>
        <w:rPr>
          <w:rFonts w:ascii="Arial" w:cs="Arial" w:eastAsia="Arial" w:hAnsi="Arial"/>
          <w:sz w:val="16"/>
          <w:szCs w:val="16"/>
          <w:color w:val="auto"/>
        </w:rPr>
        <w:t>The Corporation incurred $42 million in interest expense on income tax reserves in 2014. For 2013, the Corporation’s net interest expense was a credit of $207 reflecting the effect of credits from the favorable resolution of prior year tax positions. The Corporation incurred $46 million in interest expense in 2012. The related payable balances were $205 million and $156 million at December 31, 2014, and 2013, respectively.</w:t>
      </w:r>
    </w:p>
    <w:p>
      <w:pPr>
        <w:spacing w:after="0" w:line="200" w:lineRule="exact"/>
        <w:rPr>
          <w:sz w:val="20"/>
          <w:szCs w:val="20"/>
          <w:color w:val="auto"/>
        </w:rPr>
      </w:pPr>
    </w:p>
    <w:p>
      <w:pPr>
        <w:spacing w:after="0" w:line="353"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98" w:name="page99"/>
    <w:bookmarkEnd w:id="98"/>
    <w:p>
      <w:pPr>
        <w:spacing w:after="0"/>
        <w:rPr>
          <w:sz w:val="20"/>
          <w:szCs w:val="20"/>
          <w:color w:val="auto"/>
        </w:rPr>
      </w:pPr>
      <w:r>
        <w:rPr>
          <w:rFonts w:ascii="Arial" w:cs="Arial" w:eastAsia="Arial" w:hAnsi="Arial"/>
          <w:sz w:val="16"/>
          <w:szCs w:val="16"/>
          <w:b w:val="1"/>
          <w:bCs w:val="1"/>
          <w:color w:val="auto"/>
        </w:rPr>
        <w:t xml:space="preserve">SUPPLEMENTAL INFORMATION ON OIL AND GAS EXPLORATION AND PRODUCTION ACTIVITIES </w:t>
      </w:r>
      <w:r>
        <w:rPr>
          <w:rFonts w:ascii="Arial" w:cs="Arial" w:eastAsia="Arial" w:hAnsi="Arial"/>
          <w:sz w:val="14"/>
          <w:szCs w:val="14"/>
          <w:b w:val="1"/>
          <w:bCs w:val="1"/>
          <w:color w:val="auto"/>
        </w:rPr>
        <w:t>(unaudited)</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results of operations for producing activities shown below do not include earnings from other activities that ExxonMobil includes in the Upstream function, suc and gas transportation operations, LNG liquefaction and transportation operations, coal and power operations, technical service agreements, other nonoperating activi adjustments for noncontrolling interests. These excluded amounts for both consolidated and equity companies totaled $3,223 million in 2014, $886 million in 20 $2,832 million in 2012. Oil sands mining operations are included in the results of operations in accordance with Securities and Exchange Commission and F Accounting Standards Board rules.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4"/>
              </w:rPr>
              <w:t>Canada/</w:t>
            </w:r>
          </w:p>
        </w:tc>
        <w:tc>
          <w:tcPr>
            <w:tcW w:w="8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040" w:type="dxa"/>
            <w:vAlign w:val="bottom"/>
            <w:vMerge w:val="restart"/>
          </w:tcPr>
          <w:p>
            <w:pPr>
              <w:spacing w:after="0"/>
              <w:rPr>
                <w:sz w:val="20"/>
                <w:szCs w:val="20"/>
                <w:color w:val="auto"/>
              </w:rPr>
            </w:pPr>
            <w:r>
              <w:rPr>
                <w:rFonts w:ascii="Arial" w:cs="Arial" w:eastAsia="Arial" w:hAnsi="Arial"/>
                <w:sz w:val="15"/>
                <w:szCs w:val="15"/>
                <w:b w:val="1"/>
                <w:bCs w:val="1"/>
                <w:color w:val="auto"/>
              </w:rPr>
              <w:t>Results of Operations</w:t>
            </w:r>
          </w:p>
        </w:tc>
        <w:tc>
          <w:tcPr>
            <w:tcW w:w="2360" w:type="dxa"/>
            <w:vAlign w:val="bottom"/>
          </w:tcPr>
          <w:p>
            <w:pPr>
              <w:jc w:val="center"/>
              <w:ind w:left="1275"/>
              <w:spacing w:after="0"/>
              <w:rPr>
                <w:sz w:val="20"/>
                <w:szCs w:val="20"/>
                <w:color w:val="auto"/>
              </w:rPr>
            </w:pPr>
            <w:r>
              <w:rPr>
                <w:rFonts w:ascii="Arial" w:cs="Arial" w:eastAsia="Arial" w:hAnsi="Arial"/>
                <w:sz w:val="13"/>
                <w:szCs w:val="13"/>
                <w:b w:val="1"/>
                <w:bCs w:val="1"/>
                <w:color w:val="auto"/>
                <w:w w:val="93"/>
              </w:rPr>
              <w:t>United</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6"/>
              </w:rPr>
              <w:t>South</w:t>
            </w: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00" w:type="dxa"/>
            <w:vAlign w:val="bottom"/>
          </w:tcPr>
          <w:p>
            <w:pPr>
              <w:jc w:val="center"/>
              <w:ind w:right="275"/>
              <w:spacing w:after="0"/>
              <w:rPr>
                <w:sz w:val="20"/>
                <w:szCs w:val="20"/>
                <w:color w:val="auto"/>
              </w:rPr>
            </w:pPr>
            <w:r>
              <w:rPr>
                <w:rFonts w:ascii="Arial" w:cs="Arial" w:eastAsia="Arial" w:hAnsi="Arial"/>
                <w:sz w:val="13"/>
                <w:szCs w:val="13"/>
                <w:b w:val="1"/>
                <w:bCs w:val="1"/>
                <w:color w:val="auto"/>
                <w:w w:val="94"/>
              </w:rPr>
              <w:t>Australia/</w:t>
            </w:r>
          </w:p>
        </w:tc>
        <w:tc>
          <w:tcPr>
            <w:tcW w:w="0" w:type="dxa"/>
            <w:vAlign w:val="bottom"/>
          </w:tcPr>
          <w:p>
            <w:pPr>
              <w:spacing w:after="0"/>
              <w:rPr>
                <w:sz w:val="1"/>
                <w:szCs w:val="1"/>
                <w:color w:val="auto"/>
              </w:rPr>
            </w:pPr>
          </w:p>
        </w:tc>
      </w:tr>
      <w:tr>
        <w:trPr>
          <w:trHeight w:val="192"/>
        </w:trPr>
        <w:tc>
          <w:tcPr>
            <w:tcW w:w="3040" w:type="dxa"/>
            <w:vAlign w:val="bottom"/>
            <w:tcBorders>
              <w:bottom w:val="single" w:sz="8" w:color="auto"/>
            </w:tcBorders>
            <w:vMerge w:val="continue"/>
          </w:tcPr>
          <w:p>
            <w:pPr>
              <w:spacing w:after="0"/>
              <w:rPr>
                <w:sz w:val="16"/>
                <w:szCs w:val="16"/>
                <w:color w:val="auto"/>
              </w:rPr>
            </w:pPr>
          </w:p>
        </w:tc>
        <w:tc>
          <w:tcPr>
            <w:tcW w:w="2360" w:type="dxa"/>
            <w:vAlign w:val="bottom"/>
            <w:tcBorders>
              <w:bottom w:val="single" w:sz="8" w:color="auto"/>
            </w:tcBorders>
          </w:tcPr>
          <w:p>
            <w:pPr>
              <w:jc w:val="center"/>
              <w:ind w:left="1275"/>
              <w:spacing w:after="0"/>
              <w:rPr>
                <w:sz w:val="20"/>
                <w:szCs w:val="20"/>
                <w:color w:val="auto"/>
              </w:rPr>
            </w:pPr>
            <w:r>
              <w:rPr>
                <w:rFonts w:ascii="Arial" w:cs="Arial" w:eastAsia="Arial" w:hAnsi="Arial"/>
                <w:sz w:val="13"/>
                <w:szCs w:val="13"/>
                <w:b w:val="1"/>
                <w:bCs w:val="1"/>
                <w:color w:val="auto"/>
                <w:w w:val="87"/>
              </w:rPr>
              <w:t>States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America</w:t>
            </w: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Europe</w:t>
            </w:r>
          </w:p>
        </w:tc>
        <w:tc>
          <w:tcPr>
            <w:tcW w:w="1380" w:type="dxa"/>
            <w:vAlign w:val="bottom"/>
            <w:tcBorders>
              <w:bottom w:val="single" w:sz="8" w:color="auto"/>
            </w:tcBorders>
          </w:tcPr>
          <w:p>
            <w:pPr>
              <w:ind w:left="520"/>
              <w:spacing w:after="0"/>
              <w:rPr>
                <w:sz w:val="20"/>
                <w:szCs w:val="20"/>
                <w:color w:val="auto"/>
              </w:rPr>
            </w:pPr>
            <w:r>
              <w:rPr>
                <w:rFonts w:ascii="Arial" w:cs="Arial" w:eastAsia="Arial" w:hAnsi="Arial"/>
                <w:sz w:val="13"/>
                <w:szCs w:val="13"/>
                <w:b w:val="1"/>
                <w:bCs w:val="1"/>
                <w:color w:val="auto"/>
              </w:rPr>
              <w:t>Africa</w:t>
            </w: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Asia</w:t>
            </w:r>
          </w:p>
        </w:tc>
        <w:tc>
          <w:tcPr>
            <w:tcW w:w="1500" w:type="dxa"/>
            <w:vAlign w:val="bottom"/>
            <w:tcBorders>
              <w:bottom w:val="single" w:sz="8" w:color="auto"/>
            </w:tcBorders>
          </w:tcPr>
          <w:p>
            <w:pPr>
              <w:jc w:val="center"/>
              <w:ind w:right="255"/>
              <w:spacing w:after="0"/>
              <w:rPr>
                <w:sz w:val="20"/>
                <w:szCs w:val="20"/>
                <w:color w:val="auto"/>
              </w:rPr>
            </w:pPr>
            <w:r>
              <w:rPr>
                <w:rFonts w:ascii="Arial" w:cs="Arial" w:eastAsia="Arial" w:hAnsi="Arial"/>
                <w:sz w:val="13"/>
                <w:szCs w:val="13"/>
                <w:b w:val="1"/>
                <w:bCs w:val="1"/>
                <w:color w:val="auto"/>
                <w:w w:val="90"/>
              </w:rPr>
              <w:t>Oceania</w:t>
            </w:r>
          </w:p>
        </w:tc>
        <w:tc>
          <w:tcPr>
            <w:tcW w:w="0" w:type="dxa"/>
            <w:vAlign w:val="bottom"/>
          </w:tcPr>
          <w:p>
            <w:pPr>
              <w:spacing w:after="0"/>
              <w:rPr>
                <w:sz w:val="1"/>
                <w:szCs w:val="1"/>
                <w:color w:val="auto"/>
              </w:rPr>
            </w:pPr>
          </w:p>
        </w:tc>
      </w:tr>
      <w:tr>
        <w:trPr>
          <w:trHeight w:val="168"/>
        </w:trPr>
        <w:tc>
          <w:tcPr>
            <w:tcW w:w="3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Arial" w:cs="Arial" w:eastAsia="Arial" w:hAnsi="Arial"/>
                <w:sz w:val="13"/>
                <w:szCs w:val="13"/>
                <w:i w:val="1"/>
                <w:iCs w:val="1"/>
                <w:color w:val="auto"/>
              </w:rPr>
              <w:t>(millions of dollars)</w:t>
            </w:r>
          </w:p>
        </w:tc>
        <w:tc>
          <w:tcPr>
            <w:tcW w:w="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40"/>
          </w:cols>
          <w:pgMar w:left="820" w:top="613" w:right="139" w:bottom="1440" w:gutter="0" w:footer="0" w:header="0"/>
        </w:sectPr>
      </w:pPr>
    </w:p>
    <w:p>
      <w:pPr>
        <w:spacing w:after="0"/>
        <w:rPr>
          <w:sz w:val="20"/>
          <w:szCs w:val="20"/>
          <w:color w:val="auto"/>
        </w:rPr>
      </w:pPr>
      <w:r>
        <w:rPr>
          <w:rFonts w:ascii="Arial" w:cs="Arial" w:eastAsia="Arial" w:hAnsi="Arial"/>
          <w:sz w:val="15"/>
          <w:szCs w:val="15"/>
          <w:b w:val="1"/>
          <w:bCs w:val="1"/>
          <w:color w:val="auto"/>
        </w:rPr>
        <w:t>Consolidated Subsidiaries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2014 - Revenue</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Sales to third parties</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Transfers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Production costs excluding taxes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Exploration expenses</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Depreciation and depletion</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Taxes other than income</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Related income tax</w:t>
      </w:r>
    </w:p>
    <w:p>
      <w:pPr>
        <w:spacing w:after="0" w:line="11" w:lineRule="exact"/>
        <w:rPr>
          <w:sz w:val="20"/>
          <w:szCs w:val="20"/>
          <w:color w:val="auto"/>
        </w:rPr>
      </w:pPr>
    </w:p>
    <w:p>
      <w:pPr>
        <w:ind w:left="360" w:right="760" w:hanging="121"/>
        <w:spacing w:after="0" w:line="288" w:lineRule="auto"/>
        <w:rPr>
          <w:sz w:val="20"/>
          <w:szCs w:val="20"/>
          <w:color w:val="auto"/>
        </w:rPr>
      </w:pPr>
      <w:r>
        <w:rPr>
          <w:rFonts w:ascii="Arial" w:cs="Arial" w:eastAsia="Arial" w:hAnsi="Arial"/>
          <w:sz w:val="15"/>
          <w:szCs w:val="15"/>
          <w:color w:val="auto"/>
        </w:rPr>
        <w:t>Results of producing activities for consolidated subsidiaries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Companies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2014 - Revenue</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Sales to third parties</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Transfers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Production costs excluding taxes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Exploration expenses</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Depreciation and depletion</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Taxes other than income</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Related income tax</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Results of producing activities for equity companies</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Total results of operations</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9,453</w:t>
            </w:r>
          </w:p>
        </w:tc>
        <w:tc>
          <w:tcPr>
            <w:tcW w:w="1040" w:type="dxa"/>
            <w:vAlign w:val="bottom"/>
          </w:tcPr>
          <w:p>
            <w:pPr>
              <w:jc w:val="right"/>
              <w:ind w:right="266"/>
              <w:spacing w:after="0"/>
              <w:rPr>
                <w:sz w:val="20"/>
                <w:szCs w:val="20"/>
                <w:color w:val="auto"/>
              </w:rPr>
            </w:pPr>
            <w:r>
              <w:rPr>
                <w:rFonts w:ascii="Arial" w:cs="Arial" w:eastAsia="Arial" w:hAnsi="Arial"/>
                <w:sz w:val="15"/>
                <w:szCs w:val="15"/>
                <w:color w:val="auto"/>
              </w:rPr>
              <w:t>2,841</w:t>
            </w:r>
          </w:p>
        </w:tc>
        <w:tc>
          <w:tcPr>
            <w:tcW w:w="980" w:type="dxa"/>
            <w:vAlign w:val="bottom"/>
          </w:tcPr>
          <w:p>
            <w:pPr>
              <w:jc w:val="right"/>
              <w:ind w:right="226"/>
              <w:spacing w:after="0"/>
              <w:rPr>
                <w:sz w:val="20"/>
                <w:szCs w:val="20"/>
                <w:color w:val="auto"/>
              </w:rPr>
            </w:pPr>
            <w:r>
              <w:rPr>
                <w:rFonts w:ascii="Arial" w:cs="Arial" w:eastAsia="Arial" w:hAnsi="Arial"/>
                <w:sz w:val="15"/>
                <w:szCs w:val="15"/>
                <w:color w:val="auto"/>
              </w:rPr>
              <w:t>4,608</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1,943</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4,383</w:t>
            </w:r>
          </w:p>
        </w:tc>
        <w:tc>
          <w:tcPr>
            <w:tcW w:w="1240" w:type="dxa"/>
            <w:vAlign w:val="bottom"/>
          </w:tcPr>
          <w:p>
            <w:pPr>
              <w:jc w:val="right"/>
              <w:ind w:right="486"/>
              <w:spacing w:after="0"/>
              <w:rPr>
                <w:sz w:val="20"/>
                <w:szCs w:val="20"/>
                <w:color w:val="auto"/>
              </w:rPr>
            </w:pPr>
            <w:r>
              <w:rPr>
                <w:rFonts w:ascii="Arial" w:cs="Arial" w:eastAsia="Arial" w:hAnsi="Arial"/>
                <w:sz w:val="15"/>
                <w:szCs w:val="15"/>
                <w:color w:val="auto"/>
              </w:rPr>
              <w:t>1,374</w:t>
            </w:r>
          </w:p>
        </w:tc>
      </w:tr>
      <w:tr>
        <w:trPr>
          <w:trHeight w:val="190"/>
        </w:trPr>
        <w:tc>
          <w:tcPr>
            <w:tcW w:w="110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5,554</w:t>
            </w:r>
          </w:p>
        </w:tc>
        <w:tc>
          <w:tcPr>
            <w:tcW w:w="10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5,417</w:t>
            </w:r>
          </w:p>
        </w:tc>
        <w:tc>
          <w:tcPr>
            <w:tcW w:w="9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5,206</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14,884</w:t>
            </w:r>
          </w:p>
        </w:tc>
        <w:tc>
          <w:tcPr>
            <w:tcW w:w="10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7,534</w:t>
            </w:r>
          </w:p>
        </w:tc>
        <w:tc>
          <w:tcPr>
            <w:tcW w:w="124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rPr>
              <w:t>1,553</w:t>
            </w:r>
          </w:p>
        </w:tc>
      </w:tr>
      <w:tr>
        <w:trPr>
          <w:trHeight w:val="170"/>
        </w:trPr>
        <w:tc>
          <w:tcPr>
            <w:tcW w:w="1100" w:type="dxa"/>
            <w:vAlign w:val="bottom"/>
          </w:tcPr>
          <w:p>
            <w:pPr>
              <w:jc w:val="right"/>
              <w:ind w:right="266"/>
              <w:spacing w:after="0" w:line="170" w:lineRule="exact"/>
              <w:rPr>
                <w:sz w:val="20"/>
                <w:szCs w:val="20"/>
                <w:color w:val="auto"/>
              </w:rPr>
            </w:pPr>
            <w:r>
              <w:rPr>
                <w:rFonts w:ascii="Arial" w:cs="Arial" w:eastAsia="Arial" w:hAnsi="Arial"/>
                <w:sz w:val="15"/>
                <w:szCs w:val="15"/>
                <w:color w:val="auto"/>
              </w:rPr>
              <w:t>15,007</w:t>
            </w:r>
          </w:p>
        </w:tc>
        <w:tc>
          <w:tcPr>
            <w:tcW w:w="1040" w:type="dxa"/>
            <w:vAlign w:val="bottom"/>
          </w:tcPr>
          <w:p>
            <w:pPr>
              <w:jc w:val="right"/>
              <w:ind w:right="266"/>
              <w:spacing w:after="0" w:line="170" w:lineRule="exact"/>
              <w:rPr>
                <w:sz w:val="20"/>
                <w:szCs w:val="20"/>
                <w:color w:val="auto"/>
              </w:rPr>
            </w:pPr>
            <w:r>
              <w:rPr>
                <w:rFonts w:ascii="Arial" w:cs="Arial" w:eastAsia="Arial" w:hAnsi="Arial"/>
                <w:sz w:val="15"/>
                <w:szCs w:val="15"/>
                <w:color w:val="auto"/>
              </w:rPr>
              <w:t>8,258</w:t>
            </w:r>
          </w:p>
        </w:tc>
        <w:tc>
          <w:tcPr>
            <w:tcW w:w="980" w:type="dxa"/>
            <w:vAlign w:val="bottom"/>
          </w:tcPr>
          <w:p>
            <w:pPr>
              <w:jc w:val="right"/>
              <w:ind w:right="226"/>
              <w:spacing w:after="0" w:line="170" w:lineRule="exact"/>
              <w:rPr>
                <w:sz w:val="20"/>
                <w:szCs w:val="20"/>
                <w:color w:val="auto"/>
              </w:rPr>
            </w:pPr>
            <w:r>
              <w:rPr>
                <w:rFonts w:ascii="Arial" w:cs="Arial" w:eastAsia="Arial" w:hAnsi="Arial"/>
                <w:sz w:val="15"/>
                <w:szCs w:val="15"/>
                <w:color w:val="auto"/>
              </w:rPr>
              <w:t>9,814</w:t>
            </w:r>
          </w:p>
        </w:tc>
        <w:tc>
          <w:tcPr>
            <w:tcW w:w="1020" w:type="dxa"/>
            <w:vAlign w:val="bottom"/>
          </w:tcPr>
          <w:p>
            <w:pPr>
              <w:jc w:val="right"/>
              <w:ind w:right="226"/>
              <w:spacing w:after="0" w:line="170" w:lineRule="exact"/>
              <w:rPr>
                <w:sz w:val="20"/>
                <w:szCs w:val="20"/>
                <w:color w:val="auto"/>
              </w:rPr>
            </w:pPr>
            <w:r>
              <w:rPr>
                <w:rFonts w:ascii="Arial" w:cs="Arial" w:eastAsia="Arial" w:hAnsi="Arial"/>
                <w:sz w:val="15"/>
                <w:szCs w:val="15"/>
                <w:color w:val="auto"/>
              </w:rPr>
              <w:t>16,827</w:t>
            </w:r>
          </w:p>
        </w:tc>
        <w:tc>
          <w:tcPr>
            <w:tcW w:w="1060" w:type="dxa"/>
            <w:vAlign w:val="bottom"/>
          </w:tcPr>
          <w:p>
            <w:pPr>
              <w:jc w:val="right"/>
              <w:ind w:right="266"/>
              <w:spacing w:after="0" w:line="170" w:lineRule="exact"/>
              <w:rPr>
                <w:sz w:val="20"/>
                <w:szCs w:val="20"/>
                <w:color w:val="auto"/>
              </w:rPr>
            </w:pPr>
            <w:r>
              <w:rPr>
                <w:rFonts w:ascii="Arial" w:cs="Arial" w:eastAsia="Arial" w:hAnsi="Arial"/>
                <w:sz w:val="15"/>
                <w:szCs w:val="15"/>
                <w:color w:val="auto"/>
              </w:rPr>
              <w:t>11,917</w:t>
            </w:r>
          </w:p>
        </w:tc>
        <w:tc>
          <w:tcPr>
            <w:tcW w:w="1240" w:type="dxa"/>
            <w:vAlign w:val="bottom"/>
          </w:tcPr>
          <w:p>
            <w:pPr>
              <w:jc w:val="right"/>
              <w:ind w:right="486"/>
              <w:spacing w:after="0" w:line="170" w:lineRule="exact"/>
              <w:rPr>
                <w:sz w:val="20"/>
                <w:szCs w:val="20"/>
                <w:color w:val="auto"/>
              </w:rPr>
            </w:pPr>
            <w:r>
              <w:rPr>
                <w:rFonts w:ascii="Arial" w:cs="Arial" w:eastAsia="Arial" w:hAnsi="Arial"/>
                <w:sz w:val="15"/>
                <w:szCs w:val="15"/>
                <w:color w:val="auto"/>
              </w:rPr>
              <w:t>2,927</w:t>
            </w:r>
          </w:p>
        </w:tc>
      </w:tr>
      <w:tr>
        <w:trPr>
          <w:trHeight w:val="184"/>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4,637</w:t>
            </w:r>
          </w:p>
        </w:tc>
        <w:tc>
          <w:tcPr>
            <w:tcW w:w="1040" w:type="dxa"/>
            <w:vAlign w:val="bottom"/>
          </w:tcPr>
          <w:p>
            <w:pPr>
              <w:jc w:val="right"/>
              <w:ind w:right="266"/>
              <w:spacing w:after="0"/>
              <w:rPr>
                <w:sz w:val="20"/>
                <w:szCs w:val="20"/>
                <w:color w:val="auto"/>
              </w:rPr>
            </w:pPr>
            <w:r>
              <w:rPr>
                <w:rFonts w:ascii="Arial" w:cs="Arial" w:eastAsia="Arial" w:hAnsi="Arial"/>
                <w:sz w:val="15"/>
                <w:szCs w:val="15"/>
                <w:color w:val="auto"/>
              </w:rPr>
              <w:t>4,251</w:t>
            </w:r>
          </w:p>
        </w:tc>
        <w:tc>
          <w:tcPr>
            <w:tcW w:w="980" w:type="dxa"/>
            <w:vAlign w:val="bottom"/>
          </w:tcPr>
          <w:p>
            <w:pPr>
              <w:jc w:val="right"/>
              <w:ind w:right="226"/>
              <w:spacing w:after="0"/>
              <w:rPr>
                <w:sz w:val="20"/>
                <w:szCs w:val="20"/>
                <w:color w:val="auto"/>
              </w:rPr>
            </w:pPr>
            <w:r>
              <w:rPr>
                <w:rFonts w:ascii="Arial" w:cs="Arial" w:eastAsia="Arial" w:hAnsi="Arial"/>
                <w:sz w:val="15"/>
                <w:szCs w:val="15"/>
                <w:color w:val="auto"/>
              </w:rPr>
              <w:t>3,117</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2,248</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1,568</w:t>
            </w:r>
          </w:p>
        </w:tc>
        <w:tc>
          <w:tcPr>
            <w:tcW w:w="1240" w:type="dxa"/>
            <w:vAlign w:val="bottom"/>
          </w:tcPr>
          <w:p>
            <w:pPr>
              <w:jc w:val="right"/>
              <w:ind w:right="486"/>
              <w:spacing w:after="0"/>
              <w:rPr>
                <w:sz w:val="20"/>
                <w:szCs w:val="20"/>
                <w:color w:val="auto"/>
              </w:rPr>
            </w:pPr>
            <w:r>
              <w:rPr>
                <w:rFonts w:ascii="Arial" w:cs="Arial" w:eastAsia="Arial" w:hAnsi="Arial"/>
                <w:sz w:val="15"/>
                <w:szCs w:val="15"/>
                <w:color w:val="auto"/>
              </w:rPr>
              <w:t>583</w:t>
            </w:r>
          </w:p>
        </w:tc>
      </w:tr>
      <w:tr>
        <w:trPr>
          <w:trHeight w:val="184"/>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231</w:t>
            </w:r>
          </w:p>
        </w:tc>
        <w:tc>
          <w:tcPr>
            <w:tcW w:w="1040" w:type="dxa"/>
            <w:vAlign w:val="bottom"/>
          </w:tcPr>
          <w:p>
            <w:pPr>
              <w:jc w:val="right"/>
              <w:ind w:right="266"/>
              <w:spacing w:after="0"/>
              <w:rPr>
                <w:sz w:val="20"/>
                <w:szCs w:val="20"/>
                <w:color w:val="auto"/>
              </w:rPr>
            </w:pPr>
            <w:r>
              <w:rPr>
                <w:rFonts w:ascii="Arial" w:cs="Arial" w:eastAsia="Arial" w:hAnsi="Arial"/>
                <w:sz w:val="15"/>
                <w:szCs w:val="15"/>
                <w:color w:val="auto"/>
              </w:rPr>
              <w:t>363</w:t>
            </w:r>
          </w:p>
        </w:tc>
        <w:tc>
          <w:tcPr>
            <w:tcW w:w="980" w:type="dxa"/>
            <w:vAlign w:val="bottom"/>
          </w:tcPr>
          <w:p>
            <w:pPr>
              <w:jc w:val="right"/>
              <w:ind w:right="226"/>
              <w:spacing w:after="0"/>
              <w:rPr>
                <w:sz w:val="20"/>
                <w:szCs w:val="20"/>
                <w:color w:val="auto"/>
              </w:rPr>
            </w:pPr>
            <w:r>
              <w:rPr>
                <w:rFonts w:ascii="Arial" w:cs="Arial" w:eastAsia="Arial" w:hAnsi="Arial"/>
                <w:sz w:val="15"/>
                <w:szCs w:val="15"/>
                <w:color w:val="auto"/>
              </w:rPr>
              <w:t>274</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427</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287</w:t>
            </w:r>
          </w:p>
        </w:tc>
        <w:tc>
          <w:tcPr>
            <w:tcW w:w="1240" w:type="dxa"/>
            <w:vAlign w:val="bottom"/>
          </w:tcPr>
          <w:p>
            <w:pPr>
              <w:jc w:val="right"/>
              <w:ind w:right="486"/>
              <w:spacing w:after="0"/>
              <w:rPr>
                <w:sz w:val="20"/>
                <w:szCs w:val="20"/>
                <w:color w:val="auto"/>
              </w:rPr>
            </w:pPr>
            <w:r>
              <w:rPr>
                <w:rFonts w:ascii="Arial" w:cs="Arial" w:eastAsia="Arial" w:hAnsi="Arial"/>
                <w:sz w:val="15"/>
                <w:szCs w:val="15"/>
                <w:color w:val="auto"/>
              </w:rPr>
              <w:t>87</w:t>
            </w:r>
          </w:p>
        </w:tc>
      </w:tr>
      <w:tr>
        <w:trPr>
          <w:trHeight w:val="184"/>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4,877</w:t>
            </w:r>
          </w:p>
        </w:tc>
        <w:tc>
          <w:tcPr>
            <w:tcW w:w="1040" w:type="dxa"/>
            <w:vAlign w:val="bottom"/>
          </w:tcPr>
          <w:p>
            <w:pPr>
              <w:jc w:val="right"/>
              <w:ind w:right="266"/>
              <w:spacing w:after="0"/>
              <w:rPr>
                <w:sz w:val="20"/>
                <w:szCs w:val="20"/>
                <w:color w:val="auto"/>
              </w:rPr>
            </w:pPr>
            <w:r>
              <w:rPr>
                <w:rFonts w:ascii="Arial" w:cs="Arial" w:eastAsia="Arial" w:hAnsi="Arial"/>
                <w:sz w:val="15"/>
                <w:szCs w:val="15"/>
                <w:color w:val="auto"/>
              </w:rPr>
              <w:t>1,193</w:t>
            </w:r>
          </w:p>
        </w:tc>
        <w:tc>
          <w:tcPr>
            <w:tcW w:w="980" w:type="dxa"/>
            <w:vAlign w:val="bottom"/>
          </w:tcPr>
          <w:p>
            <w:pPr>
              <w:jc w:val="right"/>
              <w:ind w:right="226"/>
              <w:spacing w:after="0"/>
              <w:rPr>
                <w:sz w:val="20"/>
                <w:szCs w:val="20"/>
                <w:color w:val="auto"/>
              </w:rPr>
            </w:pPr>
            <w:r>
              <w:rPr>
                <w:rFonts w:ascii="Arial" w:cs="Arial" w:eastAsia="Arial" w:hAnsi="Arial"/>
                <w:sz w:val="15"/>
                <w:szCs w:val="15"/>
                <w:color w:val="auto"/>
              </w:rPr>
              <w:t>1,929</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3,387</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1,242</w:t>
            </w:r>
          </w:p>
        </w:tc>
        <w:tc>
          <w:tcPr>
            <w:tcW w:w="1240" w:type="dxa"/>
            <w:vAlign w:val="bottom"/>
          </w:tcPr>
          <w:p>
            <w:pPr>
              <w:jc w:val="right"/>
              <w:ind w:right="486"/>
              <w:spacing w:after="0"/>
              <w:rPr>
                <w:sz w:val="20"/>
                <w:szCs w:val="20"/>
                <w:color w:val="auto"/>
              </w:rPr>
            </w:pPr>
            <w:r>
              <w:rPr>
                <w:rFonts w:ascii="Arial" w:cs="Arial" w:eastAsia="Arial" w:hAnsi="Arial"/>
                <w:sz w:val="15"/>
                <w:szCs w:val="15"/>
                <w:color w:val="auto"/>
              </w:rPr>
              <w:t>454</w:t>
            </w:r>
          </w:p>
        </w:tc>
      </w:tr>
      <w:tr>
        <w:trPr>
          <w:trHeight w:val="184"/>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1,116</w:t>
            </w:r>
          </w:p>
        </w:tc>
        <w:tc>
          <w:tcPr>
            <w:tcW w:w="1040" w:type="dxa"/>
            <w:vAlign w:val="bottom"/>
          </w:tcPr>
          <w:p>
            <w:pPr>
              <w:jc w:val="right"/>
              <w:ind w:right="266"/>
              <w:spacing w:after="0"/>
              <w:rPr>
                <w:sz w:val="20"/>
                <w:szCs w:val="20"/>
                <w:color w:val="auto"/>
              </w:rPr>
            </w:pPr>
            <w:r>
              <w:rPr>
                <w:rFonts w:ascii="Arial" w:cs="Arial" w:eastAsia="Arial" w:hAnsi="Arial"/>
                <w:sz w:val="15"/>
                <w:szCs w:val="15"/>
                <w:color w:val="auto"/>
              </w:rPr>
              <w:t>160</w:t>
            </w:r>
          </w:p>
        </w:tc>
        <w:tc>
          <w:tcPr>
            <w:tcW w:w="980" w:type="dxa"/>
            <w:vAlign w:val="bottom"/>
          </w:tcPr>
          <w:p>
            <w:pPr>
              <w:jc w:val="right"/>
              <w:ind w:right="226"/>
              <w:spacing w:after="0"/>
              <w:rPr>
                <w:sz w:val="20"/>
                <w:szCs w:val="20"/>
                <w:color w:val="auto"/>
              </w:rPr>
            </w:pPr>
            <w:r>
              <w:rPr>
                <w:rFonts w:ascii="Arial" w:cs="Arial" w:eastAsia="Arial" w:hAnsi="Arial"/>
                <w:sz w:val="15"/>
                <w:szCs w:val="15"/>
                <w:color w:val="auto"/>
              </w:rPr>
              <w:t>412</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1,539</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1,542</w:t>
            </w:r>
          </w:p>
        </w:tc>
        <w:tc>
          <w:tcPr>
            <w:tcW w:w="1240" w:type="dxa"/>
            <w:vAlign w:val="bottom"/>
          </w:tcPr>
          <w:p>
            <w:pPr>
              <w:jc w:val="right"/>
              <w:ind w:right="486"/>
              <w:spacing w:after="0"/>
              <w:rPr>
                <w:sz w:val="20"/>
                <w:szCs w:val="20"/>
                <w:color w:val="auto"/>
              </w:rPr>
            </w:pPr>
            <w:r>
              <w:rPr>
                <w:rFonts w:ascii="Arial" w:cs="Arial" w:eastAsia="Arial" w:hAnsi="Arial"/>
                <w:sz w:val="15"/>
                <w:szCs w:val="15"/>
                <w:color w:val="auto"/>
              </w:rPr>
              <w:t>399</w:t>
            </w:r>
          </w:p>
        </w:tc>
      </w:tr>
      <w:tr>
        <w:trPr>
          <w:trHeight w:val="190"/>
        </w:trPr>
        <w:tc>
          <w:tcPr>
            <w:tcW w:w="110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1,208</w:t>
            </w:r>
          </w:p>
        </w:tc>
        <w:tc>
          <w:tcPr>
            <w:tcW w:w="10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524</w:t>
            </w:r>
          </w:p>
        </w:tc>
        <w:tc>
          <w:tcPr>
            <w:tcW w:w="9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2,954</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5,515</w:t>
            </w:r>
          </w:p>
        </w:tc>
        <w:tc>
          <w:tcPr>
            <w:tcW w:w="10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4,882</w:t>
            </w:r>
          </w:p>
        </w:tc>
        <w:tc>
          <w:tcPr>
            <w:tcW w:w="124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rPr>
              <w:t>435</w:t>
            </w:r>
          </w:p>
        </w:tc>
      </w:tr>
      <w:tr>
        <w:trPr>
          <w:trHeight w:val="360"/>
        </w:trPr>
        <w:tc>
          <w:tcPr>
            <w:tcW w:w="110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2,938</w:t>
            </w:r>
          </w:p>
        </w:tc>
        <w:tc>
          <w:tcPr>
            <w:tcW w:w="10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1,767</w:t>
            </w:r>
          </w:p>
        </w:tc>
        <w:tc>
          <w:tcPr>
            <w:tcW w:w="9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1,128</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3,711</w:t>
            </w:r>
          </w:p>
        </w:tc>
        <w:tc>
          <w:tcPr>
            <w:tcW w:w="10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2,396</w:t>
            </w:r>
          </w:p>
        </w:tc>
        <w:tc>
          <w:tcPr>
            <w:tcW w:w="124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rPr>
              <w:t>969</w:t>
            </w:r>
          </w:p>
        </w:tc>
      </w:tr>
      <w:tr>
        <w:trPr>
          <w:trHeight w:val="722"/>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1,239</w:t>
            </w:r>
          </w:p>
        </w:tc>
        <w:tc>
          <w:tcPr>
            <w:tcW w:w="104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26"/>
              <w:spacing w:after="0"/>
              <w:rPr>
                <w:sz w:val="20"/>
                <w:szCs w:val="20"/>
                <w:color w:val="auto"/>
              </w:rPr>
            </w:pPr>
            <w:r>
              <w:rPr>
                <w:rFonts w:ascii="Arial" w:cs="Arial" w:eastAsia="Arial" w:hAnsi="Arial"/>
                <w:sz w:val="15"/>
                <w:szCs w:val="15"/>
                <w:color w:val="auto"/>
              </w:rPr>
              <w:t>4,923</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20,028</w:t>
            </w:r>
          </w:p>
        </w:tc>
        <w:tc>
          <w:tcPr>
            <w:tcW w:w="1240" w:type="dxa"/>
            <w:vAlign w:val="bottom"/>
          </w:tcPr>
          <w:p>
            <w:pPr>
              <w:jc w:val="right"/>
              <w:ind w:right="486"/>
              <w:spacing w:after="0"/>
              <w:rPr>
                <w:sz w:val="20"/>
                <w:szCs w:val="20"/>
                <w:color w:val="auto"/>
              </w:rPr>
            </w:pPr>
            <w:r>
              <w:rPr>
                <w:rFonts w:ascii="Arial" w:cs="Arial" w:eastAsia="Arial" w:hAnsi="Arial"/>
                <w:sz w:val="15"/>
                <w:szCs w:val="15"/>
                <w:color w:val="auto"/>
              </w:rPr>
              <w:t>-</w:t>
            </w:r>
          </w:p>
        </w:tc>
      </w:tr>
      <w:tr>
        <w:trPr>
          <w:trHeight w:val="190"/>
        </w:trPr>
        <w:tc>
          <w:tcPr>
            <w:tcW w:w="110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924</w:t>
            </w:r>
          </w:p>
        </w:tc>
        <w:tc>
          <w:tcPr>
            <w:tcW w:w="10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63</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685</w:t>
            </w:r>
          </w:p>
        </w:tc>
        <w:tc>
          <w:tcPr>
            <w:tcW w:w="124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rPr>
              <w:t>-</w:t>
            </w:r>
          </w:p>
        </w:tc>
      </w:tr>
      <w:tr>
        <w:trPr>
          <w:trHeight w:val="170"/>
        </w:trPr>
        <w:tc>
          <w:tcPr>
            <w:tcW w:w="1100" w:type="dxa"/>
            <w:vAlign w:val="bottom"/>
          </w:tcPr>
          <w:p>
            <w:pPr>
              <w:jc w:val="right"/>
              <w:ind w:right="266"/>
              <w:spacing w:after="0" w:line="170" w:lineRule="exact"/>
              <w:rPr>
                <w:sz w:val="20"/>
                <w:szCs w:val="20"/>
                <w:color w:val="auto"/>
              </w:rPr>
            </w:pPr>
            <w:r>
              <w:rPr>
                <w:rFonts w:ascii="Arial" w:cs="Arial" w:eastAsia="Arial" w:hAnsi="Arial"/>
                <w:sz w:val="15"/>
                <w:szCs w:val="15"/>
                <w:color w:val="auto"/>
              </w:rPr>
              <w:t>2,163</w:t>
            </w:r>
          </w:p>
        </w:tc>
        <w:tc>
          <w:tcPr>
            <w:tcW w:w="1040" w:type="dxa"/>
            <w:vAlign w:val="bottom"/>
          </w:tcPr>
          <w:p>
            <w:pPr>
              <w:jc w:val="right"/>
              <w:ind w:right="266"/>
              <w:spacing w:after="0" w:line="170"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226"/>
              <w:spacing w:after="0" w:line="170" w:lineRule="exact"/>
              <w:rPr>
                <w:sz w:val="20"/>
                <w:szCs w:val="20"/>
                <w:color w:val="auto"/>
              </w:rPr>
            </w:pPr>
            <w:r>
              <w:rPr>
                <w:rFonts w:ascii="Arial" w:cs="Arial" w:eastAsia="Arial" w:hAnsi="Arial"/>
                <w:sz w:val="15"/>
                <w:szCs w:val="15"/>
                <w:color w:val="auto"/>
              </w:rPr>
              <w:t>4,986</w:t>
            </w:r>
          </w:p>
        </w:tc>
        <w:tc>
          <w:tcPr>
            <w:tcW w:w="1020" w:type="dxa"/>
            <w:vAlign w:val="bottom"/>
          </w:tcPr>
          <w:p>
            <w:pPr>
              <w:jc w:val="right"/>
              <w:ind w:right="226"/>
              <w:spacing w:after="0" w:line="170" w:lineRule="exact"/>
              <w:rPr>
                <w:sz w:val="20"/>
                <w:szCs w:val="20"/>
                <w:color w:val="auto"/>
              </w:rPr>
            </w:pPr>
            <w:r>
              <w:rPr>
                <w:rFonts w:ascii="Arial" w:cs="Arial" w:eastAsia="Arial" w:hAnsi="Arial"/>
                <w:sz w:val="15"/>
                <w:szCs w:val="15"/>
                <w:color w:val="auto"/>
              </w:rPr>
              <w:t>-</w:t>
            </w:r>
          </w:p>
        </w:tc>
        <w:tc>
          <w:tcPr>
            <w:tcW w:w="1060" w:type="dxa"/>
            <w:vAlign w:val="bottom"/>
          </w:tcPr>
          <w:p>
            <w:pPr>
              <w:jc w:val="right"/>
              <w:ind w:right="266"/>
              <w:spacing w:after="0" w:line="170" w:lineRule="exact"/>
              <w:rPr>
                <w:sz w:val="20"/>
                <w:szCs w:val="20"/>
                <w:color w:val="auto"/>
              </w:rPr>
            </w:pPr>
            <w:r>
              <w:rPr>
                <w:rFonts w:ascii="Arial" w:cs="Arial" w:eastAsia="Arial" w:hAnsi="Arial"/>
                <w:sz w:val="15"/>
                <w:szCs w:val="15"/>
                <w:color w:val="auto"/>
              </w:rPr>
              <w:t>20,713</w:t>
            </w:r>
          </w:p>
        </w:tc>
        <w:tc>
          <w:tcPr>
            <w:tcW w:w="1240" w:type="dxa"/>
            <w:vAlign w:val="bottom"/>
          </w:tcPr>
          <w:p>
            <w:pPr>
              <w:jc w:val="right"/>
              <w:ind w:right="486"/>
              <w:spacing w:after="0" w:line="170" w:lineRule="exact"/>
              <w:rPr>
                <w:sz w:val="20"/>
                <w:szCs w:val="20"/>
                <w:color w:val="auto"/>
              </w:rPr>
            </w:pPr>
            <w:r>
              <w:rPr>
                <w:rFonts w:ascii="Arial" w:cs="Arial" w:eastAsia="Arial" w:hAnsi="Arial"/>
                <w:sz w:val="15"/>
                <w:szCs w:val="15"/>
                <w:color w:val="auto"/>
              </w:rPr>
              <w:t>-</w:t>
            </w:r>
          </w:p>
        </w:tc>
      </w:tr>
      <w:tr>
        <w:trPr>
          <w:trHeight w:val="184"/>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620</w:t>
            </w:r>
          </w:p>
        </w:tc>
        <w:tc>
          <w:tcPr>
            <w:tcW w:w="104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26"/>
              <w:spacing w:after="0"/>
              <w:rPr>
                <w:sz w:val="20"/>
                <w:szCs w:val="20"/>
                <w:color w:val="auto"/>
              </w:rPr>
            </w:pPr>
            <w:r>
              <w:rPr>
                <w:rFonts w:ascii="Arial" w:cs="Arial" w:eastAsia="Arial" w:hAnsi="Arial"/>
                <w:sz w:val="15"/>
                <w:szCs w:val="15"/>
                <w:color w:val="auto"/>
              </w:rPr>
              <w:t>602</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548</w:t>
            </w:r>
          </w:p>
        </w:tc>
        <w:tc>
          <w:tcPr>
            <w:tcW w:w="1240" w:type="dxa"/>
            <w:vAlign w:val="bottom"/>
          </w:tcPr>
          <w:p>
            <w:pPr>
              <w:jc w:val="right"/>
              <w:ind w:right="486"/>
              <w:spacing w:after="0"/>
              <w:rPr>
                <w:sz w:val="20"/>
                <w:szCs w:val="20"/>
                <w:color w:val="auto"/>
              </w:rPr>
            </w:pPr>
            <w:r>
              <w:rPr>
                <w:rFonts w:ascii="Arial" w:cs="Arial" w:eastAsia="Arial" w:hAnsi="Arial"/>
                <w:sz w:val="15"/>
                <w:szCs w:val="15"/>
                <w:color w:val="auto"/>
              </w:rPr>
              <w:t>-</w:t>
            </w:r>
          </w:p>
        </w:tc>
      </w:tr>
      <w:tr>
        <w:trPr>
          <w:trHeight w:val="184"/>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61</w:t>
            </w:r>
          </w:p>
        </w:tc>
        <w:tc>
          <w:tcPr>
            <w:tcW w:w="104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26"/>
              <w:spacing w:after="0"/>
              <w:rPr>
                <w:sz w:val="20"/>
                <w:szCs w:val="20"/>
                <w:color w:val="auto"/>
              </w:rPr>
            </w:pPr>
            <w:r>
              <w:rPr>
                <w:rFonts w:ascii="Arial" w:cs="Arial" w:eastAsia="Arial" w:hAnsi="Arial"/>
                <w:sz w:val="15"/>
                <w:szCs w:val="15"/>
                <w:color w:val="auto"/>
              </w:rPr>
              <w:t>22</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219</w:t>
            </w:r>
          </w:p>
        </w:tc>
        <w:tc>
          <w:tcPr>
            <w:tcW w:w="1240" w:type="dxa"/>
            <w:vAlign w:val="bottom"/>
          </w:tcPr>
          <w:p>
            <w:pPr>
              <w:jc w:val="right"/>
              <w:ind w:right="486"/>
              <w:spacing w:after="0"/>
              <w:rPr>
                <w:sz w:val="20"/>
                <w:szCs w:val="20"/>
                <w:color w:val="auto"/>
              </w:rPr>
            </w:pPr>
            <w:r>
              <w:rPr>
                <w:rFonts w:ascii="Arial" w:cs="Arial" w:eastAsia="Arial" w:hAnsi="Arial"/>
                <w:sz w:val="15"/>
                <w:szCs w:val="15"/>
                <w:color w:val="auto"/>
              </w:rPr>
              <w:t>-</w:t>
            </w:r>
          </w:p>
        </w:tc>
      </w:tr>
      <w:tr>
        <w:trPr>
          <w:trHeight w:val="184"/>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253</w:t>
            </w:r>
          </w:p>
        </w:tc>
        <w:tc>
          <w:tcPr>
            <w:tcW w:w="104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26"/>
              <w:spacing w:after="0"/>
              <w:rPr>
                <w:sz w:val="20"/>
                <w:szCs w:val="20"/>
                <w:color w:val="auto"/>
              </w:rPr>
            </w:pPr>
            <w:r>
              <w:rPr>
                <w:rFonts w:ascii="Arial" w:cs="Arial" w:eastAsia="Arial" w:hAnsi="Arial"/>
                <w:sz w:val="15"/>
                <w:szCs w:val="15"/>
                <w:color w:val="auto"/>
              </w:rPr>
              <w:t>195</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383</w:t>
            </w:r>
          </w:p>
        </w:tc>
        <w:tc>
          <w:tcPr>
            <w:tcW w:w="1240" w:type="dxa"/>
            <w:vAlign w:val="bottom"/>
          </w:tcPr>
          <w:p>
            <w:pPr>
              <w:jc w:val="right"/>
              <w:ind w:right="486"/>
              <w:spacing w:after="0"/>
              <w:rPr>
                <w:sz w:val="20"/>
                <w:szCs w:val="20"/>
                <w:color w:val="auto"/>
              </w:rPr>
            </w:pPr>
            <w:r>
              <w:rPr>
                <w:rFonts w:ascii="Arial" w:cs="Arial" w:eastAsia="Arial" w:hAnsi="Arial"/>
                <w:sz w:val="15"/>
                <w:szCs w:val="15"/>
                <w:color w:val="auto"/>
              </w:rPr>
              <w:t>-</w:t>
            </w:r>
          </w:p>
        </w:tc>
      </w:tr>
      <w:tr>
        <w:trPr>
          <w:trHeight w:val="184"/>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57</w:t>
            </w:r>
          </w:p>
        </w:tc>
        <w:tc>
          <w:tcPr>
            <w:tcW w:w="104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26"/>
              <w:spacing w:after="0"/>
              <w:rPr>
                <w:sz w:val="20"/>
                <w:szCs w:val="20"/>
                <w:color w:val="auto"/>
              </w:rPr>
            </w:pPr>
            <w:r>
              <w:rPr>
                <w:rFonts w:ascii="Arial" w:cs="Arial" w:eastAsia="Arial" w:hAnsi="Arial"/>
                <w:sz w:val="15"/>
                <w:szCs w:val="15"/>
                <w:color w:val="auto"/>
              </w:rPr>
              <w:t>2,650</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5,184</w:t>
            </w:r>
          </w:p>
        </w:tc>
        <w:tc>
          <w:tcPr>
            <w:tcW w:w="1240" w:type="dxa"/>
            <w:vAlign w:val="bottom"/>
          </w:tcPr>
          <w:p>
            <w:pPr>
              <w:jc w:val="right"/>
              <w:ind w:right="486"/>
              <w:spacing w:after="0"/>
              <w:rPr>
                <w:sz w:val="20"/>
                <w:szCs w:val="20"/>
                <w:color w:val="auto"/>
              </w:rPr>
            </w:pPr>
            <w:r>
              <w:rPr>
                <w:rFonts w:ascii="Arial" w:cs="Arial" w:eastAsia="Arial" w:hAnsi="Arial"/>
                <w:sz w:val="15"/>
                <w:szCs w:val="15"/>
                <w:color w:val="auto"/>
              </w:rPr>
              <w:t>-</w:t>
            </w:r>
          </w:p>
        </w:tc>
      </w:tr>
      <w:tr>
        <w:trPr>
          <w:trHeight w:val="190"/>
        </w:trPr>
        <w:tc>
          <w:tcPr>
            <w:tcW w:w="110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553</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5,099</w:t>
            </w:r>
          </w:p>
        </w:tc>
        <w:tc>
          <w:tcPr>
            <w:tcW w:w="124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rPr>
              <w:t>-</w:t>
            </w:r>
          </w:p>
        </w:tc>
      </w:tr>
      <w:tr>
        <w:trPr>
          <w:trHeight w:val="179"/>
        </w:trPr>
        <w:tc>
          <w:tcPr>
            <w:tcW w:w="110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1,172</w:t>
            </w:r>
          </w:p>
        </w:tc>
        <w:tc>
          <w:tcPr>
            <w:tcW w:w="10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964</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9,280</w:t>
            </w:r>
          </w:p>
        </w:tc>
        <w:tc>
          <w:tcPr>
            <w:tcW w:w="124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rPr>
              <w:t>-</w:t>
            </w:r>
          </w:p>
        </w:tc>
      </w:tr>
      <w:tr>
        <w:trPr>
          <w:trHeight w:val="357"/>
        </w:trPr>
        <w:tc>
          <w:tcPr>
            <w:tcW w:w="110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4,110</w:t>
            </w:r>
          </w:p>
        </w:tc>
        <w:tc>
          <w:tcPr>
            <w:tcW w:w="10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1,767</w:t>
            </w:r>
          </w:p>
        </w:tc>
        <w:tc>
          <w:tcPr>
            <w:tcW w:w="9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2,092</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3,711</w:t>
            </w:r>
          </w:p>
        </w:tc>
        <w:tc>
          <w:tcPr>
            <w:tcW w:w="10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11,676</w:t>
            </w:r>
          </w:p>
        </w:tc>
        <w:tc>
          <w:tcPr>
            <w:tcW w:w="124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rPr>
              <w:t>969</w:t>
            </w:r>
          </w:p>
        </w:tc>
      </w:tr>
    </w:tbl>
    <w:p>
      <w:pPr>
        <w:spacing w:after="0" w:line="196" w:lineRule="exact"/>
        <w:rPr>
          <w:sz w:val="20"/>
          <w:szCs w:val="20"/>
          <w:color w:val="auto"/>
        </w:rPr>
      </w:pPr>
    </w:p>
    <w:p>
      <w:pPr>
        <w:sectPr>
          <w:pgSz w:w="11900" w:h="16838" w:orient="portrait"/>
          <w:cols w:equalWidth="0" w:num="2">
            <w:col w:w="3780" w:space="720"/>
            <w:col w:w="6440"/>
          </w:cols>
          <w:pgMar w:left="820" w:top="613" w:right="139" w:bottom="1440" w:gutter="0" w:footer="0" w:header="0"/>
          <w:type w:val="continuous"/>
        </w:sectPr>
      </w:pPr>
    </w:p>
    <w:p>
      <w:pPr>
        <w:jc w:val="center"/>
        <w:ind w:left="1140"/>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494665</wp:posOffset>
            </wp:positionV>
            <wp:extent cx="7279640" cy="20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613" w:right="13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168"/>
        </w:trPr>
        <w:tc>
          <w:tcPr>
            <w:tcW w:w="3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4"/>
              </w:rPr>
              <w:t>Canada/</w:t>
            </w: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040" w:type="dxa"/>
            <w:vAlign w:val="bottom"/>
            <w:vMerge w:val="restart"/>
          </w:tcPr>
          <w:p>
            <w:pPr>
              <w:spacing w:after="0"/>
              <w:rPr>
                <w:sz w:val="20"/>
                <w:szCs w:val="20"/>
                <w:color w:val="auto"/>
              </w:rPr>
            </w:pPr>
            <w:r>
              <w:rPr>
                <w:rFonts w:ascii="Arial" w:cs="Arial" w:eastAsia="Arial" w:hAnsi="Arial"/>
                <w:sz w:val="15"/>
                <w:szCs w:val="15"/>
                <w:b w:val="1"/>
                <w:bCs w:val="1"/>
                <w:color w:val="auto"/>
              </w:rPr>
              <w:t>Results of Operations</w:t>
            </w:r>
          </w:p>
        </w:tc>
        <w:tc>
          <w:tcPr>
            <w:tcW w:w="2360" w:type="dxa"/>
            <w:vAlign w:val="bottom"/>
          </w:tcPr>
          <w:p>
            <w:pPr>
              <w:jc w:val="center"/>
              <w:ind w:left="1275"/>
              <w:spacing w:after="0"/>
              <w:rPr>
                <w:sz w:val="20"/>
                <w:szCs w:val="20"/>
                <w:color w:val="auto"/>
              </w:rPr>
            </w:pPr>
            <w:r>
              <w:rPr>
                <w:rFonts w:ascii="Arial" w:cs="Arial" w:eastAsia="Arial" w:hAnsi="Arial"/>
                <w:sz w:val="13"/>
                <w:szCs w:val="13"/>
                <w:b w:val="1"/>
                <w:bCs w:val="1"/>
                <w:color w:val="auto"/>
                <w:w w:val="93"/>
              </w:rPr>
              <w:t>United</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6"/>
              </w:rPr>
              <w:t>South</w:t>
            </w:r>
          </w:p>
        </w:tc>
        <w:tc>
          <w:tcPr>
            <w:tcW w:w="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00" w:type="dxa"/>
            <w:vAlign w:val="bottom"/>
          </w:tcPr>
          <w:p>
            <w:pPr>
              <w:jc w:val="center"/>
              <w:ind w:right="275"/>
              <w:spacing w:after="0"/>
              <w:rPr>
                <w:sz w:val="20"/>
                <w:szCs w:val="20"/>
                <w:color w:val="auto"/>
              </w:rPr>
            </w:pPr>
            <w:r>
              <w:rPr>
                <w:rFonts w:ascii="Arial" w:cs="Arial" w:eastAsia="Arial" w:hAnsi="Arial"/>
                <w:sz w:val="13"/>
                <w:szCs w:val="13"/>
                <w:b w:val="1"/>
                <w:bCs w:val="1"/>
                <w:color w:val="auto"/>
                <w:w w:val="94"/>
              </w:rPr>
              <w:t>Australia/</w:t>
            </w:r>
          </w:p>
        </w:tc>
        <w:tc>
          <w:tcPr>
            <w:tcW w:w="0" w:type="dxa"/>
            <w:vAlign w:val="bottom"/>
          </w:tcPr>
          <w:p>
            <w:pPr>
              <w:spacing w:after="0"/>
              <w:rPr>
                <w:sz w:val="1"/>
                <w:szCs w:val="1"/>
                <w:color w:val="auto"/>
              </w:rPr>
            </w:pPr>
          </w:p>
        </w:tc>
      </w:tr>
      <w:tr>
        <w:trPr>
          <w:trHeight w:val="192"/>
        </w:trPr>
        <w:tc>
          <w:tcPr>
            <w:tcW w:w="3040" w:type="dxa"/>
            <w:vAlign w:val="bottom"/>
            <w:tcBorders>
              <w:bottom w:val="single" w:sz="8" w:color="auto"/>
            </w:tcBorders>
            <w:vMerge w:val="continue"/>
          </w:tcPr>
          <w:p>
            <w:pPr>
              <w:spacing w:after="0"/>
              <w:rPr>
                <w:sz w:val="16"/>
                <w:szCs w:val="16"/>
                <w:color w:val="auto"/>
              </w:rPr>
            </w:pPr>
          </w:p>
        </w:tc>
        <w:tc>
          <w:tcPr>
            <w:tcW w:w="2360" w:type="dxa"/>
            <w:vAlign w:val="bottom"/>
            <w:tcBorders>
              <w:bottom w:val="single" w:sz="8" w:color="auto"/>
            </w:tcBorders>
          </w:tcPr>
          <w:p>
            <w:pPr>
              <w:jc w:val="center"/>
              <w:ind w:left="1275"/>
              <w:spacing w:after="0"/>
              <w:rPr>
                <w:sz w:val="20"/>
                <w:szCs w:val="20"/>
                <w:color w:val="auto"/>
              </w:rPr>
            </w:pPr>
            <w:r>
              <w:rPr>
                <w:rFonts w:ascii="Arial" w:cs="Arial" w:eastAsia="Arial" w:hAnsi="Arial"/>
                <w:sz w:val="13"/>
                <w:szCs w:val="13"/>
                <w:b w:val="1"/>
                <w:bCs w:val="1"/>
                <w:color w:val="auto"/>
                <w:w w:val="87"/>
              </w:rPr>
              <w:t>States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America</w:t>
            </w: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Europe</w:t>
            </w:r>
          </w:p>
        </w:tc>
        <w:tc>
          <w:tcPr>
            <w:tcW w:w="1380" w:type="dxa"/>
            <w:vAlign w:val="bottom"/>
            <w:tcBorders>
              <w:bottom w:val="single" w:sz="8" w:color="auto"/>
            </w:tcBorders>
          </w:tcPr>
          <w:p>
            <w:pPr>
              <w:ind w:left="520"/>
              <w:spacing w:after="0"/>
              <w:rPr>
                <w:sz w:val="20"/>
                <w:szCs w:val="20"/>
                <w:color w:val="auto"/>
              </w:rPr>
            </w:pPr>
            <w:r>
              <w:rPr>
                <w:rFonts w:ascii="Arial" w:cs="Arial" w:eastAsia="Arial" w:hAnsi="Arial"/>
                <w:sz w:val="13"/>
                <w:szCs w:val="13"/>
                <w:b w:val="1"/>
                <w:bCs w:val="1"/>
                <w:color w:val="auto"/>
              </w:rPr>
              <w:t>Africa</w:t>
            </w: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Asia</w:t>
            </w:r>
          </w:p>
        </w:tc>
        <w:tc>
          <w:tcPr>
            <w:tcW w:w="1500" w:type="dxa"/>
            <w:vAlign w:val="bottom"/>
            <w:tcBorders>
              <w:bottom w:val="single" w:sz="8" w:color="auto"/>
            </w:tcBorders>
          </w:tcPr>
          <w:p>
            <w:pPr>
              <w:jc w:val="center"/>
              <w:ind w:right="255"/>
              <w:spacing w:after="0"/>
              <w:rPr>
                <w:sz w:val="20"/>
                <w:szCs w:val="20"/>
                <w:color w:val="auto"/>
              </w:rPr>
            </w:pPr>
            <w:r>
              <w:rPr>
                <w:rFonts w:ascii="Arial" w:cs="Arial" w:eastAsia="Arial" w:hAnsi="Arial"/>
                <w:sz w:val="13"/>
                <w:szCs w:val="13"/>
                <w:b w:val="1"/>
                <w:bCs w:val="1"/>
                <w:color w:val="auto"/>
                <w:w w:val="90"/>
              </w:rPr>
              <w:t>Oceania</w:t>
            </w:r>
          </w:p>
        </w:tc>
        <w:tc>
          <w:tcPr>
            <w:tcW w:w="0" w:type="dxa"/>
            <w:vAlign w:val="bottom"/>
          </w:tcPr>
          <w:p>
            <w:pPr>
              <w:spacing w:after="0"/>
              <w:rPr>
                <w:sz w:val="1"/>
                <w:szCs w:val="1"/>
                <w:color w:val="auto"/>
              </w:rPr>
            </w:pPr>
          </w:p>
        </w:tc>
      </w:tr>
      <w:tr>
        <w:trPr>
          <w:trHeight w:val="168"/>
        </w:trPr>
        <w:tc>
          <w:tcPr>
            <w:tcW w:w="3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Arial" w:cs="Arial" w:eastAsia="Arial" w:hAnsi="Arial"/>
                <w:sz w:val="13"/>
                <w:szCs w:val="13"/>
                <w:i w:val="1"/>
                <w:iCs w:val="1"/>
                <w:color w:val="auto"/>
              </w:rPr>
              <w:t>(millions of dollars)</w:t>
            </w:r>
          </w:p>
        </w:tc>
        <w:tc>
          <w:tcPr>
            <w:tcW w:w="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40"/>
          </w:cols>
          <w:pgMar w:left="820" w:top="1087" w:right="139" w:bottom="1440" w:gutter="0" w:footer="0" w:header="0"/>
        </w:sectPr>
      </w:pPr>
    </w:p>
    <w:p>
      <w:pPr>
        <w:spacing w:after="0"/>
        <w:rPr>
          <w:sz w:val="20"/>
          <w:szCs w:val="20"/>
          <w:color w:val="auto"/>
        </w:rPr>
      </w:pPr>
      <w:r>
        <w:rPr>
          <w:rFonts w:ascii="Arial" w:cs="Arial" w:eastAsia="Arial" w:hAnsi="Arial"/>
          <w:sz w:val="15"/>
          <w:szCs w:val="15"/>
          <w:b w:val="1"/>
          <w:bCs w:val="1"/>
          <w:color w:val="auto"/>
        </w:rPr>
        <w:t>Consolidated Subsidiaries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2013 - Revenue</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Sales to third parties</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Transfers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Production costs excluding taxes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Exploration expenses</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Depreciation and depletion</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Taxes other than income</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Related income tax</w:t>
      </w:r>
    </w:p>
    <w:p>
      <w:pPr>
        <w:spacing w:after="0" w:line="11" w:lineRule="exact"/>
        <w:rPr>
          <w:sz w:val="20"/>
          <w:szCs w:val="20"/>
          <w:color w:val="auto"/>
        </w:rPr>
      </w:pPr>
    </w:p>
    <w:p>
      <w:pPr>
        <w:ind w:left="360" w:right="760" w:hanging="121"/>
        <w:spacing w:after="0" w:line="288" w:lineRule="auto"/>
        <w:rPr>
          <w:sz w:val="20"/>
          <w:szCs w:val="20"/>
          <w:color w:val="auto"/>
        </w:rPr>
      </w:pPr>
      <w:r>
        <w:rPr>
          <w:rFonts w:ascii="Arial" w:cs="Arial" w:eastAsia="Arial" w:hAnsi="Arial"/>
          <w:sz w:val="15"/>
          <w:szCs w:val="15"/>
          <w:color w:val="auto"/>
        </w:rPr>
        <w:t>Results of producing activities for consolidated subsidiaries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Companies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2013 - Revenue</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Sales to third parties</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Transfers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Production costs excluding taxes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Exploration expenses</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Depreciation and depletion</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Taxes other than income</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Related income tax</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Results of producing activities for equity companies</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Total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2012 - Revenue</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Sales to third parties</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Transfers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Production costs excluding taxes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Exploration expenses</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Depreciation and depletion</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Taxes other than income</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Related income tax</w:t>
      </w:r>
    </w:p>
    <w:p>
      <w:pPr>
        <w:spacing w:after="0" w:line="11" w:lineRule="exact"/>
        <w:rPr>
          <w:sz w:val="20"/>
          <w:szCs w:val="20"/>
          <w:color w:val="auto"/>
        </w:rPr>
      </w:pPr>
    </w:p>
    <w:p>
      <w:pPr>
        <w:ind w:left="360" w:right="760" w:hanging="121"/>
        <w:spacing w:after="0" w:line="288" w:lineRule="auto"/>
        <w:rPr>
          <w:sz w:val="20"/>
          <w:szCs w:val="20"/>
          <w:color w:val="auto"/>
        </w:rPr>
      </w:pPr>
      <w:r>
        <w:rPr>
          <w:rFonts w:ascii="Arial" w:cs="Arial" w:eastAsia="Arial" w:hAnsi="Arial"/>
          <w:sz w:val="15"/>
          <w:szCs w:val="15"/>
          <w:color w:val="auto"/>
        </w:rPr>
        <w:t>Results of producing activities for consolidated subsidiaries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Companies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2012 - Revenue</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Sales to third parties</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Transfers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Production costs excluding taxes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Exploration expenses</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Depreciation and depletion</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Taxes other than income</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Related income tax</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Results of producing activities for equity companies</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Total results of operations</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8,371</w:t>
            </w:r>
          </w:p>
        </w:tc>
        <w:tc>
          <w:tcPr>
            <w:tcW w:w="1000" w:type="dxa"/>
            <w:vAlign w:val="bottom"/>
          </w:tcPr>
          <w:p>
            <w:pPr>
              <w:jc w:val="right"/>
              <w:ind w:right="226"/>
              <w:spacing w:after="0"/>
              <w:rPr>
                <w:sz w:val="20"/>
                <w:szCs w:val="20"/>
                <w:color w:val="auto"/>
              </w:rPr>
            </w:pPr>
            <w:r>
              <w:rPr>
                <w:rFonts w:ascii="Arial" w:cs="Arial" w:eastAsia="Arial" w:hAnsi="Arial"/>
                <w:sz w:val="15"/>
                <w:szCs w:val="15"/>
                <w:color w:val="auto"/>
              </w:rPr>
              <w:t>2,252</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5,649</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3,079</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5,427</w:t>
            </w:r>
          </w:p>
        </w:tc>
        <w:tc>
          <w:tcPr>
            <w:tcW w:w="1240" w:type="dxa"/>
            <w:vAlign w:val="bottom"/>
          </w:tcPr>
          <w:p>
            <w:pPr>
              <w:jc w:val="right"/>
              <w:ind w:right="486"/>
              <w:spacing w:after="0"/>
              <w:rPr>
                <w:sz w:val="20"/>
                <w:szCs w:val="20"/>
                <w:color w:val="auto"/>
              </w:rPr>
            </w:pPr>
            <w:r>
              <w:rPr>
                <w:rFonts w:ascii="Arial" w:cs="Arial" w:eastAsia="Arial" w:hAnsi="Arial"/>
                <w:sz w:val="15"/>
                <w:szCs w:val="15"/>
                <w:color w:val="auto"/>
              </w:rPr>
              <w:t>730</w:t>
            </w:r>
          </w:p>
        </w:tc>
      </w:tr>
      <w:tr>
        <w:trPr>
          <w:trHeight w:val="190"/>
        </w:trPr>
        <w:tc>
          <w:tcPr>
            <w:tcW w:w="110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6,505</w:t>
            </w:r>
          </w:p>
        </w:tc>
        <w:tc>
          <w:tcPr>
            <w:tcW w:w="100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5,666</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5,654</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15,738</w:t>
            </w:r>
          </w:p>
        </w:tc>
        <w:tc>
          <w:tcPr>
            <w:tcW w:w="10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8,936</w:t>
            </w:r>
          </w:p>
        </w:tc>
        <w:tc>
          <w:tcPr>
            <w:tcW w:w="124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rPr>
              <w:t>1,405</w:t>
            </w:r>
          </w:p>
        </w:tc>
      </w:tr>
      <w:tr>
        <w:trPr>
          <w:trHeight w:val="170"/>
        </w:trPr>
        <w:tc>
          <w:tcPr>
            <w:tcW w:w="1100" w:type="dxa"/>
            <w:vAlign w:val="bottom"/>
          </w:tcPr>
          <w:p>
            <w:pPr>
              <w:jc w:val="right"/>
              <w:ind w:right="266"/>
              <w:spacing w:after="0" w:line="170" w:lineRule="exact"/>
              <w:rPr>
                <w:sz w:val="20"/>
                <w:szCs w:val="20"/>
                <w:color w:val="auto"/>
              </w:rPr>
            </w:pPr>
            <w:r>
              <w:rPr>
                <w:rFonts w:ascii="Arial" w:cs="Arial" w:eastAsia="Arial" w:hAnsi="Arial"/>
                <w:sz w:val="15"/>
                <w:szCs w:val="15"/>
                <w:color w:val="auto"/>
              </w:rPr>
              <w:t>14,876</w:t>
            </w:r>
          </w:p>
        </w:tc>
        <w:tc>
          <w:tcPr>
            <w:tcW w:w="1000" w:type="dxa"/>
            <w:vAlign w:val="bottom"/>
          </w:tcPr>
          <w:p>
            <w:pPr>
              <w:jc w:val="right"/>
              <w:ind w:right="226"/>
              <w:spacing w:after="0" w:line="170" w:lineRule="exact"/>
              <w:rPr>
                <w:sz w:val="20"/>
                <w:szCs w:val="20"/>
                <w:color w:val="auto"/>
              </w:rPr>
            </w:pPr>
            <w:r>
              <w:rPr>
                <w:rFonts w:ascii="Arial" w:cs="Arial" w:eastAsia="Arial" w:hAnsi="Arial"/>
                <w:sz w:val="15"/>
                <w:szCs w:val="15"/>
                <w:color w:val="auto"/>
              </w:rPr>
              <w:t>7,918</w:t>
            </w:r>
          </w:p>
        </w:tc>
        <w:tc>
          <w:tcPr>
            <w:tcW w:w="1020" w:type="dxa"/>
            <w:vAlign w:val="bottom"/>
          </w:tcPr>
          <w:p>
            <w:pPr>
              <w:jc w:val="right"/>
              <w:ind w:right="226"/>
              <w:spacing w:after="0" w:line="170" w:lineRule="exact"/>
              <w:rPr>
                <w:sz w:val="20"/>
                <w:szCs w:val="20"/>
                <w:color w:val="auto"/>
              </w:rPr>
            </w:pPr>
            <w:r>
              <w:rPr>
                <w:rFonts w:ascii="Arial" w:cs="Arial" w:eastAsia="Arial" w:hAnsi="Arial"/>
                <w:sz w:val="15"/>
                <w:szCs w:val="15"/>
                <w:color w:val="auto"/>
              </w:rPr>
              <w:t>11,303</w:t>
            </w:r>
          </w:p>
        </w:tc>
        <w:tc>
          <w:tcPr>
            <w:tcW w:w="1020" w:type="dxa"/>
            <w:vAlign w:val="bottom"/>
          </w:tcPr>
          <w:p>
            <w:pPr>
              <w:jc w:val="right"/>
              <w:ind w:right="226"/>
              <w:spacing w:after="0" w:line="170" w:lineRule="exact"/>
              <w:rPr>
                <w:sz w:val="20"/>
                <w:szCs w:val="20"/>
                <w:color w:val="auto"/>
              </w:rPr>
            </w:pPr>
            <w:r>
              <w:rPr>
                <w:rFonts w:ascii="Arial" w:cs="Arial" w:eastAsia="Arial" w:hAnsi="Arial"/>
                <w:sz w:val="15"/>
                <w:szCs w:val="15"/>
                <w:color w:val="auto"/>
              </w:rPr>
              <w:t>18,817</w:t>
            </w:r>
          </w:p>
        </w:tc>
        <w:tc>
          <w:tcPr>
            <w:tcW w:w="1060" w:type="dxa"/>
            <w:vAlign w:val="bottom"/>
          </w:tcPr>
          <w:p>
            <w:pPr>
              <w:jc w:val="right"/>
              <w:ind w:right="266"/>
              <w:spacing w:after="0" w:line="170" w:lineRule="exact"/>
              <w:rPr>
                <w:sz w:val="20"/>
                <w:szCs w:val="20"/>
                <w:color w:val="auto"/>
              </w:rPr>
            </w:pPr>
            <w:r>
              <w:rPr>
                <w:rFonts w:ascii="Arial" w:cs="Arial" w:eastAsia="Arial" w:hAnsi="Arial"/>
                <w:sz w:val="15"/>
                <w:szCs w:val="15"/>
                <w:color w:val="auto"/>
              </w:rPr>
              <w:t>14,363</w:t>
            </w:r>
          </w:p>
        </w:tc>
        <w:tc>
          <w:tcPr>
            <w:tcW w:w="1240" w:type="dxa"/>
            <w:vAlign w:val="bottom"/>
          </w:tcPr>
          <w:p>
            <w:pPr>
              <w:jc w:val="right"/>
              <w:ind w:right="486"/>
              <w:spacing w:after="0" w:line="170" w:lineRule="exact"/>
              <w:rPr>
                <w:sz w:val="20"/>
                <w:szCs w:val="20"/>
                <w:color w:val="auto"/>
              </w:rPr>
            </w:pPr>
            <w:r>
              <w:rPr>
                <w:rFonts w:ascii="Arial" w:cs="Arial" w:eastAsia="Arial" w:hAnsi="Arial"/>
                <w:sz w:val="15"/>
                <w:szCs w:val="15"/>
                <w:color w:val="auto"/>
              </w:rPr>
              <w:t>2,135</w:t>
            </w:r>
          </w:p>
        </w:tc>
      </w:tr>
      <w:tr>
        <w:trPr>
          <w:trHeight w:val="184"/>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4,191</w:t>
            </w:r>
          </w:p>
        </w:tc>
        <w:tc>
          <w:tcPr>
            <w:tcW w:w="1000" w:type="dxa"/>
            <w:vAlign w:val="bottom"/>
          </w:tcPr>
          <w:p>
            <w:pPr>
              <w:jc w:val="right"/>
              <w:ind w:right="226"/>
              <w:spacing w:after="0"/>
              <w:rPr>
                <w:sz w:val="20"/>
                <w:szCs w:val="20"/>
                <w:color w:val="auto"/>
              </w:rPr>
            </w:pPr>
            <w:r>
              <w:rPr>
                <w:rFonts w:ascii="Arial" w:cs="Arial" w:eastAsia="Arial" w:hAnsi="Arial"/>
                <w:sz w:val="15"/>
                <w:szCs w:val="15"/>
                <w:color w:val="auto"/>
              </w:rPr>
              <w:t>3,965</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2,859</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2,396</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1,763</w:t>
            </w:r>
          </w:p>
        </w:tc>
        <w:tc>
          <w:tcPr>
            <w:tcW w:w="1240" w:type="dxa"/>
            <w:vAlign w:val="bottom"/>
          </w:tcPr>
          <w:p>
            <w:pPr>
              <w:jc w:val="right"/>
              <w:ind w:right="486"/>
              <w:spacing w:after="0"/>
              <w:rPr>
                <w:sz w:val="20"/>
                <w:szCs w:val="20"/>
                <w:color w:val="auto"/>
              </w:rPr>
            </w:pPr>
            <w:r>
              <w:rPr>
                <w:rFonts w:ascii="Arial" w:cs="Arial" w:eastAsia="Arial" w:hAnsi="Arial"/>
                <w:sz w:val="15"/>
                <w:szCs w:val="15"/>
                <w:color w:val="auto"/>
              </w:rPr>
              <w:t>654</w:t>
            </w:r>
          </w:p>
        </w:tc>
      </w:tr>
      <w:tr>
        <w:trPr>
          <w:trHeight w:val="184"/>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394</w:t>
            </w:r>
          </w:p>
        </w:tc>
        <w:tc>
          <w:tcPr>
            <w:tcW w:w="1000" w:type="dxa"/>
            <w:vAlign w:val="bottom"/>
          </w:tcPr>
          <w:p>
            <w:pPr>
              <w:jc w:val="right"/>
              <w:ind w:right="226"/>
              <w:spacing w:after="0"/>
              <w:rPr>
                <w:sz w:val="20"/>
                <w:szCs w:val="20"/>
                <w:color w:val="auto"/>
              </w:rPr>
            </w:pPr>
            <w:r>
              <w:rPr>
                <w:rFonts w:ascii="Arial" w:cs="Arial" w:eastAsia="Arial" w:hAnsi="Arial"/>
                <w:sz w:val="15"/>
                <w:szCs w:val="15"/>
                <w:color w:val="auto"/>
              </w:rPr>
              <w:t>386</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245</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288</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571</w:t>
            </w:r>
          </w:p>
        </w:tc>
        <w:tc>
          <w:tcPr>
            <w:tcW w:w="1240" w:type="dxa"/>
            <w:vAlign w:val="bottom"/>
          </w:tcPr>
          <w:p>
            <w:pPr>
              <w:jc w:val="right"/>
              <w:ind w:right="486"/>
              <w:spacing w:after="0"/>
              <w:rPr>
                <w:sz w:val="20"/>
                <w:szCs w:val="20"/>
                <w:color w:val="auto"/>
              </w:rPr>
            </w:pPr>
            <w:r>
              <w:rPr>
                <w:rFonts w:ascii="Arial" w:cs="Arial" w:eastAsia="Arial" w:hAnsi="Arial"/>
                <w:sz w:val="15"/>
                <w:szCs w:val="15"/>
                <w:color w:val="auto"/>
              </w:rPr>
              <w:t>92</w:t>
            </w:r>
          </w:p>
        </w:tc>
      </w:tr>
      <w:tr>
        <w:trPr>
          <w:trHeight w:val="184"/>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4,926</w:t>
            </w:r>
          </w:p>
        </w:tc>
        <w:tc>
          <w:tcPr>
            <w:tcW w:w="1000" w:type="dxa"/>
            <w:vAlign w:val="bottom"/>
          </w:tcPr>
          <w:p>
            <w:pPr>
              <w:jc w:val="right"/>
              <w:ind w:right="226"/>
              <w:spacing w:after="0"/>
              <w:rPr>
                <w:sz w:val="20"/>
                <w:szCs w:val="20"/>
                <w:color w:val="auto"/>
              </w:rPr>
            </w:pPr>
            <w:r>
              <w:rPr>
                <w:rFonts w:ascii="Arial" w:cs="Arial" w:eastAsia="Arial" w:hAnsi="Arial"/>
                <w:sz w:val="15"/>
                <w:szCs w:val="15"/>
                <w:color w:val="auto"/>
              </w:rPr>
              <w:t>989</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1,881</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3,269</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1,680</w:t>
            </w:r>
          </w:p>
        </w:tc>
        <w:tc>
          <w:tcPr>
            <w:tcW w:w="1240" w:type="dxa"/>
            <w:vAlign w:val="bottom"/>
          </w:tcPr>
          <w:p>
            <w:pPr>
              <w:jc w:val="right"/>
              <w:ind w:right="486"/>
              <w:spacing w:after="0"/>
              <w:rPr>
                <w:sz w:val="20"/>
                <w:szCs w:val="20"/>
                <w:color w:val="auto"/>
              </w:rPr>
            </w:pPr>
            <w:r>
              <w:rPr>
                <w:rFonts w:ascii="Arial" w:cs="Arial" w:eastAsia="Arial" w:hAnsi="Arial"/>
                <w:sz w:val="15"/>
                <w:szCs w:val="15"/>
                <w:color w:val="auto"/>
              </w:rPr>
              <w:t>334</w:t>
            </w:r>
          </w:p>
        </w:tc>
      </w:tr>
      <w:tr>
        <w:trPr>
          <w:trHeight w:val="184"/>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1,566</w:t>
            </w:r>
          </w:p>
        </w:tc>
        <w:tc>
          <w:tcPr>
            <w:tcW w:w="1000" w:type="dxa"/>
            <w:vAlign w:val="bottom"/>
          </w:tcPr>
          <w:p>
            <w:pPr>
              <w:jc w:val="right"/>
              <w:ind w:right="226"/>
              <w:spacing w:after="0"/>
              <w:rPr>
                <w:sz w:val="20"/>
                <w:szCs w:val="20"/>
                <w:color w:val="auto"/>
              </w:rPr>
            </w:pPr>
            <w:r>
              <w:rPr>
                <w:rFonts w:ascii="Arial" w:cs="Arial" w:eastAsia="Arial" w:hAnsi="Arial"/>
                <w:sz w:val="15"/>
                <w:szCs w:val="15"/>
                <w:color w:val="auto"/>
              </w:rPr>
              <w:t>94</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474</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1,583</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1,794</w:t>
            </w:r>
          </w:p>
        </w:tc>
        <w:tc>
          <w:tcPr>
            <w:tcW w:w="1240" w:type="dxa"/>
            <w:vAlign w:val="bottom"/>
          </w:tcPr>
          <w:p>
            <w:pPr>
              <w:jc w:val="right"/>
              <w:ind w:right="486"/>
              <w:spacing w:after="0"/>
              <w:rPr>
                <w:sz w:val="20"/>
                <w:szCs w:val="20"/>
                <w:color w:val="auto"/>
              </w:rPr>
            </w:pPr>
            <w:r>
              <w:rPr>
                <w:rFonts w:ascii="Arial" w:cs="Arial" w:eastAsia="Arial" w:hAnsi="Arial"/>
                <w:sz w:val="15"/>
                <w:szCs w:val="15"/>
                <w:color w:val="auto"/>
              </w:rPr>
              <w:t>427</w:t>
            </w:r>
          </w:p>
        </w:tc>
      </w:tr>
      <w:tr>
        <w:trPr>
          <w:trHeight w:val="190"/>
        </w:trPr>
        <w:tc>
          <w:tcPr>
            <w:tcW w:w="110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1,788</w:t>
            </w:r>
          </w:p>
        </w:tc>
        <w:tc>
          <w:tcPr>
            <w:tcW w:w="100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542</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4,124</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6,841</w:t>
            </w:r>
          </w:p>
        </w:tc>
        <w:tc>
          <w:tcPr>
            <w:tcW w:w="10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5,709</w:t>
            </w:r>
          </w:p>
        </w:tc>
        <w:tc>
          <w:tcPr>
            <w:tcW w:w="124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rPr>
              <w:t>202</w:t>
            </w:r>
          </w:p>
        </w:tc>
      </w:tr>
      <w:tr>
        <w:trPr>
          <w:trHeight w:val="360"/>
        </w:trPr>
        <w:tc>
          <w:tcPr>
            <w:tcW w:w="110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2,011</w:t>
            </w:r>
          </w:p>
        </w:tc>
        <w:tc>
          <w:tcPr>
            <w:tcW w:w="100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1,942</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1,720</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4,440</w:t>
            </w:r>
          </w:p>
        </w:tc>
        <w:tc>
          <w:tcPr>
            <w:tcW w:w="10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2,846</w:t>
            </w:r>
          </w:p>
        </w:tc>
        <w:tc>
          <w:tcPr>
            <w:tcW w:w="124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rPr>
              <w:t>426</w:t>
            </w:r>
          </w:p>
        </w:tc>
      </w:tr>
      <w:tr>
        <w:trPr>
          <w:trHeight w:val="722"/>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1,320</w:t>
            </w:r>
          </w:p>
        </w:tc>
        <w:tc>
          <w:tcPr>
            <w:tcW w:w="100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6,768</w:t>
            </w:r>
          </w:p>
        </w:tc>
        <w:tc>
          <w:tcPr>
            <w:tcW w:w="102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21,463</w:t>
            </w:r>
          </w:p>
        </w:tc>
        <w:tc>
          <w:tcPr>
            <w:tcW w:w="1240" w:type="dxa"/>
            <w:vAlign w:val="bottom"/>
          </w:tcPr>
          <w:p>
            <w:pPr>
              <w:jc w:val="right"/>
              <w:ind w:right="566"/>
              <w:spacing w:after="0"/>
              <w:rPr>
                <w:sz w:val="20"/>
                <w:szCs w:val="20"/>
                <w:color w:val="auto"/>
              </w:rPr>
            </w:pPr>
            <w:r>
              <w:rPr>
                <w:rFonts w:ascii="Arial" w:cs="Arial" w:eastAsia="Arial" w:hAnsi="Arial"/>
                <w:sz w:val="15"/>
                <w:szCs w:val="15"/>
                <w:color w:val="auto"/>
              </w:rPr>
              <w:t>-</w:t>
            </w:r>
          </w:p>
        </w:tc>
      </w:tr>
      <w:tr>
        <w:trPr>
          <w:trHeight w:val="190"/>
        </w:trPr>
        <w:tc>
          <w:tcPr>
            <w:tcW w:w="110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1,034</w:t>
            </w:r>
          </w:p>
        </w:tc>
        <w:tc>
          <w:tcPr>
            <w:tcW w:w="100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64</w:t>
            </w:r>
          </w:p>
        </w:tc>
        <w:tc>
          <w:tcPr>
            <w:tcW w:w="102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6,091</w:t>
            </w:r>
          </w:p>
        </w:tc>
        <w:tc>
          <w:tcPr>
            <w:tcW w:w="1240" w:type="dxa"/>
            <w:vAlign w:val="bottom"/>
            <w:tcBorders>
              <w:bottom w:val="single" w:sz="8" w:color="auto"/>
            </w:tcBorders>
          </w:tcPr>
          <w:p>
            <w:pPr>
              <w:jc w:val="right"/>
              <w:ind w:right="566"/>
              <w:spacing w:after="0"/>
              <w:rPr>
                <w:sz w:val="20"/>
                <w:szCs w:val="20"/>
                <w:color w:val="auto"/>
              </w:rPr>
            </w:pPr>
            <w:r>
              <w:rPr>
                <w:rFonts w:ascii="Arial" w:cs="Arial" w:eastAsia="Arial" w:hAnsi="Arial"/>
                <w:sz w:val="15"/>
                <w:szCs w:val="15"/>
                <w:color w:val="auto"/>
              </w:rPr>
              <w:t>-</w:t>
            </w:r>
          </w:p>
        </w:tc>
      </w:tr>
      <w:tr>
        <w:trPr>
          <w:trHeight w:val="170"/>
        </w:trPr>
        <w:tc>
          <w:tcPr>
            <w:tcW w:w="1100" w:type="dxa"/>
            <w:vAlign w:val="bottom"/>
          </w:tcPr>
          <w:p>
            <w:pPr>
              <w:jc w:val="right"/>
              <w:ind w:right="266"/>
              <w:spacing w:after="0" w:line="170" w:lineRule="exact"/>
              <w:rPr>
                <w:sz w:val="20"/>
                <w:szCs w:val="20"/>
                <w:color w:val="auto"/>
              </w:rPr>
            </w:pPr>
            <w:r>
              <w:rPr>
                <w:rFonts w:ascii="Arial" w:cs="Arial" w:eastAsia="Arial" w:hAnsi="Arial"/>
                <w:sz w:val="15"/>
                <w:szCs w:val="15"/>
                <w:color w:val="auto"/>
              </w:rPr>
              <w:t>2,354</w:t>
            </w:r>
          </w:p>
        </w:tc>
        <w:tc>
          <w:tcPr>
            <w:tcW w:w="1000" w:type="dxa"/>
            <w:vAlign w:val="bottom"/>
          </w:tcPr>
          <w:p>
            <w:pPr>
              <w:jc w:val="right"/>
              <w:ind w:right="306"/>
              <w:spacing w:after="0" w:line="170"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226"/>
              <w:spacing w:after="0" w:line="170" w:lineRule="exact"/>
              <w:rPr>
                <w:sz w:val="20"/>
                <w:szCs w:val="20"/>
                <w:color w:val="auto"/>
              </w:rPr>
            </w:pPr>
            <w:r>
              <w:rPr>
                <w:rFonts w:ascii="Arial" w:cs="Arial" w:eastAsia="Arial" w:hAnsi="Arial"/>
                <w:sz w:val="15"/>
                <w:szCs w:val="15"/>
                <w:color w:val="auto"/>
              </w:rPr>
              <w:t>6,832</w:t>
            </w:r>
          </w:p>
        </w:tc>
        <w:tc>
          <w:tcPr>
            <w:tcW w:w="1020" w:type="dxa"/>
            <w:vAlign w:val="bottom"/>
          </w:tcPr>
          <w:p>
            <w:pPr>
              <w:jc w:val="right"/>
              <w:ind w:right="306"/>
              <w:spacing w:after="0" w:line="170" w:lineRule="exact"/>
              <w:rPr>
                <w:sz w:val="20"/>
                <w:szCs w:val="20"/>
                <w:color w:val="auto"/>
              </w:rPr>
            </w:pPr>
            <w:r>
              <w:rPr>
                <w:rFonts w:ascii="Arial" w:cs="Arial" w:eastAsia="Arial" w:hAnsi="Arial"/>
                <w:sz w:val="15"/>
                <w:szCs w:val="15"/>
                <w:color w:val="auto"/>
              </w:rPr>
              <w:t>-</w:t>
            </w:r>
          </w:p>
        </w:tc>
        <w:tc>
          <w:tcPr>
            <w:tcW w:w="1060" w:type="dxa"/>
            <w:vAlign w:val="bottom"/>
          </w:tcPr>
          <w:p>
            <w:pPr>
              <w:jc w:val="right"/>
              <w:ind w:right="266"/>
              <w:spacing w:after="0" w:line="170" w:lineRule="exact"/>
              <w:rPr>
                <w:sz w:val="20"/>
                <w:szCs w:val="20"/>
                <w:color w:val="auto"/>
              </w:rPr>
            </w:pPr>
            <w:r>
              <w:rPr>
                <w:rFonts w:ascii="Arial" w:cs="Arial" w:eastAsia="Arial" w:hAnsi="Arial"/>
                <w:sz w:val="15"/>
                <w:szCs w:val="15"/>
                <w:color w:val="auto"/>
              </w:rPr>
              <w:t>27,554</w:t>
            </w:r>
          </w:p>
        </w:tc>
        <w:tc>
          <w:tcPr>
            <w:tcW w:w="1240" w:type="dxa"/>
            <w:vAlign w:val="bottom"/>
          </w:tcPr>
          <w:p>
            <w:pPr>
              <w:jc w:val="right"/>
              <w:ind w:right="566"/>
              <w:spacing w:after="0" w:line="170" w:lineRule="exact"/>
              <w:rPr>
                <w:sz w:val="20"/>
                <w:szCs w:val="20"/>
                <w:color w:val="auto"/>
              </w:rPr>
            </w:pPr>
            <w:r>
              <w:rPr>
                <w:rFonts w:ascii="Arial" w:cs="Arial" w:eastAsia="Arial" w:hAnsi="Arial"/>
                <w:sz w:val="15"/>
                <w:szCs w:val="15"/>
                <w:color w:val="auto"/>
              </w:rPr>
              <w:t>-</w:t>
            </w:r>
          </w:p>
        </w:tc>
      </w:tr>
      <w:tr>
        <w:trPr>
          <w:trHeight w:val="184"/>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551</w:t>
            </w:r>
          </w:p>
        </w:tc>
        <w:tc>
          <w:tcPr>
            <w:tcW w:w="100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459</w:t>
            </w:r>
          </w:p>
        </w:tc>
        <w:tc>
          <w:tcPr>
            <w:tcW w:w="102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660</w:t>
            </w:r>
          </w:p>
        </w:tc>
        <w:tc>
          <w:tcPr>
            <w:tcW w:w="1240" w:type="dxa"/>
            <w:vAlign w:val="bottom"/>
          </w:tcPr>
          <w:p>
            <w:pPr>
              <w:jc w:val="right"/>
              <w:ind w:right="566"/>
              <w:spacing w:after="0"/>
              <w:rPr>
                <w:sz w:val="20"/>
                <w:szCs w:val="20"/>
                <w:color w:val="auto"/>
              </w:rPr>
            </w:pPr>
            <w:r>
              <w:rPr>
                <w:rFonts w:ascii="Arial" w:cs="Arial" w:eastAsia="Arial" w:hAnsi="Arial"/>
                <w:sz w:val="15"/>
                <w:szCs w:val="15"/>
                <w:color w:val="auto"/>
              </w:rPr>
              <w:t>-</w:t>
            </w:r>
          </w:p>
        </w:tc>
      </w:tr>
      <w:tr>
        <w:trPr>
          <w:trHeight w:val="184"/>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19</w:t>
            </w:r>
          </w:p>
        </w:tc>
        <w:tc>
          <w:tcPr>
            <w:tcW w:w="100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15</w:t>
            </w:r>
          </w:p>
        </w:tc>
        <w:tc>
          <w:tcPr>
            <w:tcW w:w="102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426</w:t>
            </w:r>
          </w:p>
        </w:tc>
        <w:tc>
          <w:tcPr>
            <w:tcW w:w="1240" w:type="dxa"/>
            <w:vAlign w:val="bottom"/>
          </w:tcPr>
          <w:p>
            <w:pPr>
              <w:jc w:val="right"/>
              <w:ind w:right="566"/>
              <w:spacing w:after="0"/>
              <w:rPr>
                <w:sz w:val="20"/>
                <w:szCs w:val="20"/>
                <w:color w:val="auto"/>
              </w:rPr>
            </w:pPr>
            <w:r>
              <w:rPr>
                <w:rFonts w:ascii="Arial" w:cs="Arial" w:eastAsia="Arial" w:hAnsi="Arial"/>
                <w:sz w:val="15"/>
                <w:szCs w:val="15"/>
                <w:color w:val="auto"/>
              </w:rPr>
              <w:t>-</w:t>
            </w:r>
          </w:p>
        </w:tc>
      </w:tr>
      <w:tr>
        <w:trPr>
          <w:trHeight w:val="184"/>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207</w:t>
            </w:r>
          </w:p>
        </w:tc>
        <w:tc>
          <w:tcPr>
            <w:tcW w:w="100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169</w:t>
            </w:r>
          </w:p>
        </w:tc>
        <w:tc>
          <w:tcPr>
            <w:tcW w:w="102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955</w:t>
            </w:r>
          </w:p>
        </w:tc>
        <w:tc>
          <w:tcPr>
            <w:tcW w:w="1240" w:type="dxa"/>
            <w:vAlign w:val="bottom"/>
          </w:tcPr>
          <w:p>
            <w:pPr>
              <w:jc w:val="right"/>
              <w:ind w:right="566"/>
              <w:spacing w:after="0"/>
              <w:rPr>
                <w:sz w:val="20"/>
                <w:szCs w:val="20"/>
                <w:color w:val="auto"/>
              </w:rPr>
            </w:pPr>
            <w:r>
              <w:rPr>
                <w:rFonts w:ascii="Arial" w:cs="Arial" w:eastAsia="Arial" w:hAnsi="Arial"/>
                <w:sz w:val="15"/>
                <w:szCs w:val="15"/>
                <w:color w:val="auto"/>
              </w:rPr>
              <w:t>-</w:t>
            </w:r>
          </w:p>
        </w:tc>
      </w:tr>
      <w:tr>
        <w:trPr>
          <w:trHeight w:val="184"/>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51</w:t>
            </w:r>
          </w:p>
        </w:tc>
        <w:tc>
          <w:tcPr>
            <w:tcW w:w="100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3,992</w:t>
            </w:r>
          </w:p>
        </w:tc>
        <w:tc>
          <w:tcPr>
            <w:tcW w:w="102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7,352</w:t>
            </w:r>
          </w:p>
        </w:tc>
        <w:tc>
          <w:tcPr>
            <w:tcW w:w="1240" w:type="dxa"/>
            <w:vAlign w:val="bottom"/>
          </w:tcPr>
          <w:p>
            <w:pPr>
              <w:jc w:val="right"/>
              <w:ind w:right="566"/>
              <w:spacing w:after="0"/>
              <w:rPr>
                <w:sz w:val="20"/>
                <w:szCs w:val="20"/>
                <w:color w:val="auto"/>
              </w:rPr>
            </w:pPr>
            <w:r>
              <w:rPr>
                <w:rFonts w:ascii="Arial" w:cs="Arial" w:eastAsia="Arial" w:hAnsi="Arial"/>
                <w:sz w:val="15"/>
                <w:szCs w:val="15"/>
                <w:color w:val="auto"/>
              </w:rPr>
              <w:t>-</w:t>
            </w:r>
          </w:p>
        </w:tc>
      </w:tr>
      <w:tr>
        <w:trPr>
          <w:trHeight w:val="190"/>
        </w:trPr>
        <w:tc>
          <w:tcPr>
            <w:tcW w:w="110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832</w:t>
            </w:r>
          </w:p>
        </w:tc>
        <w:tc>
          <w:tcPr>
            <w:tcW w:w="102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8,482</w:t>
            </w:r>
          </w:p>
        </w:tc>
        <w:tc>
          <w:tcPr>
            <w:tcW w:w="1240" w:type="dxa"/>
            <w:vAlign w:val="bottom"/>
            <w:tcBorders>
              <w:bottom w:val="single" w:sz="8" w:color="auto"/>
            </w:tcBorders>
          </w:tcPr>
          <w:p>
            <w:pPr>
              <w:jc w:val="right"/>
              <w:ind w:right="566"/>
              <w:spacing w:after="0"/>
              <w:rPr>
                <w:sz w:val="20"/>
                <w:szCs w:val="20"/>
                <w:color w:val="auto"/>
              </w:rPr>
            </w:pPr>
            <w:r>
              <w:rPr>
                <w:rFonts w:ascii="Arial" w:cs="Arial" w:eastAsia="Arial" w:hAnsi="Arial"/>
                <w:sz w:val="15"/>
                <w:szCs w:val="15"/>
                <w:color w:val="auto"/>
              </w:rPr>
              <w:t>-</w:t>
            </w:r>
          </w:p>
        </w:tc>
      </w:tr>
      <w:tr>
        <w:trPr>
          <w:trHeight w:val="179"/>
        </w:trPr>
        <w:tc>
          <w:tcPr>
            <w:tcW w:w="110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1,526</w:t>
            </w:r>
          </w:p>
        </w:tc>
        <w:tc>
          <w:tcPr>
            <w:tcW w:w="100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1,365</w:t>
            </w:r>
          </w:p>
        </w:tc>
        <w:tc>
          <w:tcPr>
            <w:tcW w:w="102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9,679</w:t>
            </w:r>
          </w:p>
        </w:tc>
        <w:tc>
          <w:tcPr>
            <w:tcW w:w="1240" w:type="dxa"/>
            <w:vAlign w:val="bottom"/>
            <w:tcBorders>
              <w:bottom w:val="single" w:sz="8" w:color="auto"/>
            </w:tcBorders>
          </w:tcPr>
          <w:p>
            <w:pPr>
              <w:jc w:val="right"/>
              <w:ind w:right="566"/>
              <w:spacing w:after="0"/>
              <w:rPr>
                <w:sz w:val="20"/>
                <w:szCs w:val="20"/>
                <w:color w:val="auto"/>
              </w:rPr>
            </w:pPr>
            <w:r>
              <w:rPr>
                <w:rFonts w:ascii="Arial" w:cs="Arial" w:eastAsia="Arial" w:hAnsi="Arial"/>
                <w:sz w:val="15"/>
                <w:szCs w:val="15"/>
                <w:color w:val="auto"/>
              </w:rPr>
              <w:t>-</w:t>
            </w:r>
          </w:p>
        </w:tc>
      </w:tr>
      <w:tr>
        <w:trPr>
          <w:trHeight w:val="357"/>
        </w:trPr>
        <w:tc>
          <w:tcPr>
            <w:tcW w:w="110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3,537</w:t>
            </w:r>
          </w:p>
        </w:tc>
        <w:tc>
          <w:tcPr>
            <w:tcW w:w="100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1,942</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3,085</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4,440</w:t>
            </w:r>
          </w:p>
        </w:tc>
        <w:tc>
          <w:tcPr>
            <w:tcW w:w="10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12,525</w:t>
            </w:r>
          </w:p>
        </w:tc>
        <w:tc>
          <w:tcPr>
            <w:tcW w:w="124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rPr>
              <w:t>426</w:t>
            </w:r>
          </w:p>
        </w:tc>
      </w:tr>
      <w:tr>
        <w:trPr>
          <w:trHeight w:val="722"/>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6,977</w:t>
            </w:r>
          </w:p>
        </w:tc>
        <w:tc>
          <w:tcPr>
            <w:tcW w:w="1000" w:type="dxa"/>
            <w:vAlign w:val="bottom"/>
          </w:tcPr>
          <w:p>
            <w:pPr>
              <w:jc w:val="right"/>
              <w:ind w:right="226"/>
              <w:spacing w:after="0"/>
              <w:rPr>
                <w:sz w:val="20"/>
                <w:szCs w:val="20"/>
                <w:color w:val="auto"/>
              </w:rPr>
            </w:pPr>
            <w:r>
              <w:rPr>
                <w:rFonts w:ascii="Arial" w:cs="Arial" w:eastAsia="Arial" w:hAnsi="Arial"/>
                <w:sz w:val="15"/>
                <w:szCs w:val="15"/>
                <w:color w:val="auto"/>
              </w:rPr>
              <w:t>1,804</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5,835</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3,672</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6,536</w:t>
            </w:r>
          </w:p>
        </w:tc>
        <w:tc>
          <w:tcPr>
            <w:tcW w:w="1240" w:type="dxa"/>
            <w:vAlign w:val="bottom"/>
          </w:tcPr>
          <w:p>
            <w:pPr>
              <w:jc w:val="right"/>
              <w:ind w:right="486"/>
              <w:spacing w:after="0"/>
              <w:rPr>
                <w:sz w:val="20"/>
                <w:szCs w:val="20"/>
                <w:color w:val="auto"/>
              </w:rPr>
            </w:pPr>
            <w:r>
              <w:rPr>
                <w:rFonts w:ascii="Arial" w:cs="Arial" w:eastAsia="Arial" w:hAnsi="Arial"/>
                <w:sz w:val="15"/>
                <w:szCs w:val="15"/>
                <w:color w:val="auto"/>
              </w:rPr>
              <w:t>1,275</w:t>
            </w:r>
          </w:p>
        </w:tc>
      </w:tr>
      <w:tr>
        <w:trPr>
          <w:trHeight w:val="190"/>
        </w:trPr>
        <w:tc>
          <w:tcPr>
            <w:tcW w:w="110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6,996</w:t>
            </w:r>
          </w:p>
        </w:tc>
        <w:tc>
          <w:tcPr>
            <w:tcW w:w="100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5,457</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6,366</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16,905</w:t>
            </w:r>
          </w:p>
        </w:tc>
        <w:tc>
          <w:tcPr>
            <w:tcW w:w="10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9,241</w:t>
            </w:r>
          </w:p>
        </w:tc>
        <w:tc>
          <w:tcPr>
            <w:tcW w:w="124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rPr>
              <w:t>932</w:t>
            </w:r>
          </w:p>
        </w:tc>
      </w:tr>
      <w:tr>
        <w:trPr>
          <w:trHeight w:val="170"/>
        </w:trPr>
        <w:tc>
          <w:tcPr>
            <w:tcW w:w="1100" w:type="dxa"/>
            <w:vAlign w:val="bottom"/>
          </w:tcPr>
          <w:p>
            <w:pPr>
              <w:jc w:val="right"/>
              <w:ind w:right="266"/>
              <w:spacing w:after="0" w:line="170" w:lineRule="exact"/>
              <w:rPr>
                <w:sz w:val="20"/>
                <w:szCs w:val="20"/>
                <w:color w:val="auto"/>
              </w:rPr>
            </w:pPr>
            <w:r>
              <w:rPr>
                <w:rFonts w:ascii="Arial" w:cs="Arial" w:eastAsia="Arial" w:hAnsi="Arial"/>
                <w:sz w:val="15"/>
                <w:szCs w:val="15"/>
                <w:color w:val="auto"/>
              </w:rPr>
              <w:t>13,973</w:t>
            </w:r>
          </w:p>
        </w:tc>
        <w:tc>
          <w:tcPr>
            <w:tcW w:w="1000" w:type="dxa"/>
            <w:vAlign w:val="bottom"/>
          </w:tcPr>
          <w:p>
            <w:pPr>
              <w:jc w:val="right"/>
              <w:ind w:right="226"/>
              <w:spacing w:after="0" w:line="170" w:lineRule="exact"/>
              <w:rPr>
                <w:sz w:val="20"/>
                <w:szCs w:val="20"/>
                <w:color w:val="auto"/>
              </w:rPr>
            </w:pPr>
            <w:r>
              <w:rPr>
                <w:rFonts w:ascii="Arial" w:cs="Arial" w:eastAsia="Arial" w:hAnsi="Arial"/>
                <w:sz w:val="15"/>
                <w:szCs w:val="15"/>
                <w:color w:val="auto"/>
              </w:rPr>
              <w:t>7,261</w:t>
            </w:r>
          </w:p>
        </w:tc>
        <w:tc>
          <w:tcPr>
            <w:tcW w:w="1020" w:type="dxa"/>
            <w:vAlign w:val="bottom"/>
          </w:tcPr>
          <w:p>
            <w:pPr>
              <w:jc w:val="right"/>
              <w:ind w:right="226"/>
              <w:spacing w:after="0" w:line="170" w:lineRule="exact"/>
              <w:rPr>
                <w:sz w:val="20"/>
                <w:szCs w:val="20"/>
                <w:color w:val="auto"/>
              </w:rPr>
            </w:pPr>
            <w:r>
              <w:rPr>
                <w:rFonts w:ascii="Arial" w:cs="Arial" w:eastAsia="Arial" w:hAnsi="Arial"/>
                <w:sz w:val="15"/>
                <w:szCs w:val="15"/>
                <w:color w:val="auto"/>
              </w:rPr>
              <w:t>12,201</w:t>
            </w:r>
          </w:p>
        </w:tc>
        <w:tc>
          <w:tcPr>
            <w:tcW w:w="1020" w:type="dxa"/>
            <w:vAlign w:val="bottom"/>
          </w:tcPr>
          <w:p>
            <w:pPr>
              <w:jc w:val="right"/>
              <w:ind w:right="226"/>
              <w:spacing w:after="0" w:line="170" w:lineRule="exact"/>
              <w:rPr>
                <w:sz w:val="20"/>
                <w:szCs w:val="20"/>
                <w:color w:val="auto"/>
              </w:rPr>
            </w:pPr>
            <w:r>
              <w:rPr>
                <w:rFonts w:ascii="Arial" w:cs="Arial" w:eastAsia="Arial" w:hAnsi="Arial"/>
                <w:sz w:val="15"/>
                <w:szCs w:val="15"/>
                <w:color w:val="auto"/>
              </w:rPr>
              <w:t>20,577</w:t>
            </w:r>
          </w:p>
        </w:tc>
        <w:tc>
          <w:tcPr>
            <w:tcW w:w="1060" w:type="dxa"/>
            <w:vAlign w:val="bottom"/>
          </w:tcPr>
          <w:p>
            <w:pPr>
              <w:jc w:val="right"/>
              <w:ind w:right="266"/>
              <w:spacing w:after="0" w:line="170" w:lineRule="exact"/>
              <w:rPr>
                <w:sz w:val="20"/>
                <w:szCs w:val="20"/>
                <w:color w:val="auto"/>
              </w:rPr>
            </w:pPr>
            <w:r>
              <w:rPr>
                <w:rFonts w:ascii="Arial" w:cs="Arial" w:eastAsia="Arial" w:hAnsi="Arial"/>
                <w:sz w:val="15"/>
                <w:szCs w:val="15"/>
                <w:color w:val="auto"/>
              </w:rPr>
              <w:t>15,777</w:t>
            </w:r>
          </w:p>
        </w:tc>
        <w:tc>
          <w:tcPr>
            <w:tcW w:w="1240" w:type="dxa"/>
            <w:vAlign w:val="bottom"/>
          </w:tcPr>
          <w:p>
            <w:pPr>
              <w:jc w:val="right"/>
              <w:ind w:right="486"/>
              <w:spacing w:after="0" w:line="170" w:lineRule="exact"/>
              <w:rPr>
                <w:sz w:val="20"/>
                <w:szCs w:val="20"/>
                <w:color w:val="auto"/>
              </w:rPr>
            </w:pPr>
            <w:r>
              <w:rPr>
                <w:rFonts w:ascii="Arial" w:cs="Arial" w:eastAsia="Arial" w:hAnsi="Arial"/>
                <w:sz w:val="15"/>
                <w:szCs w:val="15"/>
                <w:color w:val="auto"/>
              </w:rPr>
              <w:t>2,207</w:t>
            </w:r>
          </w:p>
        </w:tc>
      </w:tr>
      <w:tr>
        <w:trPr>
          <w:trHeight w:val="184"/>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4,044</w:t>
            </w:r>
          </w:p>
        </w:tc>
        <w:tc>
          <w:tcPr>
            <w:tcW w:w="1000" w:type="dxa"/>
            <w:vAlign w:val="bottom"/>
          </w:tcPr>
          <w:p>
            <w:pPr>
              <w:jc w:val="right"/>
              <w:ind w:right="226"/>
              <w:spacing w:after="0"/>
              <w:rPr>
                <w:sz w:val="20"/>
                <w:szCs w:val="20"/>
                <w:color w:val="auto"/>
              </w:rPr>
            </w:pPr>
            <w:r>
              <w:rPr>
                <w:rFonts w:ascii="Arial" w:cs="Arial" w:eastAsia="Arial" w:hAnsi="Arial"/>
                <w:sz w:val="15"/>
                <w:szCs w:val="15"/>
                <w:color w:val="auto"/>
              </w:rPr>
              <w:t>3,079</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2,443</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2,395</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1,606</w:t>
            </w:r>
          </w:p>
        </w:tc>
        <w:tc>
          <w:tcPr>
            <w:tcW w:w="1240" w:type="dxa"/>
            <w:vAlign w:val="bottom"/>
          </w:tcPr>
          <w:p>
            <w:pPr>
              <w:jc w:val="right"/>
              <w:ind w:right="486"/>
              <w:spacing w:after="0"/>
              <w:rPr>
                <w:sz w:val="20"/>
                <w:szCs w:val="20"/>
                <w:color w:val="auto"/>
              </w:rPr>
            </w:pPr>
            <w:r>
              <w:rPr>
                <w:rFonts w:ascii="Arial" w:cs="Arial" w:eastAsia="Arial" w:hAnsi="Arial"/>
                <w:sz w:val="15"/>
                <w:szCs w:val="15"/>
                <w:color w:val="auto"/>
              </w:rPr>
              <w:t>488</w:t>
            </w:r>
          </w:p>
        </w:tc>
      </w:tr>
      <w:tr>
        <w:trPr>
          <w:trHeight w:val="184"/>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391</w:t>
            </w:r>
          </w:p>
        </w:tc>
        <w:tc>
          <w:tcPr>
            <w:tcW w:w="1000" w:type="dxa"/>
            <w:vAlign w:val="bottom"/>
          </w:tcPr>
          <w:p>
            <w:pPr>
              <w:jc w:val="right"/>
              <w:ind w:right="226"/>
              <w:spacing w:after="0"/>
              <w:rPr>
                <w:sz w:val="20"/>
                <w:szCs w:val="20"/>
                <w:color w:val="auto"/>
              </w:rPr>
            </w:pPr>
            <w:r>
              <w:rPr>
                <w:rFonts w:ascii="Arial" w:cs="Arial" w:eastAsia="Arial" w:hAnsi="Arial"/>
                <w:sz w:val="15"/>
                <w:szCs w:val="15"/>
                <w:color w:val="auto"/>
              </w:rPr>
              <w:t>292</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274</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234</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513</w:t>
            </w:r>
          </w:p>
        </w:tc>
        <w:tc>
          <w:tcPr>
            <w:tcW w:w="1240" w:type="dxa"/>
            <w:vAlign w:val="bottom"/>
          </w:tcPr>
          <w:p>
            <w:pPr>
              <w:jc w:val="right"/>
              <w:ind w:right="486"/>
              <w:spacing w:after="0"/>
              <w:rPr>
                <w:sz w:val="20"/>
                <w:szCs w:val="20"/>
                <w:color w:val="auto"/>
              </w:rPr>
            </w:pPr>
            <w:r>
              <w:rPr>
                <w:rFonts w:ascii="Arial" w:cs="Arial" w:eastAsia="Arial" w:hAnsi="Arial"/>
                <w:sz w:val="15"/>
                <w:szCs w:val="15"/>
                <w:color w:val="auto"/>
              </w:rPr>
              <w:t>136</w:t>
            </w:r>
          </w:p>
        </w:tc>
      </w:tr>
      <w:tr>
        <w:trPr>
          <w:trHeight w:val="184"/>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4,862</w:t>
            </w:r>
          </w:p>
        </w:tc>
        <w:tc>
          <w:tcPr>
            <w:tcW w:w="1000" w:type="dxa"/>
            <w:vAlign w:val="bottom"/>
          </w:tcPr>
          <w:p>
            <w:pPr>
              <w:jc w:val="right"/>
              <w:ind w:right="226"/>
              <w:spacing w:after="0"/>
              <w:rPr>
                <w:sz w:val="20"/>
                <w:szCs w:val="20"/>
                <w:color w:val="auto"/>
              </w:rPr>
            </w:pPr>
            <w:r>
              <w:rPr>
                <w:rFonts w:ascii="Arial" w:cs="Arial" w:eastAsia="Arial" w:hAnsi="Arial"/>
                <w:sz w:val="15"/>
                <w:szCs w:val="15"/>
                <w:color w:val="auto"/>
              </w:rPr>
              <w:t>848</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1,559</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2,879</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1,785</w:t>
            </w:r>
          </w:p>
        </w:tc>
        <w:tc>
          <w:tcPr>
            <w:tcW w:w="1240" w:type="dxa"/>
            <w:vAlign w:val="bottom"/>
          </w:tcPr>
          <w:p>
            <w:pPr>
              <w:jc w:val="right"/>
              <w:ind w:right="486"/>
              <w:spacing w:after="0"/>
              <w:rPr>
                <w:sz w:val="20"/>
                <w:szCs w:val="20"/>
                <w:color w:val="auto"/>
              </w:rPr>
            </w:pPr>
            <w:r>
              <w:rPr>
                <w:rFonts w:ascii="Arial" w:cs="Arial" w:eastAsia="Arial" w:hAnsi="Arial"/>
                <w:sz w:val="15"/>
                <w:szCs w:val="15"/>
                <w:color w:val="auto"/>
              </w:rPr>
              <w:t>264</w:t>
            </w:r>
          </w:p>
        </w:tc>
      </w:tr>
      <w:tr>
        <w:trPr>
          <w:trHeight w:val="184"/>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1,963</w:t>
            </w:r>
          </w:p>
        </w:tc>
        <w:tc>
          <w:tcPr>
            <w:tcW w:w="1000" w:type="dxa"/>
            <w:vAlign w:val="bottom"/>
          </w:tcPr>
          <w:p>
            <w:pPr>
              <w:jc w:val="right"/>
              <w:ind w:right="226"/>
              <w:spacing w:after="0"/>
              <w:rPr>
                <w:sz w:val="20"/>
                <w:szCs w:val="20"/>
                <w:color w:val="auto"/>
              </w:rPr>
            </w:pPr>
            <w:r>
              <w:rPr>
                <w:rFonts w:ascii="Arial" w:cs="Arial" w:eastAsia="Arial" w:hAnsi="Arial"/>
                <w:sz w:val="15"/>
                <w:szCs w:val="15"/>
                <w:color w:val="auto"/>
              </w:rPr>
              <w:t>89</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513</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1,702</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2,248</w:t>
            </w:r>
          </w:p>
        </w:tc>
        <w:tc>
          <w:tcPr>
            <w:tcW w:w="1240" w:type="dxa"/>
            <w:vAlign w:val="bottom"/>
          </w:tcPr>
          <w:p>
            <w:pPr>
              <w:jc w:val="right"/>
              <w:ind w:right="486"/>
              <w:spacing w:after="0"/>
              <w:rPr>
                <w:sz w:val="20"/>
                <w:szCs w:val="20"/>
                <w:color w:val="auto"/>
              </w:rPr>
            </w:pPr>
            <w:r>
              <w:rPr>
                <w:rFonts w:ascii="Arial" w:cs="Arial" w:eastAsia="Arial" w:hAnsi="Arial"/>
                <w:sz w:val="15"/>
                <w:szCs w:val="15"/>
                <w:color w:val="auto"/>
              </w:rPr>
              <w:t>446</w:t>
            </w:r>
          </w:p>
        </w:tc>
      </w:tr>
      <w:tr>
        <w:trPr>
          <w:trHeight w:val="190"/>
        </w:trPr>
        <w:tc>
          <w:tcPr>
            <w:tcW w:w="110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1,561</w:t>
            </w:r>
          </w:p>
        </w:tc>
        <w:tc>
          <w:tcPr>
            <w:tcW w:w="100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720</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5,413</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8,091</w:t>
            </w:r>
          </w:p>
        </w:tc>
        <w:tc>
          <w:tcPr>
            <w:tcW w:w="10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6,616</w:t>
            </w:r>
          </w:p>
        </w:tc>
        <w:tc>
          <w:tcPr>
            <w:tcW w:w="124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rPr>
              <w:t>281</w:t>
            </w:r>
          </w:p>
        </w:tc>
      </w:tr>
      <w:tr>
        <w:trPr>
          <w:trHeight w:val="360"/>
        </w:trPr>
        <w:tc>
          <w:tcPr>
            <w:tcW w:w="110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1,152</w:t>
            </w:r>
          </w:p>
        </w:tc>
        <w:tc>
          <w:tcPr>
            <w:tcW w:w="100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2,233</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1,999</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5,276</w:t>
            </w:r>
          </w:p>
        </w:tc>
        <w:tc>
          <w:tcPr>
            <w:tcW w:w="10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3,009</w:t>
            </w:r>
          </w:p>
        </w:tc>
        <w:tc>
          <w:tcPr>
            <w:tcW w:w="124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rPr>
              <w:t>592</w:t>
            </w:r>
          </w:p>
        </w:tc>
      </w:tr>
      <w:tr>
        <w:trPr>
          <w:trHeight w:val="722"/>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1,284</w:t>
            </w:r>
          </w:p>
        </w:tc>
        <w:tc>
          <w:tcPr>
            <w:tcW w:w="100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6,380</w:t>
            </w:r>
          </w:p>
        </w:tc>
        <w:tc>
          <w:tcPr>
            <w:tcW w:w="102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20,017</w:t>
            </w:r>
          </w:p>
        </w:tc>
        <w:tc>
          <w:tcPr>
            <w:tcW w:w="1240" w:type="dxa"/>
            <w:vAlign w:val="bottom"/>
          </w:tcPr>
          <w:p>
            <w:pPr>
              <w:jc w:val="right"/>
              <w:ind w:right="566"/>
              <w:spacing w:after="0"/>
              <w:rPr>
                <w:sz w:val="20"/>
                <w:szCs w:val="20"/>
                <w:color w:val="auto"/>
              </w:rPr>
            </w:pPr>
            <w:r>
              <w:rPr>
                <w:rFonts w:ascii="Arial" w:cs="Arial" w:eastAsia="Arial" w:hAnsi="Arial"/>
                <w:sz w:val="15"/>
                <w:szCs w:val="15"/>
                <w:color w:val="auto"/>
              </w:rPr>
              <w:t>-</w:t>
            </w:r>
          </w:p>
        </w:tc>
      </w:tr>
      <w:tr>
        <w:trPr>
          <w:trHeight w:val="190"/>
        </w:trPr>
        <w:tc>
          <w:tcPr>
            <w:tcW w:w="110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1,108</w:t>
            </w:r>
          </w:p>
        </w:tc>
        <w:tc>
          <w:tcPr>
            <w:tcW w:w="100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67</w:t>
            </w:r>
          </w:p>
        </w:tc>
        <w:tc>
          <w:tcPr>
            <w:tcW w:w="102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5,693</w:t>
            </w:r>
          </w:p>
        </w:tc>
        <w:tc>
          <w:tcPr>
            <w:tcW w:w="1240" w:type="dxa"/>
            <w:vAlign w:val="bottom"/>
            <w:tcBorders>
              <w:bottom w:val="single" w:sz="8" w:color="auto"/>
            </w:tcBorders>
          </w:tcPr>
          <w:p>
            <w:pPr>
              <w:jc w:val="right"/>
              <w:ind w:right="566"/>
              <w:spacing w:after="0"/>
              <w:rPr>
                <w:sz w:val="20"/>
                <w:szCs w:val="20"/>
                <w:color w:val="auto"/>
              </w:rPr>
            </w:pPr>
            <w:r>
              <w:rPr>
                <w:rFonts w:ascii="Arial" w:cs="Arial" w:eastAsia="Arial" w:hAnsi="Arial"/>
                <w:sz w:val="15"/>
                <w:szCs w:val="15"/>
                <w:color w:val="auto"/>
              </w:rPr>
              <w:t>-</w:t>
            </w:r>
          </w:p>
        </w:tc>
      </w:tr>
      <w:tr>
        <w:trPr>
          <w:trHeight w:val="170"/>
        </w:trPr>
        <w:tc>
          <w:tcPr>
            <w:tcW w:w="1100" w:type="dxa"/>
            <w:vAlign w:val="bottom"/>
          </w:tcPr>
          <w:p>
            <w:pPr>
              <w:jc w:val="right"/>
              <w:ind w:right="266"/>
              <w:spacing w:after="0" w:line="170" w:lineRule="exact"/>
              <w:rPr>
                <w:sz w:val="20"/>
                <w:szCs w:val="20"/>
                <w:color w:val="auto"/>
              </w:rPr>
            </w:pPr>
            <w:r>
              <w:rPr>
                <w:rFonts w:ascii="Arial" w:cs="Arial" w:eastAsia="Arial" w:hAnsi="Arial"/>
                <w:sz w:val="15"/>
                <w:szCs w:val="15"/>
                <w:color w:val="auto"/>
              </w:rPr>
              <w:t>2,392</w:t>
            </w:r>
          </w:p>
        </w:tc>
        <w:tc>
          <w:tcPr>
            <w:tcW w:w="1000" w:type="dxa"/>
            <w:vAlign w:val="bottom"/>
          </w:tcPr>
          <w:p>
            <w:pPr>
              <w:jc w:val="right"/>
              <w:ind w:right="306"/>
              <w:spacing w:after="0" w:line="170"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226"/>
              <w:spacing w:after="0" w:line="170" w:lineRule="exact"/>
              <w:rPr>
                <w:sz w:val="20"/>
                <w:szCs w:val="20"/>
                <w:color w:val="auto"/>
              </w:rPr>
            </w:pPr>
            <w:r>
              <w:rPr>
                <w:rFonts w:ascii="Arial" w:cs="Arial" w:eastAsia="Arial" w:hAnsi="Arial"/>
                <w:sz w:val="15"/>
                <w:szCs w:val="15"/>
                <w:color w:val="auto"/>
              </w:rPr>
              <w:t>6,447</w:t>
            </w:r>
          </w:p>
        </w:tc>
        <w:tc>
          <w:tcPr>
            <w:tcW w:w="1020" w:type="dxa"/>
            <w:vAlign w:val="bottom"/>
          </w:tcPr>
          <w:p>
            <w:pPr>
              <w:jc w:val="right"/>
              <w:ind w:right="306"/>
              <w:spacing w:after="0" w:line="170" w:lineRule="exact"/>
              <w:rPr>
                <w:sz w:val="20"/>
                <w:szCs w:val="20"/>
                <w:color w:val="auto"/>
              </w:rPr>
            </w:pPr>
            <w:r>
              <w:rPr>
                <w:rFonts w:ascii="Arial" w:cs="Arial" w:eastAsia="Arial" w:hAnsi="Arial"/>
                <w:sz w:val="15"/>
                <w:szCs w:val="15"/>
                <w:color w:val="auto"/>
              </w:rPr>
              <w:t>-</w:t>
            </w:r>
          </w:p>
        </w:tc>
        <w:tc>
          <w:tcPr>
            <w:tcW w:w="1060" w:type="dxa"/>
            <w:vAlign w:val="bottom"/>
          </w:tcPr>
          <w:p>
            <w:pPr>
              <w:jc w:val="right"/>
              <w:ind w:right="266"/>
              <w:spacing w:after="0" w:line="170" w:lineRule="exact"/>
              <w:rPr>
                <w:sz w:val="20"/>
                <w:szCs w:val="20"/>
                <w:color w:val="auto"/>
              </w:rPr>
            </w:pPr>
            <w:r>
              <w:rPr>
                <w:rFonts w:ascii="Arial" w:cs="Arial" w:eastAsia="Arial" w:hAnsi="Arial"/>
                <w:sz w:val="15"/>
                <w:szCs w:val="15"/>
                <w:color w:val="auto"/>
              </w:rPr>
              <w:t>25,710</w:t>
            </w:r>
          </w:p>
        </w:tc>
        <w:tc>
          <w:tcPr>
            <w:tcW w:w="1240" w:type="dxa"/>
            <w:vAlign w:val="bottom"/>
          </w:tcPr>
          <w:p>
            <w:pPr>
              <w:jc w:val="right"/>
              <w:ind w:right="566"/>
              <w:spacing w:after="0" w:line="170" w:lineRule="exact"/>
              <w:rPr>
                <w:sz w:val="20"/>
                <w:szCs w:val="20"/>
                <w:color w:val="auto"/>
              </w:rPr>
            </w:pPr>
            <w:r>
              <w:rPr>
                <w:rFonts w:ascii="Arial" w:cs="Arial" w:eastAsia="Arial" w:hAnsi="Arial"/>
                <w:sz w:val="15"/>
                <w:szCs w:val="15"/>
                <w:color w:val="auto"/>
              </w:rPr>
              <w:t>-</w:t>
            </w:r>
          </w:p>
        </w:tc>
      </w:tr>
      <w:tr>
        <w:trPr>
          <w:trHeight w:val="184"/>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467</w:t>
            </w:r>
          </w:p>
        </w:tc>
        <w:tc>
          <w:tcPr>
            <w:tcW w:w="100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369</w:t>
            </w:r>
          </w:p>
        </w:tc>
        <w:tc>
          <w:tcPr>
            <w:tcW w:w="102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484</w:t>
            </w:r>
          </w:p>
        </w:tc>
        <w:tc>
          <w:tcPr>
            <w:tcW w:w="1240" w:type="dxa"/>
            <w:vAlign w:val="bottom"/>
          </w:tcPr>
          <w:p>
            <w:pPr>
              <w:jc w:val="right"/>
              <w:ind w:right="566"/>
              <w:spacing w:after="0"/>
              <w:rPr>
                <w:sz w:val="20"/>
                <w:szCs w:val="20"/>
                <w:color w:val="auto"/>
              </w:rPr>
            </w:pPr>
            <w:r>
              <w:rPr>
                <w:rFonts w:ascii="Arial" w:cs="Arial" w:eastAsia="Arial" w:hAnsi="Arial"/>
                <w:sz w:val="15"/>
                <w:szCs w:val="15"/>
                <w:color w:val="auto"/>
              </w:rPr>
              <w:t>-</w:t>
            </w:r>
          </w:p>
        </w:tc>
      </w:tr>
      <w:tr>
        <w:trPr>
          <w:trHeight w:val="184"/>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9</w:t>
            </w:r>
          </w:p>
        </w:tc>
        <w:tc>
          <w:tcPr>
            <w:tcW w:w="100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17</w:t>
            </w:r>
          </w:p>
        </w:tc>
        <w:tc>
          <w:tcPr>
            <w:tcW w:w="102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346"/>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566"/>
              <w:spacing w:after="0"/>
              <w:rPr>
                <w:sz w:val="20"/>
                <w:szCs w:val="20"/>
                <w:color w:val="auto"/>
              </w:rPr>
            </w:pPr>
            <w:r>
              <w:rPr>
                <w:rFonts w:ascii="Arial" w:cs="Arial" w:eastAsia="Arial" w:hAnsi="Arial"/>
                <w:sz w:val="15"/>
                <w:szCs w:val="15"/>
                <w:color w:val="auto"/>
              </w:rPr>
              <w:t>-</w:t>
            </w:r>
          </w:p>
        </w:tc>
      </w:tr>
      <w:tr>
        <w:trPr>
          <w:trHeight w:val="184"/>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176</w:t>
            </w:r>
          </w:p>
        </w:tc>
        <w:tc>
          <w:tcPr>
            <w:tcW w:w="100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152</w:t>
            </w:r>
          </w:p>
        </w:tc>
        <w:tc>
          <w:tcPr>
            <w:tcW w:w="102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676</w:t>
            </w:r>
          </w:p>
        </w:tc>
        <w:tc>
          <w:tcPr>
            <w:tcW w:w="1240" w:type="dxa"/>
            <w:vAlign w:val="bottom"/>
          </w:tcPr>
          <w:p>
            <w:pPr>
              <w:jc w:val="right"/>
              <w:ind w:right="566"/>
              <w:spacing w:after="0"/>
              <w:rPr>
                <w:sz w:val="20"/>
                <w:szCs w:val="20"/>
                <w:color w:val="auto"/>
              </w:rPr>
            </w:pPr>
            <w:r>
              <w:rPr>
                <w:rFonts w:ascii="Arial" w:cs="Arial" w:eastAsia="Arial" w:hAnsi="Arial"/>
                <w:sz w:val="15"/>
                <w:szCs w:val="15"/>
                <w:color w:val="auto"/>
              </w:rPr>
              <w:t>-</w:t>
            </w:r>
          </w:p>
        </w:tc>
      </w:tr>
      <w:tr>
        <w:trPr>
          <w:trHeight w:val="184"/>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42</w:t>
            </w:r>
          </w:p>
        </w:tc>
        <w:tc>
          <w:tcPr>
            <w:tcW w:w="100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3,569</w:t>
            </w:r>
          </w:p>
        </w:tc>
        <w:tc>
          <w:tcPr>
            <w:tcW w:w="102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6,658</w:t>
            </w:r>
          </w:p>
        </w:tc>
        <w:tc>
          <w:tcPr>
            <w:tcW w:w="1240" w:type="dxa"/>
            <w:vAlign w:val="bottom"/>
          </w:tcPr>
          <w:p>
            <w:pPr>
              <w:jc w:val="right"/>
              <w:ind w:right="566"/>
              <w:spacing w:after="0"/>
              <w:rPr>
                <w:sz w:val="20"/>
                <w:szCs w:val="20"/>
                <w:color w:val="auto"/>
              </w:rPr>
            </w:pPr>
            <w:r>
              <w:rPr>
                <w:rFonts w:ascii="Arial" w:cs="Arial" w:eastAsia="Arial" w:hAnsi="Arial"/>
                <w:sz w:val="15"/>
                <w:szCs w:val="15"/>
                <w:color w:val="auto"/>
              </w:rPr>
              <w:t>-</w:t>
            </w:r>
          </w:p>
        </w:tc>
      </w:tr>
      <w:tr>
        <w:trPr>
          <w:trHeight w:val="190"/>
        </w:trPr>
        <w:tc>
          <w:tcPr>
            <w:tcW w:w="110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894</w:t>
            </w:r>
          </w:p>
        </w:tc>
        <w:tc>
          <w:tcPr>
            <w:tcW w:w="102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8,234</w:t>
            </w:r>
          </w:p>
        </w:tc>
        <w:tc>
          <w:tcPr>
            <w:tcW w:w="1240" w:type="dxa"/>
            <w:vAlign w:val="bottom"/>
            <w:tcBorders>
              <w:bottom w:val="single" w:sz="8" w:color="auto"/>
            </w:tcBorders>
          </w:tcPr>
          <w:p>
            <w:pPr>
              <w:jc w:val="right"/>
              <w:ind w:right="566"/>
              <w:spacing w:after="0"/>
              <w:rPr>
                <w:sz w:val="20"/>
                <w:szCs w:val="20"/>
                <w:color w:val="auto"/>
              </w:rPr>
            </w:pPr>
            <w:r>
              <w:rPr>
                <w:rFonts w:ascii="Arial" w:cs="Arial" w:eastAsia="Arial" w:hAnsi="Arial"/>
                <w:sz w:val="15"/>
                <w:szCs w:val="15"/>
                <w:color w:val="auto"/>
              </w:rPr>
              <w:t>-</w:t>
            </w:r>
          </w:p>
        </w:tc>
      </w:tr>
      <w:tr>
        <w:trPr>
          <w:trHeight w:val="179"/>
        </w:trPr>
        <w:tc>
          <w:tcPr>
            <w:tcW w:w="110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1,698</w:t>
            </w:r>
          </w:p>
        </w:tc>
        <w:tc>
          <w:tcPr>
            <w:tcW w:w="100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1,446</w:t>
            </w:r>
          </w:p>
        </w:tc>
        <w:tc>
          <w:tcPr>
            <w:tcW w:w="102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9,658</w:t>
            </w:r>
          </w:p>
        </w:tc>
        <w:tc>
          <w:tcPr>
            <w:tcW w:w="1240" w:type="dxa"/>
            <w:vAlign w:val="bottom"/>
            <w:tcBorders>
              <w:bottom w:val="single" w:sz="8" w:color="auto"/>
            </w:tcBorders>
          </w:tcPr>
          <w:p>
            <w:pPr>
              <w:jc w:val="right"/>
              <w:ind w:right="566"/>
              <w:spacing w:after="0"/>
              <w:rPr>
                <w:sz w:val="20"/>
                <w:szCs w:val="20"/>
                <w:color w:val="auto"/>
              </w:rPr>
            </w:pPr>
            <w:r>
              <w:rPr>
                <w:rFonts w:ascii="Arial" w:cs="Arial" w:eastAsia="Arial" w:hAnsi="Arial"/>
                <w:sz w:val="15"/>
                <w:szCs w:val="15"/>
                <w:color w:val="auto"/>
              </w:rPr>
              <w:t>-</w:t>
            </w:r>
          </w:p>
        </w:tc>
      </w:tr>
      <w:tr>
        <w:trPr>
          <w:trHeight w:val="355"/>
        </w:trPr>
        <w:tc>
          <w:tcPr>
            <w:tcW w:w="1100" w:type="dxa"/>
            <w:vAlign w:val="bottom"/>
          </w:tcPr>
          <w:p>
            <w:pPr>
              <w:jc w:val="right"/>
              <w:ind w:right="266"/>
              <w:spacing w:after="0"/>
              <w:rPr>
                <w:sz w:val="20"/>
                <w:szCs w:val="20"/>
                <w:color w:val="auto"/>
              </w:rPr>
            </w:pPr>
            <w:r>
              <w:rPr>
                <w:rFonts w:ascii="Arial" w:cs="Arial" w:eastAsia="Arial" w:hAnsi="Arial"/>
                <w:sz w:val="15"/>
                <w:szCs w:val="15"/>
                <w:color w:val="auto"/>
              </w:rPr>
              <w:t>2,850</w:t>
            </w:r>
          </w:p>
        </w:tc>
        <w:tc>
          <w:tcPr>
            <w:tcW w:w="1000" w:type="dxa"/>
            <w:vAlign w:val="bottom"/>
          </w:tcPr>
          <w:p>
            <w:pPr>
              <w:jc w:val="right"/>
              <w:ind w:right="226"/>
              <w:spacing w:after="0"/>
              <w:rPr>
                <w:sz w:val="20"/>
                <w:szCs w:val="20"/>
                <w:color w:val="auto"/>
              </w:rPr>
            </w:pPr>
            <w:r>
              <w:rPr>
                <w:rFonts w:ascii="Arial" w:cs="Arial" w:eastAsia="Arial" w:hAnsi="Arial"/>
                <w:sz w:val="15"/>
                <w:szCs w:val="15"/>
                <w:color w:val="auto"/>
              </w:rPr>
              <w:t>2,233</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3,445</w:t>
            </w:r>
          </w:p>
        </w:tc>
        <w:tc>
          <w:tcPr>
            <w:tcW w:w="1020" w:type="dxa"/>
            <w:vAlign w:val="bottom"/>
          </w:tcPr>
          <w:p>
            <w:pPr>
              <w:jc w:val="right"/>
              <w:ind w:right="226"/>
              <w:spacing w:after="0"/>
              <w:rPr>
                <w:sz w:val="20"/>
                <w:szCs w:val="20"/>
                <w:color w:val="auto"/>
              </w:rPr>
            </w:pPr>
            <w:r>
              <w:rPr>
                <w:rFonts w:ascii="Arial" w:cs="Arial" w:eastAsia="Arial" w:hAnsi="Arial"/>
                <w:sz w:val="15"/>
                <w:szCs w:val="15"/>
                <w:color w:val="auto"/>
              </w:rPr>
              <w:t>5,276</w:t>
            </w:r>
          </w:p>
        </w:tc>
        <w:tc>
          <w:tcPr>
            <w:tcW w:w="1060" w:type="dxa"/>
            <w:vAlign w:val="bottom"/>
          </w:tcPr>
          <w:p>
            <w:pPr>
              <w:jc w:val="right"/>
              <w:ind w:right="266"/>
              <w:spacing w:after="0"/>
              <w:rPr>
                <w:sz w:val="20"/>
                <w:szCs w:val="20"/>
                <w:color w:val="auto"/>
              </w:rPr>
            </w:pPr>
            <w:r>
              <w:rPr>
                <w:rFonts w:ascii="Arial" w:cs="Arial" w:eastAsia="Arial" w:hAnsi="Arial"/>
                <w:sz w:val="15"/>
                <w:szCs w:val="15"/>
                <w:color w:val="auto"/>
              </w:rPr>
              <w:t>12,667</w:t>
            </w:r>
          </w:p>
        </w:tc>
        <w:tc>
          <w:tcPr>
            <w:tcW w:w="1240" w:type="dxa"/>
            <w:vAlign w:val="bottom"/>
          </w:tcPr>
          <w:p>
            <w:pPr>
              <w:jc w:val="right"/>
              <w:ind w:right="486"/>
              <w:spacing w:after="0"/>
              <w:rPr>
                <w:sz w:val="20"/>
                <w:szCs w:val="20"/>
                <w:color w:val="auto"/>
              </w:rPr>
            </w:pPr>
            <w:r>
              <w:rPr>
                <w:rFonts w:ascii="Arial" w:cs="Arial" w:eastAsia="Arial" w:hAnsi="Arial"/>
                <w:sz w:val="15"/>
                <w:szCs w:val="15"/>
                <w:color w:val="auto"/>
              </w:rPr>
              <w:t>592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09511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095115" cy="7620"/>
                    </a:xfrm>
                    <a:prstGeom prst="rect">
                      <a:avLst/>
                    </a:prstGeom>
                    <a:noFill/>
                  </pic:spPr>
                </pic:pic>
              </a:graphicData>
            </a:graphic>
          </wp:anchor>
        </w:drawing>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-3228975</wp:posOffset>
            </wp:positionH>
            <wp:positionV relativeFrom="paragraph">
              <wp:posOffset>480060</wp:posOffset>
            </wp:positionV>
            <wp:extent cx="7279640" cy="20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2">
            <w:col w:w="3780" w:space="720"/>
            <w:col w:w="6440"/>
          </w:cols>
          <w:pgMar w:left="820" w:top="1087" w:right="1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6"/>
          <w:szCs w:val="16"/>
          <w:b w:val="1"/>
          <w:bCs w:val="1"/>
          <w:color w:val="auto"/>
        </w:rPr>
        <w:t>Oil and Gas Exploration and Production Costs</w:t>
      </w:r>
    </w:p>
    <w:p>
      <w:pPr>
        <w:spacing w:after="0" w:line="9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amounts shown for net capitalized costs of consolidated subsidiaries are $12,856 million less at year-end 2014 and $13,667 million less at year-end 2013 t amounts reported as investments in property, plant and equipment for the Upstream in Note 9. This is due to the exclusion from capitalized costs of certain transportat research assets and assets relating to LNG operations. Assets related to oil sands and oil shale mining operations are included in the capitalized costs in accordan Financial Accounting Standards Board rules.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8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jc w:val="center"/>
              <w:ind w:right="47"/>
              <w:spacing w:after="0"/>
              <w:rPr>
                <w:sz w:val="20"/>
                <w:szCs w:val="20"/>
                <w:color w:val="auto"/>
              </w:rPr>
            </w:pPr>
            <w:r>
              <w:rPr>
                <w:rFonts w:ascii="Arial" w:cs="Arial" w:eastAsia="Arial" w:hAnsi="Arial"/>
                <w:sz w:val="13"/>
                <w:szCs w:val="13"/>
                <w:b w:val="1"/>
                <w:bCs w:val="1"/>
                <w:color w:val="auto"/>
                <w:w w:val="94"/>
              </w:rPr>
              <w:t>Canada/</w:t>
            </w: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880" w:type="dxa"/>
            <w:vAlign w:val="bottom"/>
            <w:vMerge w:val="restart"/>
          </w:tcPr>
          <w:p>
            <w:pPr>
              <w:spacing w:after="0"/>
              <w:rPr>
                <w:sz w:val="20"/>
                <w:szCs w:val="20"/>
                <w:color w:val="auto"/>
              </w:rPr>
            </w:pPr>
            <w:r>
              <w:rPr>
                <w:rFonts w:ascii="Arial" w:cs="Arial" w:eastAsia="Arial" w:hAnsi="Arial"/>
                <w:sz w:val="16"/>
                <w:szCs w:val="16"/>
                <w:b w:val="1"/>
                <w:bCs w:val="1"/>
                <w:color w:val="auto"/>
              </w:rPr>
              <w:t>Capitalized Costs</w:t>
            </w:r>
          </w:p>
        </w:tc>
        <w:tc>
          <w:tcPr>
            <w:tcW w:w="2620" w:type="dxa"/>
            <w:vAlign w:val="bottom"/>
          </w:tcPr>
          <w:p>
            <w:pPr>
              <w:spacing w:after="0"/>
              <w:rPr>
                <w:sz w:val="15"/>
                <w:szCs w:val="15"/>
                <w:color w:val="auto"/>
              </w:rPr>
            </w:pPr>
          </w:p>
        </w:tc>
        <w:tc>
          <w:tcPr>
            <w:tcW w:w="980" w:type="dxa"/>
            <w:vAlign w:val="bottom"/>
          </w:tcPr>
          <w:p>
            <w:pPr>
              <w:jc w:val="right"/>
              <w:ind w:right="327"/>
              <w:spacing w:after="0"/>
              <w:rPr>
                <w:sz w:val="20"/>
                <w:szCs w:val="20"/>
                <w:color w:val="auto"/>
              </w:rPr>
            </w:pPr>
            <w:r>
              <w:rPr>
                <w:rFonts w:ascii="Arial" w:cs="Arial" w:eastAsia="Arial" w:hAnsi="Arial"/>
                <w:sz w:val="13"/>
                <w:szCs w:val="13"/>
                <w:b w:val="1"/>
                <w:bCs w:val="1"/>
                <w:color w:val="auto"/>
              </w:rPr>
              <w:t>United</w:t>
            </w:r>
          </w:p>
        </w:tc>
        <w:tc>
          <w:tcPr>
            <w:tcW w:w="1040" w:type="dxa"/>
            <w:vAlign w:val="bottom"/>
          </w:tcPr>
          <w:p>
            <w:pPr>
              <w:jc w:val="center"/>
              <w:ind w:right="47"/>
              <w:spacing w:after="0"/>
              <w:rPr>
                <w:sz w:val="20"/>
                <w:szCs w:val="20"/>
                <w:color w:val="auto"/>
              </w:rPr>
            </w:pPr>
            <w:r>
              <w:rPr>
                <w:rFonts w:ascii="Arial" w:cs="Arial" w:eastAsia="Arial" w:hAnsi="Arial"/>
                <w:sz w:val="13"/>
                <w:szCs w:val="13"/>
                <w:b w:val="1"/>
                <w:bCs w:val="1"/>
                <w:color w:val="auto"/>
                <w:w w:val="86"/>
              </w:rPr>
              <w:t>South</w:t>
            </w: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jc w:val="right"/>
              <w:ind w:right="567"/>
              <w:spacing w:after="0"/>
              <w:rPr>
                <w:sz w:val="20"/>
                <w:szCs w:val="20"/>
                <w:color w:val="auto"/>
              </w:rPr>
            </w:pPr>
            <w:r>
              <w:rPr>
                <w:rFonts w:ascii="Arial" w:cs="Arial" w:eastAsia="Arial" w:hAnsi="Arial"/>
                <w:sz w:val="13"/>
                <w:szCs w:val="13"/>
                <w:b w:val="1"/>
                <w:bCs w:val="1"/>
                <w:color w:val="auto"/>
              </w:rPr>
              <w:t>Australia/</w:t>
            </w:r>
          </w:p>
        </w:tc>
        <w:tc>
          <w:tcPr>
            <w:tcW w:w="0" w:type="dxa"/>
            <w:vAlign w:val="bottom"/>
          </w:tcPr>
          <w:p>
            <w:pPr>
              <w:spacing w:after="0"/>
              <w:rPr>
                <w:sz w:val="1"/>
                <w:szCs w:val="1"/>
                <w:color w:val="auto"/>
              </w:rPr>
            </w:pPr>
          </w:p>
        </w:tc>
      </w:tr>
      <w:tr>
        <w:trPr>
          <w:trHeight w:val="207"/>
        </w:trPr>
        <w:tc>
          <w:tcPr>
            <w:tcW w:w="1880" w:type="dxa"/>
            <w:vAlign w:val="bottom"/>
            <w:tcBorders>
              <w:bottom w:val="single" w:sz="8" w:color="auto"/>
            </w:tcBorders>
            <w:vMerge w:val="continue"/>
          </w:tcPr>
          <w:p>
            <w:pPr>
              <w:spacing w:after="0"/>
              <w:rPr>
                <w:sz w:val="17"/>
                <w:szCs w:val="17"/>
                <w:color w:val="auto"/>
              </w:rPr>
            </w:pPr>
          </w:p>
        </w:tc>
        <w:tc>
          <w:tcPr>
            <w:tcW w:w="2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7"/>
              <w:spacing w:after="0"/>
              <w:rPr>
                <w:sz w:val="20"/>
                <w:szCs w:val="20"/>
                <w:color w:val="auto"/>
              </w:rPr>
            </w:pPr>
            <w:r>
              <w:rPr>
                <w:rFonts w:ascii="Arial" w:cs="Arial" w:eastAsia="Arial" w:hAnsi="Arial"/>
                <w:sz w:val="13"/>
                <w:szCs w:val="13"/>
                <w:b w:val="1"/>
                <w:bCs w:val="1"/>
                <w:color w:val="auto"/>
              </w:rPr>
              <w:t>States</w:t>
            </w:r>
          </w:p>
        </w:tc>
        <w:tc>
          <w:tcPr>
            <w:tcW w:w="1040" w:type="dxa"/>
            <w:vAlign w:val="bottom"/>
            <w:tcBorders>
              <w:bottom w:val="single" w:sz="8" w:color="auto"/>
            </w:tcBorders>
          </w:tcPr>
          <w:p>
            <w:pPr>
              <w:jc w:val="center"/>
              <w:ind w:right="47"/>
              <w:spacing w:after="0"/>
              <w:rPr>
                <w:sz w:val="20"/>
                <w:szCs w:val="20"/>
                <w:color w:val="auto"/>
              </w:rPr>
            </w:pPr>
            <w:r>
              <w:rPr>
                <w:rFonts w:ascii="Arial" w:cs="Arial" w:eastAsia="Arial" w:hAnsi="Arial"/>
                <w:sz w:val="13"/>
                <w:szCs w:val="13"/>
                <w:b w:val="1"/>
                <w:bCs w:val="1"/>
                <w:color w:val="auto"/>
                <w:w w:val="93"/>
              </w:rPr>
              <w:t>America</w:t>
            </w:r>
          </w:p>
        </w:tc>
        <w:tc>
          <w:tcPr>
            <w:tcW w:w="860" w:type="dxa"/>
            <w:vAlign w:val="bottom"/>
            <w:tcBorders>
              <w:bottom w:val="single" w:sz="8" w:color="auto"/>
            </w:tcBorders>
          </w:tcPr>
          <w:p>
            <w:pPr>
              <w:jc w:val="right"/>
              <w:ind w:right="127"/>
              <w:spacing w:after="0"/>
              <w:rPr>
                <w:sz w:val="20"/>
                <w:szCs w:val="20"/>
                <w:color w:val="auto"/>
              </w:rPr>
            </w:pPr>
            <w:r>
              <w:rPr>
                <w:rFonts w:ascii="Arial" w:cs="Arial" w:eastAsia="Arial" w:hAnsi="Arial"/>
                <w:sz w:val="13"/>
                <w:szCs w:val="13"/>
                <w:b w:val="1"/>
                <w:bCs w:val="1"/>
                <w:color w:val="auto"/>
              </w:rPr>
              <w:t>Europe</w:t>
            </w:r>
          </w:p>
        </w:tc>
        <w:tc>
          <w:tcPr>
            <w:tcW w:w="1300" w:type="dxa"/>
            <w:vAlign w:val="bottom"/>
            <w:tcBorders>
              <w:bottom w:val="single" w:sz="8" w:color="auto"/>
            </w:tcBorders>
          </w:tcPr>
          <w:p>
            <w:pPr>
              <w:jc w:val="right"/>
              <w:ind w:right="447"/>
              <w:spacing w:after="0"/>
              <w:rPr>
                <w:sz w:val="20"/>
                <w:szCs w:val="20"/>
                <w:color w:val="auto"/>
              </w:rPr>
            </w:pPr>
            <w:r>
              <w:rPr>
                <w:rFonts w:ascii="Arial" w:cs="Arial" w:eastAsia="Arial" w:hAnsi="Arial"/>
                <w:sz w:val="13"/>
                <w:szCs w:val="13"/>
                <w:b w:val="1"/>
                <w:bCs w:val="1"/>
                <w:color w:val="auto"/>
              </w:rPr>
              <w:t>Africa</w:t>
            </w:r>
          </w:p>
        </w:tc>
        <w:tc>
          <w:tcPr>
            <w:tcW w:w="860" w:type="dxa"/>
            <w:vAlign w:val="bottom"/>
            <w:tcBorders>
              <w:bottom w:val="single" w:sz="8" w:color="auto"/>
            </w:tcBorders>
          </w:tcPr>
          <w:p>
            <w:pPr>
              <w:jc w:val="right"/>
              <w:ind w:right="347"/>
              <w:spacing w:after="0"/>
              <w:rPr>
                <w:sz w:val="20"/>
                <w:szCs w:val="20"/>
                <w:color w:val="auto"/>
              </w:rPr>
            </w:pPr>
            <w:r>
              <w:rPr>
                <w:rFonts w:ascii="Arial" w:cs="Arial" w:eastAsia="Arial" w:hAnsi="Arial"/>
                <w:sz w:val="13"/>
                <w:szCs w:val="13"/>
                <w:b w:val="1"/>
                <w:bCs w:val="1"/>
                <w:color w:val="auto"/>
              </w:rPr>
              <w:t>Asia</w:t>
            </w:r>
          </w:p>
        </w:tc>
        <w:tc>
          <w:tcPr>
            <w:tcW w:w="1400" w:type="dxa"/>
            <w:vAlign w:val="bottom"/>
            <w:tcBorders>
              <w:bottom w:val="single" w:sz="8" w:color="auto"/>
            </w:tcBorders>
          </w:tcPr>
          <w:p>
            <w:pPr>
              <w:jc w:val="right"/>
              <w:ind w:right="607"/>
              <w:spacing w:after="0"/>
              <w:rPr>
                <w:sz w:val="20"/>
                <w:szCs w:val="20"/>
                <w:color w:val="auto"/>
              </w:rPr>
            </w:pPr>
            <w:r>
              <w:rPr>
                <w:rFonts w:ascii="Arial" w:cs="Arial" w:eastAsia="Arial" w:hAnsi="Arial"/>
                <w:sz w:val="13"/>
                <w:szCs w:val="13"/>
                <w:b w:val="1"/>
                <w:bCs w:val="1"/>
                <w:color w:val="auto"/>
              </w:rPr>
              <w:t>Oceania</w:t>
            </w:r>
          </w:p>
        </w:tc>
        <w:tc>
          <w:tcPr>
            <w:tcW w:w="0" w:type="dxa"/>
            <w:vAlign w:val="bottom"/>
          </w:tcPr>
          <w:p>
            <w:pPr>
              <w:spacing w:after="0"/>
              <w:rPr>
                <w:sz w:val="1"/>
                <w:szCs w:val="1"/>
                <w:color w:val="auto"/>
              </w:rPr>
            </w:pPr>
          </w:p>
        </w:tc>
      </w:tr>
      <w:tr>
        <w:trPr>
          <w:trHeight w:val="166"/>
        </w:trPr>
        <w:tc>
          <w:tcPr>
            <w:tcW w:w="1880" w:type="dxa"/>
            <w:vAlign w:val="bottom"/>
            <w:vMerge w:val="restart"/>
          </w:tcPr>
          <w:p>
            <w:pPr>
              <w:spacing w:after="0"/>
              <w:rPr>
                <w:sz w:val="20"/>
                <w:szCs w:val="20"/>
                <w:color w:val="auto"/>
              </w:rPr>
            </w:pPr>
            <w:r>
              <w:rPr>
                <w:rFonts w:ascii="Arial" w:cs="Arial" w:eastAsia="Arial" w:hAnsi="Arial"/>
                <w:sz w:val="15"/>
                <w:szCs w:val="15"/>
                <w:b w:val="1"/>
                <w:bCs w:val="1"/>
                <w:color w:val="auto"/>
                <w:w w:val="98"/>
              </w:rPr>
              <w:t>Consolidated Subsidiaries</w:t>
            </w:r>
          </w:p>
        </w:tc>
        <w:tc>
          <w:tcPr>
            <w:tcW w:w="2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127"/>
              <w:spacing w:after="0"/>
              <w:rPr>
                <w:sz w:val="20"/>
                <w:szCs w:val="20"/>
                <w:color w:val="auto"/>
              </w:rPr>
            </w:pPr>
            <w:r>
              <w:rPr>
                <w:rFonts w:ascii="Arial" w:cs="Arial" w:eastAsia="Arial" w:hAnsi="Arial"/>
                <w:sz w:val="13"/>
                <w:szCs w:val="13"/>
                <w:i w:val="1"/>
                <w:iCs w:val="1"/>
                <w:color w:val="auto"/>
                <w:w w:val="99"/>
              </w:rPr>
              <w:t>(millions of dollars)</w:t>
            </w:r>
          </w:p>
        </w:tc>
        <w:tc>
          <w:tcPr>
            <w:tcW w:w="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880" w:type="dxa"/>
            <w:vAlign w:val="bottom"/>
            <w:vMerge w:val="continue"/>
          </w:tcPr>
          <w:p>
            <w:pPr>
              <w:spacing w:after="0"/>
              <w:rPr>
                <w:sz w:val="16"/>
                <w:szCs w:val="16"/>
                <w:color w:val="auto"/>
              </w:rPr>
            </w:pPr>
          </w:p>
        </w:tc>
        <w:tc>
          <w:tcPr>
            <w:tcW w:w="2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880" w:type="dxa"/>
            <w:vAlign w:val="bottom"/>
          </w:tcPr>
          <w:p>
            <w:pPr>
              <w:spacing w:after="0"/>
              <w:rPr>
                <w:sz w:val="20"/>
                <w:szCs w:val="20"/>
                <w:color w:val="auto"/>
              </w:rPr>
            </w:pPr>
            <w:r>
              <w:rPr>
                <w:rFonts w:ascii="Arial" w:cs="Arial" w:eastAsia="Arial" w:hAnsi="Arial"/>
                <w:sz w:val="15"/>
                <w:szCs w:val="15"/>
                <w:color w:val="auto"/>
              </w:rPr>
              <w:t>As of December 31, 2014</w:t>
            </w:r>
          </w:p>
        </w:tc>
        <w:tc>
          <w:tcPr>
            <w:tcW w:w="2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80" w:type="dxa"/>
            <w:vAlign w:val="bottom"/>
          </w:tcPr>
          <w:p>
            <w:pPr>
              <w:ind w:left="240"/>
              <w:spacing w:after="0"/>
              <w:rPr>
                <w:sz w:val="20"/>
                <w:szCs w:val="20"/>
                <w:color w:val="auto"/>
              </w:rPr>
            </w:pPr>
            <w:r>
              <w:rPr>
                <w:rFonts w:ascii="Arial" w:cs="Arial" w:eastAsia="Arial" w:hAnsi="Arial"/>
                <w:sz w:val="15"/>
                <w:szCs w:val="15"/>
                <w:color w:val="auto"/>
                <w:w w:val="98"/>
              </w:rPr>
              <w:t>Property (acreage) costs</w:t>
            </w:r>
          </w:p>
        </w:tc>
        <w:tc>
          <w:tcPr>
            <w:tcW w:w="2620" w:type="dxa"/>
            <w:vAlign w:val="bottom"/>
          </w:tcPr>
          <w:p>
            <w:pPr>
              <w:ind w:left="200"/>
              <w:spacing w:after="0"/>
              <w:rPr>
                <w:sz w:val="20"/>
                <w:szCs w:val="20"/>
                <w:color w:val="auto"/>
              </w:rPr>
            </w:pPr>
            <w:r>
              <w:rPr>
                <w:rFonts w:ascii="Arial" w:cs="Arial" w:eastAsia="Arial" w:hAnsi="Arial"/>
                <w:sz w:val="15"/>
                <w:szCs w:val="15"/>
                <w:color w:val="auto"/>
              </w:rPr>
              <w:t>- Proved</w:t>
            </w: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14,664</w:t>
            </w:r>
          </w:p>
        </w:tc>
        <w:tc>
          <w:tcPr>
            <w:tcW w:w="1040" w:type="dxa"/>
            <w:vAlign w:val="bottom"/>
          </w:tcPr>
          <w:p>
            <w:pPr>
              <w:jc w:val="right"/>
              <w:ind w:right="147"/>
              <w:spacing w:after="0"/>
              <w:rPr>
                <w:sz w:val="20"/>
                <w:szCs w:val="20"/>
                <w:color w:val="auto"/>
              </w:rPr>
            </w:pPr>
            <w:r>
              <w:rPr>
                <w:rFonts w:ascii="Arial" w:cs="Arial" w:eastAsia="Arial" w:hAnsi="Arial"/>
                <w:sz w:val="15"/>
                <w:szCs w:val="15"/>
                <w:color w:val="auto"/>
              </w:rPr>
              <w:t>2,598</w:t>
            </w:r>
          </w:p>
        </w:tc>
        <w:tc>
          <w:tcPr>
            <w:tcW w:w="860" w:type="dxa"/>
            <w:vAlign w:val="bottom"/>
          </w:tcPr>
          <w:p>
            <w:pPr>
              <w:jc w:val="right"/>
              <w:spacing w:after="0"/>
              <w:rPr>
                <w:sz w:val="20"/>
                <w:szCs w:val="20"/>
                <w:color w:val="auto"/>
              </w:rPr>
            </w:pPr>
            <w:r>
              <w:rPr>
                <w:rFonts w:ascii="Arial" w:cs="Arial" w:eastAsia="Arial" w:hAnsi="Arial"/>
                <w:sz w:val="15"/>
                <w:szCs w:val="15"/>
                <w:color w:val="auto"/>
              </w:rPr>
              <w:t>161</w:t>
            </w:r>
          </w:p>
        </w:tc>
        <w:tc>
          <w:tcPr>
            <w:tcW w:w="1300" w:type="dxa"/>
            <w:vAlign w:val="bottom"/>
          </w:tcPr>
          <w:p>
            <w:pPr>
              <w:jc w:val="right"/>
              <w:ind w:right="267"/>
              <w:spacing w:after="0"/>
              <w:rPr>
                <w:sz w:val="20"/>
                <w:szCs w:val="20"/>
                <w:color w:val="auto"/>
              </w:rPr>
            </w:pPr>
            <w:r>
              <w:rPr>
                <w:rFonts w:ascii="Arial" w:cs="Arial" w:eastAsia="Arial" w:hAnsi="Arial"/>
                <w:sz w:val="15"/>
                <w:szCs w:val="15"/>
                <w:color w:val="auto"/>
              </w:rPr>
              <w:t>876</w:t>
            </w:r>
          </w:p>
        </w:tc>
        <w:tc>
          <w:tcPr>
            <w:tcW w:w="860" w:type="dxa"/>
            <w:vAlign w:val="bottom"/>
          </w:tcPr>
          <w:p>
            <w:pPr>
              <w:jc w:val="right"/>
              <w:ind w:right="107"/>
              <w:spacing w:after="0"/>
              <w:rPr>
                <w:sz w:val="20"/>
                <w:szCs w:val="20"/>
                <w:color w:val="auto"/>
              </w:rPr>
            </w:pPr>
            <w:r>
              <w:rPr>
                <w:rFonts w:ascii="Arial" w:cs="Arial" w:eastAsia="Arial" w:hAnsi="Arial"/>
                <w:sz w:val="15"/>
                <w:szCs w:val="15"/>
                <w:color w:val="auto"/>
              </w:rPr>
              <w:t>1,660</w:t>
            </w:r>
          </w:p>
        </w:tc>
        <w:tc>
          <w:tcPr>
            <w:tcW w:w="1400" w:type="dxa"/>
            <w:vAlign w:val="bottom"/>
          </w:tcPr>
          <w:p>
            <w:pPr>
              <w:jc w:val="right"/>
              <w:ind w:right="487"/>
              <w:spacing w:after="0"/>
              <w:rPr>
                <w:sz w:val="20"/>
                <w:szCs w:val="20"/>
                <w:color w:val="auto"/>
              </w:rPr>
            </w:pPr>
            <w:r>
              <w:rPr>
                <w:rFonts w:ascii="Arial" w:cs="Arial" w:eastAsia="Arial" w:hAnsi="Arial"/>
                <w:sz w:val="15"/>
                <w:szCs w:val="15"/>
                <w:color w:val="auto"/>
              </w:rPr>
              <w:t>808</w:t>
            </w:r>
          </w:p>
        </w:tc>
        <w:tc>
          <w:tcPr>
            <w:tcW w:w="0" w:type="dxa"/>
            <w:vAlign w:val="bottom"/>
          </w:tcPr>
          <w:p>
            <w:pPr>
              <w:spacing w:after="0"/>
              <w:rPr>
                <w:sz w:val="1"/>
                <w:szCs w:val="1"/>
                <w:color w:val="auto"/>
              </w:rPr>
            </w:pPr>
          </w:p>
        </w:tc>
      </w:tr>
      <w:tr>
        <w:trPr>
          <w:trHeight w:val="187"/>
        </w:trPr>
        <w:tc>
          <w:tcPr>
            <w:tcW w:w="1880" w:type="dxa"/>
            <w:vAlign w:val="bottom"/>
          </w:tcPr>
          <w:p>
            <w:pPr>
              <w:spacing w:after="0"/>
              <w:rPr>
                <w:sz w:val="16"/>
                <w:szCs w:val="16"/>
                <w:color w:val="auto"/>
              </w:rPr>
            </w:pPr>
          </w:p>
        </w:tc>
        <w:tc>
          <w:tcPr>
            <w:tcW w:w="2620" w:type="dxa"/>
            <w:vAlign w:val="bottom"/>
          </w:tcPr>
          <w:p>
            <w:pPr>
              <w:ind w:left="200"/>
              <w:spacing w:after="0"/>
              <w:rPr>
                <w:sz w:val="20"/>
                <w:szCs w:val="20"/>
                <w:color w:val="auto"/>
              </w:rPr>
            </w:pPr>
            <w:r>
              <w:rPr>
                <w:rFonts w:ascii="Arial" w:cs="Arial" w:eastAsia="Arial" w:hAnsi="Arial"/>
                <w:sz w:val="15"/>
                <w:szCs w:val="15"/>
                <w:color w:val="auto"/>
              </w:rPr>
              <w:t>- Unproved</w:t>
            </w:r>
          </w:p>
        </w:tc>
        <w:tc>
          <w:tcPr>
            <w:tcW w:w="9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24,062</w:t>
            </w:r>
          </w:p>
        </w:tc>
        <w:tc>
          <w:tcPr>
            <w:tcW w:w="104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4,824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w:t>
            </w:r>
          </w:p>
        </w:tc>
        <w:tc>
          <w:tcPr>
            <w:tcW w:w="130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rPr>
              <w:t>615</w:t>
            </w:r>
          </w:p>
        </w:tc>
        <w:tc>
          <w:tcPr>
            <w:tcW w:w="8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601</w:t>
            </w:r>
          </w:p>
        </w:tc>
        <w:tc>
          <w:tcPr>
            <w:tcW w:w="140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173"/>
        </w:trPr>
        <w:tc>
          <w:tcPr>
            <w:tcW w:w="1880" w:type="dxa"/>
            <w:vAlign w:val="bottom"/>
          </w:tcPr>
          <w:p>
            <w:pPr>
              <w:ind w:left="360"/>
              <w:spacing w:after="0"/>
              <w:rPr>
                <w:sz w:val="20"/>
                <w:szCs w:val="20"/>
                <w:color w:val="auto"/>
              </w:rPr>
            </w:pPr>
            <w:r>
              <w:rPr>
                <w:rFonts w:ascii="Arial" w:cs="Arial" w:eastAsia="Arial" w:hAnsi="Arial"/>
                <w:sz w:val="15"/>
                <w:szCs w:val="15"/>
                <w:color w:val="auto"/>
              </w:rPr>
              <w:t>Total property costs</w:t>
            </w:r>
          </w:p>
        </w:tc>
        <w:tc>
          <w:tcPr>
            <w:tcW w:w="2620" w:type="dxa"/>
            <w:vAlign w:val="bottom"/>
          </w:tcPr>
          <w:p>
            <w:pPr>
              <w:spacing w:after="0"/>
              <w:rPr>
                <w:sz w:val="15"/>
                <w:szCs w:val="15"/>
                <w:color w:val="auto"/>
              </w:rPr>
            </w:pP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38,726</w:t>
            </w:r>
          </w:p>
        </w:tc>
        <w:tc>
          <w:tcPr>
            <w:tcW w:w="1040" w:type="dxa"/>
            <w:vAlign w:val="bottom"/>
          </w:tcPr>
          <w:p>
            <w:pPr>
              <w:jc w:val="right"/>
              <w:ind w:right="147"/>
              <w:spacing w:after="0"/>
              <w:rPr>
                <w:sz w:val="20"/>
                <w:szCs w:val="20"/>
                <w:color w:val="auto"/>
              </w:rPr>
            </w:pPr>
            <w:r>
              <w:rPr>
                <w:rFonts w:ascii="Arial" w:cs="Arial" w:eastAsia="Arial" w:hAnsi="Arial"/>
                <w:sz w:val="15"/>
                <w:szCs w:val="15"/>
                <w:color w:val="auto"/>
              </w:rPr>
              <w:t>7,422</w:t>
            </w:r>
          </w:p>
        </w:tc>
        <w:tc>
          <w:tcPr>
            <w:tcW w:w="860" w:type="dxa"/>
            <w:vAlign w:val="bottom"/>
          </w:tcPr>
          <w:p>
            <w:pPr>
              <w:jc w:val="right"/>
              <w:spacing w:after="0"/>
              <w:rPr>
                <w:sz w:val="20"/>
                <w:szCs w:val="20"/>
                <w:color w:val="auto"/>
              </w:rPr>
            </w:pPr>
            <w:r>
              <w:rPr>
                <w:rFonts w:ascii="Arial" w:cs="Arial" w:eastAsia="Arial" w:hAnsi="Arial"/>
                <w:sz w:val="15"/>
                <w:szCs w:val="15"/>
                <w:color w:val="auto"/>
              </w:rPr>
              <w:t>235</w:t>
            </w:r>
          </w:p>
        </w:tc>
        <w:tc>
          <w:tcPr>
            <w:tcW w:w="1300" w:type="dxa"/>
            <w:vAlign w:val="bottom"/>
          </w:tcPr>
          <w:p>
            <w:pPr>
              <w:jc w:val="right"/>
              <w:ind w:right="267"/>
              <w:spacing w:after="0"/>
              <w:rPr>
                <w:sz w:val="20"/>
                <w:szCs w:val="20"/>
                <w:color w:val="auto"/>
              </w:rPr>
            </w:pPr>
            <w:r>
              <w:rPr>
                <w:rFonts w:ascii="Arial" w:cs="Arial" w:eastAsia="Arial" w:hAnsi="Arial"/>
                <w:sz w:val="15"/>
                <w:szCs w:val="15"/>
                <w:color w:val="auto"/>
              </w:rPr>
              <w:t>1,491</w:t>
            </w:r>
          </w:p>
        </w:tc>
        <w:tc>
          <w:tcPr>
            <w:tcW w:w="860" w:type="dxa"/>
            <w:vAlign w:val="bottom"/>
          </w:tcPr>
          <w:p>
            <w:pPr>
              <w:jc w:val="right"/>
              <w:ind w:right="107"/>
              <w:spacing w:after="0"/>
              <w:rPr>
                <w:sz w:val="20"/>
                <w:szCs w:val="20"/>
                <w:color w:val="auto"/>
              </w:rPr>
            </w:pPr>
            <w:r>
              <w:rPr>
                <w:rFonts w:ascii="Arial" w:cs="Arial" w:eastAsia="Arial" w:hAnsi="Arial"/>
                <w:sz w:val="15"/>
                <w:szCs w:val="15"/>
                <w:color w:val="auto"/>
              </w:rPr>
              <w:t>2,261</w:t>
            </w:r>
          </w:p>
        </w:tc>
        <w:tc>
          <w:tcPr>
            <w:tcW w:w="1400" w:type="dxa"/>
            <w:vAlign w:val="bottom"/>
          </w:tcPr>
          <w:p>
            <w:pPr>
              <w:jc w:val="right"/>
              <w:ind w:right="487"/>
              <w:spacing w:after="0"/>
              <w:rPr>
                <w:sz w:val="20"/>
                <w:szCs w:val="20"/>
                <w:color w:val="auto"/>
              </w:rPr>
            </w:pPr>
            <w:r>
              <w:rPr>
                <w:rFonts w:ascii="Arial" w:cs="Arial" w:eastAsia="Arial" w:hAnsi="Arial"/>
                <w:sz w:val="15"/>
                <w:szCs w:val="15"/>
                <w:color w:val="auto"/>
              </w:rPr>
              <w:t>944</w:t>
            </w:r>
          </w:p>
        </w:tc>
        <w:tc>
          <w:tcPr>
            <w:tcW w:w="0" w:type="dxa"/>
            <w:vAlign w:val="bottom"/>
          </w:tcPr>
          <w:p>
            <w:pPr>
              <w:spacing w:after="0"/>
              <w:rPr>
                <w:sz w:val="1"/>
                <w:szCs w:val="1"/>
                <w:color w:val="auto"/>
              </w:rPr>
            </w:pPr>
          </w:p>
        </w:tc>
      </w:tr>
      <w:tr>
        <w:trPr>
          <w:trHeight w:val="184"/>
        </w:trPr>
        <w:tc>
          <w:tcPr>
            <w:tcW w:w="1880" w:type="dxa"/>
            <w:vAlign w:val="bottom"/>
          </w:tcPr>
          <w:p>
            <w:pPr>
              <w:ind w:left="240"/>
              <w:spacing w:after="0"/>
              <w:rPr>
                <w:sz w:val="20"/>
                <w:szCs w:val="20"/>
                <w:color w:val="auto"/>
              </w:rPr>
            </w:pPr>
            <w:r>
              <w:rPr>
                <w:rFonts w:ascii="Arial" w:cs="Arial" w:eastAsia="Arial" w:hAnsi="Arial"/>
                <w:sz w:val="15"/>
                <w:szCs w:val="15"/>
                <w:color w:val="auto"/>
              </w:rPr>
              <w:t>Producing assets</w:t>
            </w:r>
          </w:p>
        </w:tc>
        <w:tc>
          <w:tcPr>
            <w:tcW w:w="2620" w:type="dxa"/>
            <w:vAlign w:val="bottom"/>
          </w:tcPr>
          <w:p>
            <w:pPr>
              <w:spacing w:after="0"/>
              <w:rPr>
                <w:sz w:val="15"/>
                <w:szCs w:val="15"/>
                <w:color w:val="auto"/>
              </w:rPr>
            </w:pP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79,138</w:t>
            </w:r>
          </w:p>
        </w:tc>
        <w:tc>
          <w:tcPr>
            <w:tcW w:w="1040" w:type="dxa"/>
            <w:vAlign w:val="bottom"/>
          </w:tcPr>
          <w:p>
            <w:pPr>
              <w:jc w:val="right"/>
              <w:ind w:right="147"/>
              <w:spacing w:after="0"/>
              <w:rPr>
                <w:sz w:val="20"/>
                <w:szCs w:val="20"/>
                <w:color w:val="auto"/>
              </w:rPr>
            </w:pPr>
            <w:r>
              <w:rPr>
                <w:rFonts w:ascii="Arial" w:cs="Arial" w:eastAsia="Arial" w:hAnsi="Arial"/>
                <w:sz w:val="15"/>
                <w:szCs w:val="15"/>
                <w:color w:val="auto"/>
              </w:rPr>
              <w:t>32,635</w:t>
            </w:r>
          </w:p>
        </w:tc>
        <w:tc>
          <w:tcPr>
            <w:tcW w:w="860" w:type="dxa"/>
            <w:vAlign w:val="bottom"/>
          </w:tcPr>
          <w:p>
            <w:pPr>
              <w:jc w:val="right"/>
              <w:spacing w:after="0"/>
              <w:rPr>
                <w:sz w:val="20"/>
                <w:szCs w:val="20"/>
                <w:color w:val="auto"/>
              </w:rPr>
            </w:pPr>
            <w:r>
              <w:rPr>
                <w:rFonts w:ascii="Arial" w:cs="Arial" w:eastAsia="Arial" w:hAnsi="Arial"/>
                <w:sz w:val="15"/>
                <w:szCs w:val="15"/>
                <w:color w:val="auto"/>
              </w:rPr>
              <w:t>39,996</w:t>
            </w:r>
          </w:p>
        </w:tc>
        <w:tc>
          <w:tcPr>
            <w:tcW w:w="1300" w:type="dxa"/>
            <w:vAlign w:val="bottom"/>
          </w:tcPr>
          <w:p>
            <w:pPr>
              <w:jc w:val="right"/>
              <w:ind w:right="267"/>
              <w:spacing w:after="0"/>
              <w:rPr>
                <w:sz w:val="20"/>
                <w:szCs w:val="20"/>
                <w:color w:val="auto"/>
              </w:rPr>
            </w:pPr>
            <w:r>
              <w:rPr>
                <w:rFonts w:ascii="Arial" w:cs="Arial" w:eastAsia="Arial" w:hAnsi="Arial"/>
                <w:sz w:val="15"/>
                <w:szCs w:val="15"/>
                <w:color w:val="auto"/>
              </w:rPr>
              <w:t>44,700</w:t>
            </w:r>
          </w:p>
        </w:tc>
        <w:tc>
          <w:tcPr>
            <w:tcW w:w="860" w:type="dxa"/>
            <w:vAlign w:val="bottom"/>
          </w:tcPr>
          <w:p>
            <w:pPr>
              <w:jc w:val="right"/>
              <w:ind w:right="107"/>
              <w:spacing w:after="0"/>
              <w:rPr>
                <w:sz w:val="20"/>
                <w:szCs w:val="20"/>
                <w:color w:val="auto"/>
              </w:rPr>
            </w:pPr>
            <w:r>
              <w:rPr>
                <w:rFonts w:ascii="Arial" w:cs="Arial" w:eastAsia="Arial" w:hAnsi="Arial"/>
                <w:sz w:val="15"/>
                <w:szCs w:val="15"/>
                <w:color w:val="auto"/>
              </w:rPr>
              <w:t>30,219</w:t>
            </w:r>
          </w:p>
        </w:tc>
        <w:tc>
          <w:tcPr>
            <w:tcW w:w="1400" w:type="dxa"/>
            <w:vAlign w:val="bottom"/>
          </w:tcPr>
          <w:p>
            <w:pPr>
              <w:jc w:val="right"/>
              <w:ind w:right="487"/>
              <w:spacing w:after="0"/>
              <w:rPr>
                <w:sz w:val="20"/>
                <w:szCs w:val="20"/>
                <w:color w:val="auto"/>
              </w:rPr>
            </w:pPr>
            <w:r>
              <w:rPr>
                <w:rFonts w:ascii="Arial" w:cs="Arial" w:eastAsia="Arial" w:hAnsi="Arial"/>
                <w:sz w:val="15"/>
                <w:szCs w:val="15"/>
                <w:color w:val="auto"/>
              </w:rPr>
              <w:t>10,051</w:t>
            </w:r>
          </w:p>
        </w:tc>
        <w:tc>
          <w:tcPr>
            <w:tcW w:w="0" w:type="dxa"/>
            <w:vAlign w:val="bottom"/>
          </w:tcPr>
          <w:p>
            <w:pPr>
              <w:spacing w:after="0"/>
              <w:rPr>
                <w:sz w:val="1"/>
                <w:szCs w:val="1"/>
                <w:color w:val="auto"/>
              </w:rPr>
            </w:pPr>
          </w:p>
        </w:tc>
      </w:tr>
      <w:tr>
        <w:trPr>
          <w:trHeight w:val="187"/>
        </w:trPr>
        <w:tc>
          <w:tcPr>
            <w:tcW w:w="1880" w:type="dxa"/>
            <w:vAlign w:val="bottom"/>
          </w:tcPr>
          <w:p>
            <w:pPr>
              <w:ind w:left="240"/>
              <w:spacing w:after="0"/>
              <w:rPr>
                <w:sz w:val="20"/>
                <w:szCs w:val="20"/>
                <w:color w:val="auto"/>
              </w:rPr>
            </w:pPr>
            <w:r>
              <w:rPr>
                <w:rFonts w:ascii="Arial" w:cs="Arial" w:eastAsia="Arial" w:hAnsi="Arial"/>
                <w:sz w:val="15"/>
                <w:szCs w:val="15"/>
                <w:color w:val="auto"/>
              </w:rPr>
              <w:t>Incomplete construction</w:t>
            </w:r>
          </w:p>
        </w:tc>
        <w:tc>
          <w:tcPr>
            <w:tcW w:w="2620" w:type="dxa"/>
            <w:vAlign w:val="bottom"/>
          </w:tcPr>
          <w:p>
            <w:pPr>
              <w:spacing w:after="0"/>
              <w:rPr>
                <w:sz w:val="16"/>
                <w:szCs w:val="16"/>
                <w:color w:val="auto"/>
              </w:rPr>
            </w:pPr>
          </w:p>
        </w:tc>
        <w:tc>
          <w:tcPr>
            <w:tcW w:w="9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7,051</w:t>
            </w:r>
          </w:p>
        </w:tc>
        <w:tc>
          <w:tcPr>
            <w:tcW w:w="104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15,344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2,114</w:t>
            </w:r>
          </w:p>
        </w:tc>
        <w:tc>
          <w:tcPr>
            <w:tcW w:w="130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rPr>
              <w:t>6,075</w:t>
            </w:r>
          </w:p>
        </w:tc>
        <w:tc>
          <w:tcPr>
            <w:tcW w:w="8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10,163</w:t>
            </w:r>
          </w:p>
        </w:tc>
        <w:tc>
          <w:tcPr>
            <w:tcW w:w="140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rPr>
              <w:t>4,621</w:t>
            </w:r>
          </w:p>
        </w:tc>
        <w:tc>
          <w:tcPr>
            <w:tcW w:w="0" w:type="dxa"/>
            <w:vAlign w:val="bottom"/>
          </w:tcPr>
          <w:p>
            <w:pPr>
              <w:spacing w:after="0"/>
              <w:rPr>
                <w:sz w:val="1"/>
                <w:szCs w:val="1"/>
                <w:color w:val="auto"/>
              </w:rPr>
            </w:pPr>
          </w:p>
        </w:tc>
      </w:tr>
      <w:tr>
        <w:trPr>
          <w:trHeight w:val="173"/>
        </w:trPr>
        <w:tc>
          <w:tcPr>
            <w:tcW w:w="1880" w:type="dxa"/>
            <w:vAlign w:val="bottom"/>
          </w:tcPr>
          <w:p>
            <w:pPr>
              <w:ind w:left="360"/>
              <w:spacing w:after="0"/>
              <w:rPr>
                <w:sz w:val="20"/>
                <w:szCs w:val="20"/>
                <w:color w:val="auto"/>
              </w:rPr>
            </w:pPr>
            <w:r>
              <w:rPr>
                <w:rFonts w:ascii="Arial" w:cs="Arial" w:eastAsia="Arial" w:hAnsi="Arial"/>
                <w:sz w:val="15"/>
                <w:szCs w:val="15"/>
                <w:color w:val="auto"/>
              </w:rPr>
              <w:t>Total capitalized costs</w:t>
            </w:r>
          </w:p>
        </w:tc>
        <w:tc>
          <w:tcPr>
            <w:tcW w:w="2620" w:type="dxa"/>
            <w:vAlign w:val="bottom"/>
          </w:tcPr>
          <w:p>
            <w:pPr>
              <w:spacing w:after="0"/>
              <w:rPr>
                <w:sz w:val="15"/>
                <w:szCs w:val="15"/>
                <w:color w:val="auto"/>
              </w:rPr>
            </w:pP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124,915</w:t>
            </w:r>
          </w:p>
        </w:tc>
        <w:tc>
          <w:tcPr>
            <w:tcW w:w="1040" w:type="dxa"/>
            <w:vAlign w:val="bottom"/>
          </w:tcPr>
          <w:p>
            <w:pPr>
              <w:jc w:val="right"/>
              <w:ind w:right="147"/>
              <w:spacing w:after="0"/>
              <w:rPr>
                <w:sz w:val="20"/>
                <w:szCs w:val="20"/>
                <w:color w:val="auto"/>
              </w:rPr>
            </w:pPr>
            <w:r>
              <w:rPr>
                <w:rFonts w:ascii="Arial" w:cs="Arial" w:eastAsia="Arial" w:hAnsi="Arial"/>
                <w:sz w:val="15"/>
                <w:szCs w:val="15"/>
                <w:color w:val="auto"/>
              </w:rPr>
              <w:t>55,401</w:t>
            </w:r>
          </w:p>
        </w:tc>
        <w:tc>
          <w:tcPr>
            <w:tcW w:w="860" w:type="dxa"/>
            <w:vAlign w:val="bottom"/>
          </w:tcPr>
          <w:p>
            <w:pPr>
              <w:jc w:val="right"/>
              <w:spacing w:after="0"/>
              <w:rPr>
                <w:sz w:val="20"/>
                <w:szCs w:val="20"/>
                <w:color w:val="auto"/>
              </w:rPr>
            </w:pPr>
            <w:r>
              <w:rPr>
                <w:rFonts w:ascii="Arial" w:cs="Arial" w:eastAsia="Arial" w:hAnsi="Arial"/>
                <w:sz w:val="15"/>
                <w:szCs w:val="15"/>
                <w:color w:val="auto"/>
              </w:rPr>
              <w:t>42,345</w:t>
            </w:r>
          </w:p>
        </w:tc>
        <w:tc>
          <w:tcPr>
            <w:tcW w:w="1300" w:type="dxa"/>
            <w:vAlign w:val="bottom"/>
          </w:tcPr>
          <w:p>
            <w:pPr>
              <w:jc w:val="right"/>
              <w:ind w:right="267"/>
              <w:spacing w:after="0"/>
              <w:rPr>
                <w:sz w:val="20"/>
                <w:szCs w:val="20"/>
                <w:color w:val="auto"/>
              </w:rPr>
            </w:pPr>
            <w:r>
              <w:rPr>
                <w:rFonts w:ascii="Arial" w:cs="Arial" w:eastAsia="Arial" w:hAnsi="Arial"/>
                <w:sz w:val="15"/>
                <w:szCs w:val="15"/>
                <w:color w:val="auto"/>
              </w:rPr>
              <w:t>52,266</w:t>
            </w:r>
          </w:p>
        </w:tc>
        <w:tc>
          <w:tcPr>
            <w:tcW w:w="860" w:type="dxa"/>
            <w:vAlign w:val="bottom"/>
          </w:tcPr>
          <w:p>
            <w:pPr>
              <w:jc w:val="right"/>
              <w:ind w:right="107"/>
              <w:spacing w:after="0"/>
              <w:rPr>
                <w:sz w:val="20"/>
                <w:szCs w:val="20"/>
                <w:color w:val="auto"/>
              </w:rPr>
            </w:pPr>
            <w:r>
              <w:rPr>
                <w:rFonts w:ascii="Arial" w:cs="Arial" w:eastAsia="Arial" w:hAnsi="Arial"/>
                <w:sz w:val="15"/>
                <w:szCs w:val="15"/>
                <w:color w:val="auto"/>
              </w:rPr>
              <w:t>42,643</w:t>
            </w:r>
          </w:p>
        </w:tc>
        <w:tc>
          <w:tcPr>
            <w:tcW w:w="1400" w:type="dxa"/>
            <w:vAlign w:val="bottom"/>
          </w:tcPr>
          <w:p>
            <w:pPr>
              <w:jc w:val="right"/>
              <w:ind w:right="487"/>
              <w:spacing w:after="0"/>
              <w:rPr>
                <w:sz w:val="20"/>
                <w:szCs w:val="20"/>
                <w:color w:val="auto"/>
              </w:rPr>
            </w:pPr>
            <w:r>
              <w:rPr>
                <w:rFonts w:ascii="Arial" w:cs="Arial" w:eastAsia="Arial" w:hAnsi="Arial"/>
                <w:sz w:val="15"/>
                <w:szCs w:val="15"/>
                <w:color w:val="auto"/>
              </w:rPr>
              <w:t>15,616</w:t>
            </w:r>
          </w:p>
        </w:tc>
        <w:tc>
          <w:tcPr>
            <w:tcW w:w="0" w:type="dxa"/>
            <w:vAlign w:val="bottom"/>
          </w:tcPr>
          <w:p>
            <w:pPr>
              <w:spacing w:after="0"/>
              <w:rPr>
                <w:sz w:val="1"/>
                <w:szCs w:val="1"/>
                <w:color w:val="auto"/>
              </w:rPr>
            </w:pPr>
          </w:p>
        </w:tc>
      </w:tr>
      <w:tr>
        <w:trPr>
          <w:trHeight w:val="187"/>
        </w:trPr>
        <w:tc>
          <w:tcPr>
            <w:tcW w:w="4500" w:type="dxa"/>
            <w:vAlign w:val="bottom"/>
            <w:gridSpan w:val="2"/>
          </w:tcPr>
          <w:p>
            <w:pPr>
              <w:ind w:left="240"/>
              <w:spacing w:after="0"/>
              <w:rPr>
                <w:sz w:val="20"/>
                <w:szCs w:val="20"/>
                <w:color w:val="auto"/>
              </w:rPr>
            </w:pPr>
            <w:r>
              <w:rPr>
                <w:rFonts w:ascii="Arial" w:cs="Arial" w:eastAsia="Arial" w:hAnsi="Arial"/>
                <w:sz w:val="15"/>
                <w:szCs w:val="15"/>
                <w:color w:val="auto"/>
              </w:rPr>
              <w:t>Accumulated depreciation and depletion</w:t>
            </w:r>
          </w:p>
        </w:tc>
        <w:tc>
          <w:tcPr>
            <w:tcW w:w="9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43,031</w:t>
            </w:r>
          </w:p>
        </w:tc>
        <w:tc>
          <w:tcPr>
            <w:tcW w:w="104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15,197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32,608</w:t>
            </w:r>
          </w:p>
        </w:tc>
        <w:tc>
          <w:tcPr>
            <w:tcW w:w="130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rPr>
              <w:t>27,995</w:t>
            </w:r>
          </w:p>
        </w:tc>
        <w:tc>
          <w:tcPr>
            <w:tcW w:w="8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17,273</w:t>
            </w:r>
          </w:p>
        </w:tc>
        <w:tc>
          <w:tcPr>
            <w:tcW w:w="140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rPr>
              <w:t>4,630</w:t>
            </w:r>
          </w:p>
        </w:tc>
        <w:tc>
          <w:tcPr>
            <w:tcW w:w="0" w:type="dxa"/>
            <w:vAlign w:val="bottom"/>
          </w:tcPr>
          <w:p>
            <w:pPr>
              <w:spacing w:after="0"/>
              <w:rPr>
                <w:sz w:val="1"/>
                <w:szCs w:val="1"/>
                <w:color w:val="auto"/>
              </w:rPr>
            </w:pPr>
          </w:p>
        </w:tc>
      </w:tr>
      <w:tr>
        <w:trPr>
          <w:trHeight w:val="181"/>
        </w:trPr>
        <w:tc>
          <w:tcPr>
            <w:tcW w:w="4500" w:type="dxa"/>
            <w:vAlign w:val="bottom"/>
            <w:gridSpan w:val="2"/>
          </w:tcPr>
          <w:p>
            <w:pPr>
              <w:ind w:left="240"/>
              <w:spacing w:after="0"/>
              <w:rPr>
                <w:sz w:val="20"/>
                <w:szCs w:val="20"/>
                <w:color w:val="auto"/>
              </w:rPr>
            </w:pPr>
            <w:r>
              <w:rPr>
                <w:rFonts w:ascii="Arial" w:cs="Arial" w:eastAsia="Arial" w:hAnsi="Arial"/>
                <w:sz w:val="15"/>
                <w:szCs w:val="15"/>
                <w:color w:val="auto"/>
              </w:rPr>
              <w:t>Net capitalized costs for consolidated subsidiaries</w:t>
            </w:r>
          </w:p>
        </w:tc>
        <w:tc>
          <w:tcPr>
            <w:tcW w:w="9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81,884</w:t>
            </w:r>
          </w:p>
        </w:tc>
        <w:tc>
          <w:tcPr>
            <w:tcW w:w="104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40,204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9,737</w:t>
            </w:r>
          </w:p>
        </w:tc>
        <w:tc>
          <w:tcPr>
            <w:tcW w:w="130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rPr>
              <w:t>24,271</w:t>
            </w:r>
          </w:p>
        </w:tc>
        <w:tc>
          <w:tcPr>
            <w:tcW w:w="8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25,370</w:t>
            </w:r>
          </w:p>
        </w:tc>
        <w:tc>
          <w:tcPr>
            <w:tcW w:w="140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rPr>
              <w:t>10,986</w:t>
            </w:r>
          </w:p>
        </w:tc>
        <w:tc>
          <w:tcPr>
            <w:tcW w:w="0" w:type="dxa"/>
            <w:vAlign w:val="bottom"/>
          </w:tcPr>
          <w:p>
            <w:pPr>
              <w:spacing w:after="0"/>
              <w:rPr>
                <w:sz w:val="1"/>
                <w:szCs w:val="1"/>
                <w:color w:val="auto"/>
              </w:rPr>
            </w:pPr>
          </w:p>
        </w:tc>
      </w:tr>
      <w:tr>
        <w:trPr>
          <w:trHeight w:val="352"/>
        </w:trPr>
        <w:tc>
          <w:tcPr>
            <w:tcW w:w="1880" w:type="dxa"/>
            <w:vAlign w:val="bottom"/>
          </w:tcPr>
          <w:p>
            <w:pPr>
              <w:spacing w:after="0"/>
              <w:rPr>
                <w:sz w:val="20"/>
                <w:szCs w:val="20"/>
                <w:color w:val="auto"/>
              </w:rPr>
            </w:pPr>
            <w:r>
              <w:rPr>
                <w:rFonts w:ascii="Arial" w:cs="Arial" w:eastAsia="Arial" w:hAnsi="Arial"/>
                <w:sz w:val="15"/>
                <w:szCs w:val="15"/>
                <w:b w:val="1"/>
                <w:bCs w:val="1"/>
                <w:color w:val="auto"/>
              </w:rPr>
              <w:t>Equity Companies</w:t>
            </w:r>
          </w:p>
        </w:tc>
        <w:tc>
          <w:tcPr>
            <w:tcW w:w="2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880" w:type="dxa"/>
            <w:vAlign w:val="bottom"/>
          </w:tcPr>
          <w:p>
            <w:pPr>
              <w:spacing w:after="0"/>
              <w:rPr>
                <w:sz w:val="20"/>
                <w:szCs w:val="20"/>
                <w:color w:val="auto"/>
              </w:rPr>
            </w:pPr>
            <w:r>
              <w:rPr>
                <w:rFonts w:ascii="Arial" w:cs="Arial" w:eastAsia="Arial" w:hAnsi="Arial"/>
                <w:sz w:val="15"/>
                <w:szCs w:val="15"/>
                <w:color w:val="auto"/>
              </w:rPr>
              <w:t>As of December 31, 2014</w:t>
            </w:r>
          </w:p>
        </w:tc>
        <w:tc>
          <w:tcPr>
            <w:tcW w:w="2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80" w:type="dxa"/>
            <w:vAlign w:val="bottom"/>
          </w:tcPr>
          <w:p>
            <w:pPr>
              <w:ind w:left="240"/>
              <w:spacing w:after="0"/>
              <w:rPr>
                <w:sz w:val="20"/>
                <w:szCs w:val="20"/>
                <w:color w:val="auto"/>
              </w:rPr>
            </w:pPr>
            <w:r>
              <w:rPr>
                <w:rFonts w:ascii="Arial" w:cs="Arial" w:eastAsia="Arial" w:hAnsi="Arial"/>
                <w:sz w:val="15"/>
                <w:szCs w:val="15"/>
                <w:color w:val="auto"/>
                <w:w w:val="98"/>
              </w:rPr>
              <w:t>Property (acreage) costs</w:t>
            </w:r>
          </w:p>
        </w:tc>
        <w:tc>
          <w:tcPr>
            <w:tcW w:w="2620" w:type="dxa"/>
            <w:vAlign w:val="bottom"/>
          </w:tcPr>
          <w:p>
            <w:pPr>
              <w:ind w:left="200"/>
              <w:spacing w:after="0"/>
              <w:rPr>
                <w:sz w:val="20"/>
                <w:szCs w:val="20"/>
                <w:color w:val="auto"/>
              </w:rPr>
            </w:pPr>
            <w:r>
              <w:rPr>
                <w:rFonts w:ascii="Arial" w:cs="Arial" w:eastAsia="Arial" w:hAnsi="Arial"/>
                <w:sz w:val="15"/>
                <w:szCs w:val="15"/>
                <w:color w:val="auto"/>
              </w:rPr>
              <w:t>- Proved</w:t>
            </w: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78</w:t>
            </w: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w:t>
            </w:r>
          </w:p>
        </w:tc>
        <w:tc>
          <w:tcPr>
            <w:tcW w:w="1300" w:type="dxa"/>
            <w:vAlign w:val="bottom"/>
          </w:tcPr>
          <w:p>
            <w:pPr>
              <w:jc w:val="right"/>
              <w:ind w:right="347"/>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1880" w:type="dxa"/>
            <w:vAlign w:val="bottom"/>
          </w:tcPr>
          <w:p>
            <w:pPr>
              <w:spacing w:after="0"/>
              <w:rPr>
                <w:sz w:val="16"/>
                <w:szCs w:val="16"/>
                <w:color w:val="auto"/>
              </w:rPr>
            </w:pPr>
          </w:p>
        </w:tc>
        <w:tc>
          <w:tcPr>
            <w:tcW w:w="2620" w:type="dxa"/>
            <w:vAlign w:val="bottom"/>
          </w:tcPr>
          <w:p>
            <w:pPr>
              <w:ind w:left="200"/>
              <w:spacing w:after="0"/>
              <w:rPr>
                <w:sz w:val="20"/>
                <w:szCs w:val="20"/>
                <w:color w:val="auto"/>
              </w:rPr>
            </w:pPr>
            <w:r>
              <w:rPr>
                <w:rFonts w:ascii="Arial" w:cs="Arial" w:eastAsia="Arial" w:hAnsi="Arial"/>
                <w:sz w:val="15"/>
                <w:szCs w:val="15"/>
                <w:color w:val="auto"/>
              </w:rPr>
              <w:t>- Unproved</w:t>
            </w:r>
          </w:p>
        </w:tc>
        <w:tc>
          <w:tcPr>
            <w:tcW w:w="9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35</w:t>
            </w:r>
          </w:p>
        </w:tc>
        <w:tc>
          <w:tcPr>
            <w:tcW w:w="104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59</w:t>
            </w:r>
          </w:p>
        </w:tc>
        <w:tc>
          <w:tcPr>
            <w:tcW w:w="140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1880" w:type="dxa"/>
            <w:vAlign w:val="bottom"/>
          </w:tcPr>
          <w:p>
            <w:pPr>
              <w:ind w:left="360"/>
              <w:spacing w:after="0"/>
              <w:rPr>
                <w:sz w:val="20"/>
                <w:szCs w:val="20"/>
                <w:color w:val="auto"/>
              </w:rPr>
            </w:pPr>
            <w:r>
              <w:rPr>
                <w:rFonts w:ascii="Arial" w:cs="Arial" w:eastAsia="Arial" w:hAnsi="Arial"/>
                <w:sz w:val="15"/>
                <w:szCs w:val="15"/>
                <w:color w:val="auto"/>
              </w:rPr>
              <w:t>Total property costs</w:t>
            </w:r>
          </w:p>
        </w:tc>
        <w:tc>
          <w:tcPr>
            <w:tcW w:w="2620" w:type="dxa"/>
            <w:vAlign w:val="bottom"/>
          </w:tcPr>
          <w:p>
            <w:pPr>
              <w:spacing w:after="0"/>
              <w:rPr>
                <w:sz w:val="15"/>
                <w:szCs w:val="15"/>
                <w:color w:val="auto"/>
              </w:rPr>
            </w:pP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113</w:t>
            </w: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w:t>
            </w:r>
          </w:p>
        </w:tc>
        <w:tc>
          <w:tcPr>
            <w:tcW w:w="1300" w:type="dxa"/>
            <w:vAlign w:val="bottom"/>
          </w:tcPr>
          <w:p>
            <w:pPr>
              <w:jc w:val="right"/>
              <w:ind w:right="347"/>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07"/>
              <w:spacing w:after="0"/>
              <w:rPr>
                <w:sz w:val="20"/>
                <w:szCs w:val="20"/>
                <w:color w:val="auto"/>
              </w:rPr>
            </w:pPr>
            <w:r>
              <w:rPr>
                <w:rFonts w:ascii="Arial" w:cs="Arial" w:eastAsia="Arial" w:hAnsi="Arial"/>
                <w:sz w:val="15"/>
                <w:szCs w:val="15"/>
                <w:color w:val="auto"/>
              </w:rPr>
              <w:t>59</w:t>
            </w:r>
          </w:p>
        </w:tc>
        <w:tc>
          <w:tcPr>
            <w:tcW w:w="1400" w:type="dxa"/>
            <w:vAlign w:val="bottom"/>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880" w:type="dxa"/>
            <w:vAlign w:val="bottom"/>
          </w:tcPr>
          <w:p>
            <w:pPr>
              <w:ind w:left="240"/>
              <w:spacing w:after="0"/>
              <w:rPr>
                <w:sz w:val="20"/>
                <w:szCs w:val="20"/>
                <w:color w:val="auto"/>
              </w:rPr>
            </w:pPr>
            <w:r>
              <w:rPr>
                <w:rFonts w:ascii="Arial" w:cs="Arial" w:eastAsia="Arial" w:hAnsi="Arial"/>
                <w:sz w:val="15"/>
                <w:szCs w:val="15"/>
                <w:color w:val="auto"/>
              </w:rPr>
              <w:t>Producing assets</w:t>
            </w:r>
          </w:p>
        </w:tc>
        <w:tc>
          <w:tcPr>
            <w:tcW w:w="2620" w:type="dxa"/>
            <w:vAlign w:val="bottom"/>
          </w:tcPr>
          <w:p>
            <w:pPr>
              <w:spacing w:after="0"/>
              <w:rPr>
                <w:sz w:val="15"/>
                <w:szCs w:val="15"/>
                <w:color w:val="auto"/>
              </w:rPr>
            </w:pP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5,538</w:t>
            </w: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5,309</w:t>
            </w:r>
          </w:p>
        </w:tc>
        <w:tc>
          <w:tcPr>
            <w:tcW w:w="1300" w:type="dxa"/>
            <w:vAlign w:val="bottom"/>
          </w:tcPr>
          <w:p>
            <w:pPr>
              <w:jc w:val="right"/>
              <w:ind w:right="347"/>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07"/>
              <w:spacing w:after="0"/>
              <w:rPr>
                <w:sz w:val="20"/>
                <w:szCs w:val="20"/>
                <w:color w:val="auto"/>
              </w:rPr>
            </w:pPr>
            <w:r>
              <w:rPr>
                <w:rFonts w:ascii="Arial" w:cs="Arial" w:eastAsia="Arial" w:hAnsi="Arial"/>
                <w:sz w:val="15"/>
                <w:szCs w:val="15"/>
                <w:color w:val="auto"/>
              </w:rPr>
              <w:t>8,500</w:t>
            </w:r>
          </w:p>
        </w:tc>
        <w:tc>
          <w:tcPr>
            <w:tcW w:w="1400" w:type="dxa"/>
            <w:vAlign w:val="bottom"/>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1880" w:type="dxa"/>
            <w:vAlign w:val="bottom"/>
          </w:tcPr>
          <w:p>
            <w:pPr>
              <w:ind w:left="240"/>
              <w:spacing w:after="0"/>
              <w:rPr>
                <w:sz w:val="20"/>
                <w:szCs w:val="20"/>
                <w:color w:val="auto"/>
              </w:rPr>
            </w:pPr>
            <w:r>
              <w:rPr>
                <w:rFonts w:ascii="Arial" w:cs="Arial" w:eastAsia="Arial" w:hAnsi="Arial"/>
                <w:sz w:val="15"/>
                <w:szCs w:val="15"/>
                <w:color w:val="auto"/>
              </w:rPr>
              <w:t>Incomplete construction</w:t>
            </w:r>
          </w:p>
        </w:tc>
        <w:tc>
          <w:tcPr>
            <w:tcW w:w="2620" w:type="dxa"/>
            <w:vAlign w:val="bottom"/>
          </w:tcPr>
          <w:p>
            <w:pPr>
              <w:spacing w:after="0"/>
              <w:rPr>
                <w:sz w:val="16"/>
                <w:szCs w:val="16"/>
                <w:color w:val="auto"/>
              </w:rPr>
            </w:pPr>
          </w:p>
        </w:tc>
        <w:tc>
          <w:tcPr>
            <w:tcW w:w="9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473</w:t>
            </w:r>
          </w:p>
        </w:tc>
        <w:tc>
          <w:tcPr>
            <w:tcW w:w="104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251</w:t>
            </w:r>
          </w:p>
        </w:tc>
        <w:tc>
          <w:tcPr>
            <w:tcW w:w="13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2,972</w:t>
            </w:r>
          </w:p>
        </w:tc>
        <w:tc>
          <w:tcPr>
            <w:tcW w:w="140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1880" w:type="dxa"/>
            <w:vAlign w:val="bottom"/>
          </w:tcPr>
          <w:p>
            <w:pPr>
              <w:ind w:left="360"/>
              <w:spacing w:after="0"/>
              <w:rPr>
                <w:sz w:val="20"/>
                <w:szCs w:val="20"/>
                <w:color w:val="auto"/>
              </w:rPr>
            </w:pPr>
            <w:r>
              <w:rPr>
                <w:rFonts w:ascii="Arial" w:cs="Arial" w:eastAsia="Arial" w:hAnsi="Arial"/>
                <w:sz w:val="15"/>
                <w:szCs w:val="15"/>
                <w:color w:val="auto"/>
              </w:rPr>
              <w:t>Total capitalized costs</w:t>
            </w:r>
          </w:p>
        </w:tc>
        <w:tc>
          <w:tcPr>
            <w:tcW w:w="2620" w:type="dxa"/>
            <w:vAlign w:val="bottom"/>
          </w:tcPr>
          <w:p>
            <w:pPr>
              <w:spacing w:after="0"/>
              <w:rPr>
                <w:sz w:val="15"/>
                <w:szCs w:val="15"/>
                <w:color w:val="auto"/>
              </w:rPr>
            </w:pP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6,124</w:t>
            </w: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5,564</w:t>
            </w:r>
          </w:p>
        </w:tc>
        <w:tc>
          <w:tcPr>
            <w:tcW w:w="1300" w:type="dxa"/>
            <w:vAlign w:val="bottom"/>
          </w:tcPr>
          <w:p>
            <w:pPr>
              <w:jc w:val="right"/>
              <w:ind w:right="347"/>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07"/>
              <w:spacing w:after="0"/>
              <w:rPr>
                <w:sz w:val="20"/>
                <w:szCs w:val="20"/>
                <w:color w:val="auto"/>
              </w:rPr>
            </w:pPr>
            <w:r>
              <w:rPr>
                <w:rFonts w:ascii="Arial" w:cs="Arial" w:eastAsia="Arial" w:hAnsi="Arial"/>
                <w:sz w:val="15"/>
                <w:szCs w:val="15"/>
                <w:color w:val="auto"/>
              </w:rPr>
              <w:t>11,531</w:t>
            </w:r>
          </w:p>
        </w:tc>
        <w:tc>
          <w:tcPr>
            <w:tcW w:w="1400" w:type="dxa"/>
            <w:vAlign w:val="bottom"/>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4500" w:type="dxa"/>
            <w:vAlign w:val="bottom"/>
            <w:gridSpan w:val="2"/>
          </w:tcPr>
          <w:p>
            <w:pPr>
              <w:ind w:left="240"/>
              <w:spacing w:after="0"/>
              <w:rPr>
                <w:sz w:val="20"/>
                <w:szCs w:val="20"/>
                <w:color w:val="auto"/>
              </w:rPr>
            </w:pPr>
            <w:r>
              <w:rPr>
                <w:rFonts w:ascii="Arial" w:cs="Arial" w:eastAsia="Arial" w:hAnsi="Arial"/>
                <w:sz w:val="15"/>
                <w:szCs w:val="15"/>
                <w:color w:val="auto"/>
              </w:rPr>
              <w:t>Accumulated depreciation and depletion</w:t>
            </w:r>
          </w:p>
        </w:tc>
        <w:tc>
          <w:tcPr>
            <w:tcW w:w="9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1,872</w:t>
            </w:r>
          </w:p>
        </w:tc>
        <w:tc>
          <w:tcPr>
            <w:tcW w:w="104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4,205</w:t>
            </w:r>
          </w:p>
        </w:tc>
        <w:tc>
          <w:tcPr>
            <w:tcW w:w="13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5,095</w:t>
            </w:r>
          </w:p>
        </w:tc>
        <w:tc>
          <w:tcPr>
            <w:tcW w:w="140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4500" w:type="dxa"/>
            <w:vAlign w:val="bottom"/>
            <w:gridSpan w:val="2"/>
          </w:tcPr>
          <w:p>
            <w:pPr>
              <w:ind w:left="240"/>
              <w:spacing w:after="0"/>
              <w:rPr>
                <w:sz w:val="20"/>
                <w:szCs w:val="20"/>
                <w:color w:val="auto"/>
              </w:rPr>
            </w:pPr>
            <w:r>
              <w:rPr>
                <w:rFonts w:ascii="Arial" w:cs="Arial" w:eastAsia="Arial" w:hAnsi="Arial"/>
                <w:sz w:val="15"/>
                <w:szCs w:val="15"/>
                <w:color w:val="auto"/>
              </w:rPr>
              <w:t>Net capitalized costs for equity companies</w:t>
            </w:r>
          </w:p>
        </w:tc>
        <w:tc>
          <w:tcPr>
            <w:tcW w:w="9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4,252</w:t>
            </w:r>
          </w:p>
        </w:tc>
        <w:tc>
          <w:tcPr>
            <w:tcW w:w="104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1,359</w:t>
            </w:r>
          </w:p>
        </w:tc>
        <w:tc>
          <w:tcPr>
            <w:tcW w:w="13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6,436</w:t>
            </w:r>
          </w:p>
        </w:tc>
        <w:tc>
          <w:tcPr>
            <w:tcW w:w="140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52"/>
        </w:trPr>
        <w:tc>
          <w:tcPr>
            <w:tcW w:w="1880" w:type="dxa"/>
            <w:vAlign w:val="bottom"/>
          </w:tcPr>
          <w:p>
            <w:pPr>
              <w:spacing w:after="0"/>
              <w:rPr>
                <w:sz w:val="20"/>
                <w:szCs w:val="20"/>
                <w:color w:val="auto"/>
              </w:rPr>
            </w:pPr>
            <w:r>
              <w:rPr>
                <w:rFonts w:ascii="Arial" w:cs="Arial" w:eastAsia="Arial" w:hAnsi="Arial"/>
                <w:sz w:val="15"/>
                <w:szCs w:val="15"/>
                <w:b w:val="1"/>
                <w:bCs w:val="1"/>
                <w:color w:val="auto"/>
                <w:w w:val="98"/>
              </w:rPr>
              <w:t>Consolidated Subsidiaries</w:t>
            </w:r>
          </w:p>
        </w:tc>
        <w:tc>
          <w:tcPr>
            <w:tcW w:w="2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880" w:type="dxa"/>
            <w:vAlign w:val="bottom"/>
          </w:tcPr>
          <w:p>
            <w:pPr>
              <w:spacing w:after="0"/>
              <w:rPr>
                <w:sz w:val="20"/>
                <w:szCs w:val="20"/>
                <w:color w:val="auto"/>
              </w:rPr>
            </w:pPr>
            <w:r>
              <w:rPr>
                <w:rFonts w:ascii="Arial" w:cs="Arial" w:eastAsia="Arial" w:hAnsi="Arial"/>
                <w:sz w:val="15"/>
                <w:szCs w:val="15"/>
                <w:color w:val="auto"/>
              </w:rPr>
              <w:t>As of December 31, 2013</w:t>
            </w:r>
          </w:p>
        </w:tc>
        <w:tc>
          <w:tcPr>
            <w:tcW w:w="2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80" w:type="dxa"/>
            <w:vAlign w:val="bottom"/>
          </w:tcPr>
          <w:p>
            <w:pPr>
              <w:ind w:left="240"/>
              <w:spacing w:after="0"/>
              <w:rPr>
                <w:sz w:val="20"/>
                <w:szCs w:val="20"/>
                <w:color w:val="auto"/>
              </w:rPr>
            </w:pPr>
            <w:r>
              <w:rPr>
                <w:rFonts w:ascii="Arial" w:cs="Arial" w:eastAsia="Arial" w:hAnsi="Arial"/>
                <w:sz w:val="15"/>
                <w:szCs w:val="15"/>
                <w:color w:val="auto"/>
                <w:w w:val="98"/>
              </w:rPr>
              <w:t>Property (acreage) costs</w:t>
            </w:r>
          </w:p>
        </w:tc>
        <w:tc>
          <w:tcPr>
            <w:tcW w:w="2620" w:type="dxa"/>
            <w:vAlign w:val="bottom"/>
          </w:tcPr>
          <w:p>
            <w:pPr>
              <w:ind w:left="200"/>
              <w:spacing w:after="0"/>
              <w:rPr>
                <w:sz w:val="20"/>
                <w:szCs w:val="20"/>
                <w:color w:val="auto"/>
              </w:rPr>
            </w:pPr>
            <w:r>
              <w:rPr>
                <w:rFonts w:ascii="Arial" w:cs="Arial" w:eastAsia="Arial" w:hAnsi="Arial"/>
                <w:sz w:val="15"/>
                <w:szCs w:val="15"/>
                <w:color w:val="auto"/>
              </w:rPr>
              <w:t>- Proved</w:t>
            </w: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13,881</w:t>
            </w:r>
          </w:p>
        </w:tc>
        <w:tc>
          <w:tcPr>
            <w:tcW w:w="1040" w:type="dxa"/>
            <w:vAlign w:val="bottom"/>
          </w:tcPr>
          <w:p>
            <w:pPr>
              <w:jc w:val="right"/>
              <w:ind w:right="147"/>
              <w:spacing w:after="0"/>
              <w:rPr>
                <w:sz w:val="20"/>
                <w:szCs w:val="20"/>
                <w:color w:val="auto"/>
              </w:rPr>
            </w:pPr>
            <w:r>
              <w:rPr>
                <w:rFonts w:ascii="Arial" w:cs="Arial" w:eastAsia="Arial" w:hAnsi="Arial"/>
                <w:sz w:val="15"/>
                <w:szCs w:val="15"/>
                <w:color w:val="auto"/>
              </w:rPr>
              <w:t>3,595</w:t>
            </w:r>
          </w:p>
        </w:tc>
        <w:tc>
          <w:tcPr>
            <w:tcW w:w="860" w:type="dxa"/>
            <w:vAlign w:val="bottom"/>
          </w:tcPr>
          <w:p>
            <w:pPr>
              <w:jc w:val="right"/>
              <w:spacing w:after="0"/>
              <w:rPr>
                <w:sz w:val="20"/>
                <w:szCs w:val="20"/>
                <w:color w:val="auto"/>
              </w:rPr>
            </w:pPr>
            <w:r>
              <w:rPr>
                <w:rFonts w:ascii="Arial" w:cs="Arial" w:eastAsia="Arial" w:hAnsi="Arial"/>
                <w:sz w:val="15"/>
                <w:szCs w:val="15"/>
                <w:color w:val="auto"/>
              </w:rPr>
              <w:t>188</w:t>
            </w:r>
          </w:p>
        </w:tc>
        <w:tc>
          <w:tcPr>
            <w:tcW w:w="1300" w:type="dxa"/>
            <w:vAlign w:val="bottom"/>
          </w:tcPr>
          <w:p>
            <w:pPr>
              <w:jc w:val="right"/>
              <w:ind w:right="267"/>
              <w:spacing w:after="0"/>
              <w:rPr>
                <w:sz w:val="20"/>
                <w:szCs w:val="20"/>
                <w:color w:val="auto"/>
              </w:rPr>
            </w:pPr>
            <w:r>
              <w:rPr>
                <w:rFonts w:ascii="Arial" w:cs="Arial" w:eastAsia="Arial" w:hAnsi="Arial"/>
                <w:sz w:val="15"/>
                <w:szCs w:val="15"/>
                <w:color w:val="auto"/>
              </w:rPr>
              <w:t>874</w:t>
            </w:r>
          </w:p>
        </w:tc>
        <w:tc>
          <w:tcPr>
            <w:tcW w:w="860" w:type="dxa"/>
            <w:vAlign w:val="bottom"/>
          </w:tcPr>
          <w:p>
            <w:pPr>
              <w:jc w:val="right"/>
              <w:ind w:right="107"/>
              <w:spacing w:after="0"/>
              <w:rPr>
                <w:sz w:val="20"/>
                <w:szCs w:val="20"/>
                <w:color w:val="auto"/>
              </w:rPr>
            </w:pPr>
            <w:r>
              <w:rPr>
                <w:rFonts w:ascii="Arial" w:cs="Arial" w:eastAsia="Arial" w:hAnsi="Arial"/>
                <w:sz w:val="15"/>
                <w:szCs w:val="15"/>
                <w:color w:val="auto"/>
              </w:rPr>
              <w:t>1,620</w:t>
            </w:r>
          </w:p>
        </w:tc>
        <w:tc>
          <w:tcPr>
            <w:tcW w:w="1400" w:type="dxa"/>
            <w:vAlign w:val="bottom"/>
          </w:tcPr>
          <w:p>
            <w:pPr>
              <w:jc w:val="right"/>
              <w:ind w:right="487"/>
              <w:spacing w:after="0"/>
              <w:rPr>
                <w:sz w:val="20"/>
                <w:szCs w:val="20"/>
                <w:color w:val="auto"/>
              </w:rPr>
            </w:pPr>
            <w:r>
              <w:rPr>
                <w:rFonts w:ascii="Arial" w:cs="Arial" w:eastAsia="Arial" w:hAnsi="Arial"/>
                <w:sz w:val="15"/>
                <w:szCs w:val="15"/>
                <w:color w:val="auto"/>
              </w:rPr>
              <w:t>863</w:t>
            </w:r>
          </w:p>
        </w:tc>
        <w:tc>
          <w:tcPr>
            <w:tcW w:w="0" w:type="dxa"/>
            <w:vAlign w:val="bottom"/>
          </w:tcPr>
          <w:p>
            <w:pPr>
              <w:spacing w:after="0"/>
              <w:rPr>
                <w:sz w:val="1"/>
                <w:szCs w:val="1"/>
                <w:color w:val="auto"/>
              </w:rPr>
            </w:pPr>
          </w:p>
        </w:tc>
      </w:tr>
      <w:tr>
        <w:trPr>
          <w:trHeight w:val="187"/>
        </w:trPr>
        <w:tc>
          <w:tcPr>
            <w:tcW w:w="1880" w:type="dxa"/>
            <w:vAlign w:val="bottom"/>
          </w:tcPr>
          <w:p>
            <w:pPr>
              <w:spacing w:after="0"/>
              <w:rPr>
                <w:sz w:val="16"/>
                <w:szCs w:val="16"/>
                <w:color w:val="auto"/>
              </w:rPr>
            </w:pPr>
          </w:p>
        </w:tc>
        <w:tc>
          <w:tcPr>
            <w:tcW w:w="2620" w:type="dxa"/>
            <w:vAlign w:val="bottom"/>
          </w:tcPr>
          <w:p>
            <w:pPr>
              <w:ind w:left="200"/>
              <w:spacing w:after="0"/>
              <w:rPr>
                <w:sz w:val="20"/>
                <w:szCs w:val="20"/>
                <w:color w:val="auto"/>
              </w:rPr>
            </w:pPr>
            <w:r>
              <w:rPr>
                <w:rFonts w:ascii="Arial" w:cs="Arial" w:eastAsia="Arial" w:hAnsi="Arial"/>
                <w:sz w:val="15"/>
                <w:szCs w:val="15"/>
                <w:color w:val="auto"/>
              </w:rPr>
              <w:t>- Unproved</w:t>
            </w:r>
          </w:p>
        </w:tc>
        <w:tc>
          <w:tcPr>
            <w:tcW w:w="9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23,945</w:t>
            </w:r>
          </w:p>
        </w:tc>
        <w:tc>
          <w:tcPr>
            <w:tcW w:w="104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5,390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w:t>
            </w:r>
          </w:p>
        </w:tc>
        <w:tc>
          <w:tcPr>
            <w:tcW w:w="130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rPr>
              <w:t>583</w:t>
            </w:r>
          </w:p>
        </w:tc>
        <w:tc>
          <w:tcPr>
            <w:tcW w:w="8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701</w:t>
            </w:r>
          </w:p>
        </w:tc>
        <w:tc>
          <w:tcPr>
            <w:tcW w:w="140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173"/>
        </w:trPr>
        <w:tc>
          <w:tcPr>
            <w:tcW w:w="1880" w:type="dxa"/>
            <w:vAlign w:val="bottom"/>
          </w:tcPr>
          <w:p>
            <w:pPr>
              <w:ind w:left="360"/>
              <w:spacing w:after="0"/>
              <w:rPr>
                <w:sz w:val="20"/>
                <w:szCs w:val="20"/>
                <w:color w:val="auto"/>
              </w:rPr>
            </w:pPr>
            <w:r>
              <w:rPr>
                <w:rFonts w:ascii="Arial" w:cs="Arial" w:eastAsia="Arial" w:hAnsi="Arial"/>
                <w:sz w:val="15"/>
                <w:szCs w:val="15"/>
                <w:color w:val="auto"/>
              </w:rPr>
              <w:t>Total property costs</w:t>
            </w:r>
          </w:p>
        </w:tc>
        <w:tc>
          <w:tcPr>
            <w:tcW w:w="2620" w:type="dxa"/>
            <w:vAlign w:val="bottom"/>
          </w:tcPr>
          <w:p>
            <w:pPr>
              <w:spacing w:after="0"/>
              <w:rPr>
                <w:sz w:val="15"/>
                <w:szCs w:val="15"/>
                <w:color w:val="auto"/>
              </w:rPr>
            </w:pP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37,826</w:t>
            </w:r>
          </w:p>
        </w:tc>
        <w:tc>
          <w:tcPr>
            <w:tcW w:w="1040" w:type="dxa"/>
            <w:vAlign w:val="bottom"/>
          </w:tcPr>
          <w:p>
            <w:pPr>
              <w:jc w:val="right"/>
              <w:ind w:right="147"/>
              <w:spacing w:after="0"/>
              <w:rPr>
                <w:sz w:val="20"/>
                <w:szCs w:val="20"/>
                <w:color w:val="auto"/>
              </w:rPr>
            </w:pPr>
            <w:r>
              <w:rPr>
                <w:rFonts w:ascii="Arial" w:cs="Arial" w:eastAsia="Arial" w:hAnsi="Arial"/>
                <w:sz w:val="15"/>
                <w:szCs w:val="15"/>
                <w:color w:val="auto"/>
              </w:rPr>
              <w:t>8,985</w:t>
            </w:r>
          </w:p>
        </w:tc>
        <w:tc>
          <w:tcPr>
            <w:tcW w:w="860" w:type="dxa"/>
            <w:vAlign w:val="bottom"/>
          </w:tcPr>
          <w:p>
            <w:pPr>
              <w:jc w:val="right"/>
              <w:spacing w:after="0"/>
              <w:rPr>
                <w:sz w:val="20"/>
                <w:szCs w:val="20"/>
                <w:color w:val="auto"/>
              </w:rPr>
            </w:pPr>
            <w:r>
              <w:rPr>
                <w:rFonts w:ascii="Arial" w:cs="Arial" w:eastAsia="Arial" w:hAnsi="Arial"/>
                <w:sz w:val="15"/>
                <w:szCs w:val="15"/>
                <w:color w:val="auto"/>
              </w:rPr>
              <w:t>249</w:t>
            </w:r>
          </w:p>
        </w:tc>
        <w:tc>
          <w:tcPr>
            <w:tcW w:w="1300" w:type="dxa"/>
            <w:vAlign w:val="bottom"/>
          </w:tcPr>
          <w:p>
            <w:pPr>
              <w:jc w:val="right"/>
              <w:ind w:right="267"/>
              <w:spacing w:after="0"/>
              <w:rPr>
                <w:sz w:val="20"/>
                <w:szCs w:val="20"/>
                <w:color w:val="auto"/>
              </w:rPr>
            </w:pPr>
            <w:r>
              <w:rPr>
                <w:rFonts w:ascii="Arial" w:cs="Arial" w:eastAsia="Arial" w:hAnsi="Arial"/>
                <w:sz w:val="15"/>
                <w:szCs w:val="15"/>
                <w:color w:val="auto"/>
              </w:rPr>
              <w:t>1,457</w:t>
            </w:r>
          </w:p>
        </w:tc>
        <w:tc>
          <w:tcPr>
            <w:tcW w:w="860" w:type="dxa"/>
            <w:vAlign w:val="bottom"/>
          </w:tcPr>
          <w:p>
            <w:pPr>
              <w:jc w:val="right"/>
              <w:ind w:right="107"/>
              <w:spacing w:after="0"/>
              <w:rPr>
                <w:sz w:val="20"/>
                <w:szCs w:val="20"/>
                <w:color w:val="auto"/>
              </w:rPr>
            </w:pPr>
            <w:r>
              <w:rPr>
                <w:rFonts w:ascii="Arial" w:cs="Arial" w:eastAsia="Arial" w:hAnsi="Arial"/>
                <w:sz w:val="15"/>
                <w:szCs w:val="15"/>
                <w:color w:val="auto"/>
              </w:rPr>
              <w:t>2,321</w:t>
            </w:r>
          </w:p>
        </w:tc>
        <w:tc>
          <w:tcPr>
            <w:tcW w:w="1400" w:type="dxa"/>
            <w:vAlign w:val="bottom"/>
          </w:tcPr>
          <w:p>
            <w:pPr>
              <w:jc w:val="right"/>
              <w:ind w:right="487"/>
              <w:spacing w:after="0"/>
              <w:rPr>
                <w:sz w:val="20"/>
                <w:szCs w:val="20"/>
                <w:color w:val="auto"/>
              </w:rPr>
            </w:pPr>
            <w:r>
              <w:rPr>
                <w:rFonts w:ascii="Arial" w:cs="Arial" w:eastAsia="Arial" w:hAnsi="Arial"/>
                <w:sz w:val="15"/>
                <w:szCs w:val="15"/>
                <w:color w:val="auto"/>
              </w:rPr>
              <w:t>1,009</w:t>
            </w:r>
          </w:p>
        </w:tc>
        <w:tc>
          <w:tcPr>
            <w:tcW w:w="0" w:type="dxa"/>
            <w:vAlign w:val="bottom"/>
          </w:tcPr>
          <w:p>
            <w:pPr>
              <w:spacing w:after="0"/>
              <w:rPr>
                <w:sz w:val="1"/>
                <w:szCs w:val="1"/>
                <w:color w:val="auto"/>
              </w:rPr>
            </w:pPr>
          </w:p>
        </w:tc>
      </w:tr>
      <w:tr>
        <w:trPr>
          <w:trHeight w:val="184"/>
        </w:trPr>
        <w:tc>
          <w:tcPr>
            <w:tcW w:w="1880" w:type="dxa"/>
            <w:vAlign w:val="bottom"/>
          </w:tcPr>
          <w:p>
            <w:pPr>
              <w:ind w:left="240"/>
              <w:spacing w:after="0"/>
              <w:rPr>
                <w:sz w:val="20"/>
                <w:szCs w:val="20"/>
                <w:color w:val="auto"/>
              </w:rPr>
            </w:pPr>
            <w:r>
              <w:rPr>
                <w:rFonts w:ascii="Arial" w:cs="Arial" w:eastAsia="Arial" w:hAnsi="Arial"/>
                <w:sz w:val="15"/>
                <w:szCs w:val="15"/>
                <w:color w:val="auto"/>
              </w:rPr>
              <w:t>Producing assets</w:t>
            </w:r>
          </w:p>
        </w:tc>
        <w:tc>
          <w:tcPr>
            <w:tcW w:w="2620" w:type="dxa"/>
            <w:vAlign w:val="bottom"/>
          </w:tcPr>
          <w:p>
            <w:pPr>
              <w:spacing w:after="0"/>
              <w:rPr>
                <w:sz w:val="15"/>
                <w:szCs w:val="15"/>
                <w:color w:val="auto"/>
              </w:rPr>
            </w:pP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74,743</w:t>
            </w:r>
          </w:p>
        </w:tc>
        <w:tc>
          <w:tcPr>
            <w:tcW w:w="1040" w:type="dxa"/>
            <w:vAlign w:val="bottom"/>
          </w:tcPr>
          <w:p>
            <w:pPr>
              <w:jc w:val="right"/>
              <w:ind w:right="147"/>
              <w:spacing w:after="0"/>
              <w:rPr>
                <w:sz w:val="20"/>
                <w:szCs w:val="20"/>
                <w:color w:val="auto"/>
              </w:rPr>
            </w:pPr>
            <w:r>
              <w:rPr>
                <w:rFonts w:ascii="Arial" w:cs="Arial" w:eastAsia="Arial" w:hAnsi="Arial"/>
                <w:sz w:val="15"/>
                <w:szCs w:val="15"/>
                <w:color w:val="auto"/>
              </w:rPr>
              <w:t>34,487</w:t>
            </w:r>
          </w:p>
        </w:tc>
        <w:tc>
          <w:tcPr>
            <w:tcW w:w="860" w:type="dxa"/>
            <w:vAlign w:val="bottom"/>
          </w:tcPr>
          <w:p>
            <w:pPr>
              <w:jc w:val="right"/>
              <w:spacing w:after="0"/>
              <w:rPr>
                <w:sz w:val="20"/>
                <w:szCs w:val="20"/>
                <w:color w:val="auto"/>
              </w:rPr>
            </w:pPr>
            <w:r>
              <w:rPr>
                <w:rFonts w:ascii="Arial" w:cs="Arial" w:eastAsia="Arial" w:hAnsi="Arial"/>
                <w:sz w:val="15"/>
                <w:szCs w:val="15"/>
                <w:color w:val="auto"/>
              </w:rPr>
              <w:t>44,161</w:t>
            </w:r>
          </w:p>
        </w:tc>
        <w:tc>
          <w:tcPr>
            <w:tcW w:w="1300" w:type="dxa"/>
            <w:vAlign w:val="bottom"/>
          </w:tcPr>
          <w:p>
            <w:pPr>
              <w:jc w:val="right"/>
              <w:ind w:right="267"/>
              <w:spacing w:after="0"/>
              <w:rPr>
                <w:sz w:val="20"/>
                <w:szCs w:val="20"/>
                <w:color w:val="auto"/>
              </w:rPr>
            </w:pPr>
            <w:r>
              <w:rPr>
                <w:rFonts w:ascii="Arial" w:cs="Arial" w:eastAsia="Arial" w:hAnsi="Arial"/>
                <w:sz w:val="15"/>
                <w:szCs w:val="15"/>
                <w:color w:val="auto"/>
              </w:rPr>
              <w:t>40,424</w:t>
            </w:r>
          </w:p>
        </w:tc>
        <w:tc>
          <w:tcPr>
            <w:tcW w:w="860" w:type="dxa"/>
            <w:vAlign w:val="bottom"/>
          </w:tcPr>
          <w:p>
            <w:pPr>
              <w:jc w:val="right"/>
              <w:ind w:right="107"/>
              <w:spacing w:after="0"/>
              <w:rPr>
                <w:sz w:val="20"/>
                <w:szCs w:val="20"/>
                <w:color w:val="auto"/>
              </w:rPr>
            </w:pPr>
            <w:r>
              <w:rPr>
                <w:rFonts w:ascii="Arial" w:cs="Arial" w:eastAsia="Arial" w:hAnsi="Arial"/>
                <w:sz w:val="15"/>
                <w:szCs w:val="15"/>
                <w:color w:val="auto"/>
              </w:rPr>
              <w:t>30,082</w:t>
            </w:r>
          </w:p>
        </w:tc>
        <w:tc>
          <w:tcPr>
            <w:tcW w:w="1400" w:type="dxa"/>
            <w:vAlign w:val="bottom"/>
          </w:tcPr>
          <w:p>
            <w:pPr>
              <w:jc w:val="right"/>
              <w:ind w:right="487"/>
              <w:spacing w:after="0"/>
              <w:rPr>
                <w:sz w:val="20"/>
                <w:szCs w:val="20"/>
                <w:color w:val="auto"/>
              </w:rPr>
            </w:pPr>
            <w:r>
              <w:rPr>
                <w:rFonts w:ascii="Arial" w:cs="Arial" w:eastAsia="Arial" w:hAnsi="Arial"/>
                <w:sz w:val="15"/>
                <w:szCs w:val="15"/>
                <w:color w:val="auto"/>
              </w:rPr>
              <w:t>7,973</w:t>
            </w:r>
          </w:p>
        </w:tc>
        <w:tc>
          <w:tcPr>
            <w:tcW w:w="0" w:type="dxa"/>
            <w:vAlign w:val="bottom"/>
          </w:tcPr>
          <w:p>
            <w:pPr>
              <w:spacing w:after="0"/>
              <w:rPr>
                <w:sz w:val="1"/>
                <w:szCs w:val="1"/>
                <w:color w:val="auto"/>
              </w:rPr>
            </w:pPr>
          </w:p>
        </w:tc>
      </w:tr>
      <w:tr>
        <w:trPr>
          <w:trHeight w:val="187"/>
        </w:trPr>
        <w:tc>
          <w:tcPr>
            <w:tcW w:w="1880" w:type="dxa"/>
            <w:vAlign w:val="bottom"/>
          </w:tcPr>
          <w:p>
            <w:pPr>
              <w:ind w:left="240"/>
              <w:spacing w:after="0"/>
              <w:rPr>
                <w:sz w:val="20"/>
                <w:szCs w:val="20"/>
                <w:color w:val="auto"/>
              </w:rPr>
            </w:pPr>
            <w:r>
              <w:rPr>
                <w:rFonts w:ascii="Arial" w:cs="Arial" w:eastAsia="Arial" w:hAnsi="Arial"/>
                <w:sz w:val="15"/>
                <w:szCs w:val="15"/>
                <w:color w:val="auto"/>
              </w:rPr>
              <w:t>Incomplete construction</w:t>
            </w:r>
          </w:p>
        </w:tc>
        <w:tc>
          <w:tcPr>
            <w:tcW w:w="2620" w:type="dxa"/>
            <w:vAlign w:val="bottom"/>
          </w:tcPr>
          <w:p>
            <w:pPr>
              <w:spacing w:after="0"/>
              <w:rPr>
                <w:sz w:val="16"/>
                <w:szCs w:val="16"/>
                <w:color w:val="auto"/>
              </w:rPr>
            </w:pPr>
          </w:p>
        </w:tc>
        <w:tc>
          <w:tcPr>
            <w:tcW w:w="9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5,640</w:t>
            </w:r>
          </w:p>
        </w:tc>
        <w:tc>
          <w:tcPr>
            <w:tcW w:w="104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11,811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2,219</w:t>
            </w:r>
          </w:p>
        </w:tc>
        <w:tc>
          <w:tcPr>
            <w:tcW w:w="130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rPr>
              <w:t>5,913</w:t>
            </w:r>
          </w:p>
        </w:tc>
        <w:tc>
          <w:tcPr>
            <w:tcW w:w="8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8,387</w:t>
            </w:r>
          </w:p>
        </w:tc>
        <w:tc>
          <w:tcPr>
            <w:tcW w:w="140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rPr>
              <w:t>4,194</w:t>
            </w:r>
          </w:p>
        </w:tc>
        <w:tc>
          <w:tcPr>
            <w:tcW w:w="0" w:type="dxa"/>
            <w:vAlign w:val="bottom"/>
          </w:tcPr>
          <w:p>
            <w:pPr>
              <w:spacing w:after="0"/>
              <w:rPr>
                <w:sz w:val="1"/>
                <w:szCs w:val="1"/>
                <w:color w:val="auto"/>
              </w:rPr>
            </w:pPr>
          </w:p>
        </w:tc>
      </w:tr>
      <w:tr>
        <w:trPr>
          <w:trHeight w:val="173"/>
        </w:trPr>
        <w:tc>
          <w:tcPr>
            <w:tcW w:w="1880" w:type="dxa"/>
            <w:vAlign w:val="bottom"/>
          </w:tcPr>
          <w:p>
            <w:pPr>
              <w:ind w:left="360"/>
              <w:spacing w:after="0"/>
              <w:rPr>
                <w:sz w:val="20"/>
                <w:szCs w:val="20"/>
                <w:color w:val="auto"/>
              </w:rPr>
            </w:pPr>
            <w:r>
              <w:rPr>
                <w:rFonts w:ascii="Arial" w:cs="Arial" w:eastAsia="Arial" w:hAnsi="Arial"/>
                <w:sz w:val="15"/>
                <w:szCs w:val="15"/>
                <w:color w:val="auto"/>
              </w:rPr>
              <w:t>Total capitalized costs</w:t>
            </w:r>
          </w:p>
        </w:tc>
        <w:tc>
          <w:tcPr>
            <w:tcW w:w="2620" w:type="dxa"/>
            <w:vAlign w:val="bottom"/>
          </w:tcPr>
          <w:p>
            <w:pPr>
              <w:spacing w:after="0"/>
              <w:rPr>
                <w:sz w:val="15"/>
                <w:szCs w:val="15"/>
                <w:color w:val="auto"/>
              </w:rPr>
            </w:pP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118,209</w:t>
            </w:r>
          </w:p>
        </w:tc>
        <w:tc>
          <w:tcPr>
            <w:tcW w:w="1040" w:type="dxa"/>
            <w:vAlign w:val="bottom"/>
          </w:tcPr>
          <w:p>
            <w:pPr>
              <w:jc w:val="right"/>
              <w:ind w:right="147"/>
              <w:spacing w:after="0"/>
              <w:rPr>
                <w:sz w:val="20"/>
                <w:szCs w:val="20"/>
                <w:color w:val="auto"/>
              </w:rPr>
            </w:pPr>
            <w:r>
              <w:rPr>
                <w:rFonts w:ascii="Arial" w:cs="Arial" w:eastAsia="Arial" w:hAnsi="Arial"/>
                <w:sz w:val="15"/>
                <w:szCs w:val="15"/>
                <w:color w:val="auto"/>
              </w:rPr>
              <w:t>55,283</w:t>
            </w:r>
          </w:p>
        </w:tc>
        <w:tc>
          <w:tcPr>
            <w:tcW w:w="860" w:type="dxa"/>
            <w:vAlign w:val="bottom"/>
          </w:tcPr>
          <w:p>
            <w:pPr>
              <w:jc w:val="right"/>
              <w:spacing w:after="0"/>
              <w:rPr>
                <w:sz w:val="20"/>
                <w:szCs w:val="20"/>
                <w:color w:val="auto"/>
              </w:rPr>
            </w:pPr>
            <w:r>
              <w:rPr>
                <w:rFonts w:ascii="Arial" w:cs="Arial" w:eastAsia="Arial" w:hAnsi="Arial"/>
                <w:sz w:val="15"/>
                <w:szCs w:val="15"/>
                <w:color w:val="auto"/>
              </w:rPr>
              <w:t>46,629</w:t>
            </w:r>
          </w:p>
        </w:tc>
        <w:tc>
          <w:tcPr>
            <w:tcW w:w="1300" w:type="dxa"/>
            <w:vAlign w:val="bottom"/>
          </w:tcPr>
          <w:p>
            <w:pPr>
              <w:jc w:val="right"/>
              <w:ind w:right="267"/>
              <w:spacing w:after="0"/>
              <w:rPr>
                <w:sz w:val="20"/>
                <w:szCs w:val="20"/>
                <w:color w:val="auto"/>
              </w:rPr>
            </w:pPr>
            <w:r>
              <w:rPr>
                <w:rFonts w:ascii="Arial" w:cs="Arial" w:eastAsia="Arial" w:hAnsi="Arial"/>
                <w:sz w:val="15"/>
                <w:szCs w:val="15"/>
                <w:color w:val="auto"/>
              </w:rPr>
              <w:t>47,794</w:t>
            </w:r>
          </w:p>
        </w:tc>
        <w:tc>
          <w:tcPr>
            <w:tcW w:w="860" w:type="dxa"/>
            <w:vAlign w:val="bottom"/>
          </w:tcPr>
          <w:p>
            <w:pPr>
              <w:jc w:val="right"/>
              <w:ind w:right="107"/>
              <w:spacing w:after="0"/>
              <w:rPr>
                <w:sz w:val="20"/>
                <w:szCs w:val="20"/>
                <w:color w:val="auto"/>
              </w:rPr>
            </w:pPr>
            <w:r>
              <w:rPr>
                <w:rFonts w:ascii="Arial" w:cs="Arial" w:eastAsia="Arial" w:hAnsi="Arial"/>
                <w:sz w:val="15"/>
                <w:szCs w:val="15"/>
                <w:color w:val="auto"/>
              </w:rPr>
              <w:t>40,790</w:t>
            </w:r>
          </w:p>
        </w:tc>
        <w:tc>
          <w:tcPr>
            <w:tcW w:w="1400" w:type="dxa"/>
            <w:vAlign w:val="bottom"/>
          </w:tcPr>
          <w:p>
            <w:pPr>
              <w:jc w:val="right"/>
              <w:ind w:right="487"/>
              <w:spacing w:after="0"/>
              <w:rPr>
                <w:sz w:val="20"/>
                <w:szCs w:val="20"/>
                <w:color w:val="auto"/>
              </w:rPr>
            </w:pPr>
            <w:r>
              <w:rPr>
                <w:rFonts w:ascii="Arial" w:cs="Arial" w:eastAsia="Arial" w:hAnsi="Arial"/>
                <w:sz w:val="15"/>
                <w:szCs w:val="15"/>
                <w:color w:val="auto"/>
              </w:rPr>
              <w:t>13,176</w:t>
            </w:r>
          </w:p>
        </w:tc>
        <w:tc>
          <w:tcPr>
            <w:tcW w:w="0" w:type="dxa"/>
            <w:vAlign w:val="bottom"/>
          </w:tcPr>
          <w:p>
            <w:pPr>
              <w:spacing w:after="0"/>
              <w:rPr>
                <w:sz w:val="1"/>
                <w:szCs w:val="1"/>
                <w:color w:val="auto"/>
              </w:rPr>
            </w:pPr>
          </w:p>
        </w:tc>
      </w:tr>
      <w:tr>
        <w:trPr>
          <w:trHeight w:val="187"/>
        </w:trPr>
        <w:tc>
          <w:tcPr>
            <w:tcW w:w="4500" w:type="dxa"/>
            <w:vAlign w:val="bottom"/>
            <w:gridSpan w:val="2"/>
          </w:tcPr>
          <w:p>
            <w:pPr>
              <w:ind w:left="240"/>
              <w:spacing w:after="0"/>
              <w:rPr>
                <w:sz w:val="20"/>
                <w:szCs w:val="20"/>
                <w:color w:val="auto"/>
              </w:rPr>
            </w:pPr>
            <w:r>
              <w:rPr>
                <w:rFonts w:ascii="Arial" w:cs="Arial" w:eastAsia="Arial" w:hAnsi="Arial"/>
                <w:sz w:val="15"/>
                <w:szCs w:val="15"/>
                <w:color w:val="auto"/>
              </w:rPr>
              <w:t>Accumulated depreciation and depletion</w:t>
            </w:r>
          </w:p>
        </w:tc>
        <w:tc>
          <w:tcPr>
            <w:tcW w:w="9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39,505</w:t>
            </w:r>
          </w:p>
        </w:tc>
        <w:tc>
          <w:tcPr>
            <w:tcW w:w="104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16,827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35,108</w:t>
            </w:r>
          </w:p>
        </w:tc>
        <w:tc>
          <w:tcPr>
            <w:tcW w:w="130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rPr>
              <w:t>24,570</w:t>
            </w:r>
          </w:p>
        </w:tc>
        <w:tc>
          <w:tcPr>
            <w:tcW w:w="8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17,455</w:t>
            </w:r>
          </w:p>
        </w:tc>
        <w:tc>
          <w:tcPr>
            <w:tcW w:w="140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rPr>
              <w:t>4,529</w:t>
            </w:r>
          </w:p>
        </w:tc>
        <w:tc>
          <w:tcPr>
            <w:tcW w:w="0" w:type="dxa"/>
            <w:vAlign w:val="bottom"/>
          </w:tcPr>
          <w:p>
            <w:pPr>
              <w:spacing w:after="0"/>
              <w:rPr>
                <w:sz w:val="1"/>
                <w:szCs w:val="1"/>
                <w:color w:val="auto"/>
              </w:rPr>
            </w:pPr>
          </w:p>
        </w:tc>
      </w:tr>
      <w:tr>
        <w:trPr>
          <w:trHeight w:val="181"/>
        </w:trPr>
        <w:tc>
          <w:tcPr>
            <w:tcW w:w="4500" w:type="dxa"/>
            <w:vAlign w:val="bottom"/>
            <w:gridSpan w:val="2"/>
          </w:tcPr>
          <w:p>
            <w:pPr>
              <w:ind w:left="240"/>
              <w:spacing w:after="0"/>
              <w:rPr>
                <w:sz w:val="20"/>
                <w:szCs w:val="20"/>
                <w:color w:val="auto"/>
              </w:rPr>
            </w:pPr>
            <w:r>
              <w:rPr>
                <w:rFonts w:ascii="Arial" w:cs="Arial" w:eastAsia="Arial" w:hAnsi="Arial"/>
                <w:sz w:val="15"/>
                <w:szCs w:val="15"/>
                <w:color w:val="auto"/>
              </w:rPr>
              <w:t>Net capitalized costs for consolidated subsidiaries</w:t>
            </w:r>
          </w:p>
        </w:tc>
        <w:tc>
          <w:tcPr>
            <w:tcW w:w="9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78,704</w:t>
            </w:r>
          </w:p>
        </w:tc>
        <w:tc>
          <w:tcPr>
            <w:tcW w:w="104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38,456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11,521</w:t>
            </w:r>
          </w:p>
        </w:tc>
        <w:tc>
          <w:tcPr>
            <w:tcW w:w="130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rPr>
              <w:t>23,224</w:t>
            </w:r>
          </w:p>
        </w:tc>
        <w:tc>
          <w:tcPr>
            <w:tcW w:w="8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23,335</w:t>
            </w:r>
          </w:p>
        </w:tc>
        <w:tc>
          <w:tcPr>
            <w:tcW w:w="140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rPr>
              <w:t>8,647</w:t>
            </w:r>
          </w:p>
        </w:tc>
        <w:tc>
          <w:tcPr>
            <w:tcW w:w="0" w:type="dxa"/>
            <w:vAlign w:val="bottom"/>
          </w:tcPr>
          <w:p>
            <w:pPr>
              <w:spacing w:after="0"/>
              <w:rPr>
                <w:sz w:val="1"/>
                <w:szCs w:val="1"/>
                <w:color w:val="auto"/>
              </w:rPr>
            </w:pPr>
          </w:p>
        </w:tc>
      </w:tr>
      <w:tr>
        <w:trPr>
          <w:trHeight w:val="352"/>
        </w:trPr>
        <w:tc>
          <w:tcPr>
            <w:tcW w:w="1880" w:type="dxa"/>
            <w:vAlign w:val="bottom"/>
          </w:tcPr>
          <w:p>
            <w:pPr>
              <w:spacing w:after="0"/>
              <w:rPr>
                <w:sz w:val="20"/>
                <w:szCs w:val="20"/>
                <w:color w:val="auto"/>
              </w:rPr>
            </w:pPr>
            <w:r>
              <w:rPr>
                <w:rFonts w:ascii="Arial" w:cs="Arial" w:eastAsia="Arial" w:hAnsi="Arial"/>
                <w:sz w:val="15"/>
                <w:szCs w:val="15"/>
                <w:b w:val="1"/>
                <w:bCs w:val="1"/>
                <w:color w:val="auto"/>
              </w:rPr>
              <w:t>Equity Companies</w:t>
            </w:r>
          </w:p>
        </w:tc>
        <w:tc>
          <w:tcPr>
            <w:tcW w:w="2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880" w:type="dxa"/>
            <w:vAlign w:val="bottom"/>
          </w:tcPr>
          <w:p>
            <w:pPr>
              <w:spacing w:after="0"/>
              <w:rPr>
                <w:sz w:val="20"/>
                <w:szCs w:val="20"/>
                <w:color w:val="auto"/>
              </w:rPr>
            </w:pPr>
            <w:r>
              <w:rPr>
                <w:rFonts w:ascii="Arial" w:cs="Arial" w:eastAsia="Arial" w:hAnsi="Arial"/>
                <w:sz w:val="15"/>
                <w:szCs w:val="15"/>
                <w:color w:val="auto"/>
              </w:rPr>
              <w:t>As of December 31, 2013</w:t>
            </w:r>
          </w:p>
        </w:tc>
        <w:tc>
          <w:tcPr>
            <w:tcW w:w="2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80" w:type="dxa"/>
            <w:vAlign w:val="bottom"/>
          </w:tcPr>
          <w:p>
            <w:pPr>
              <w:ind w:left="240"/>
              <w:spacing w:after="0"/>
              <w:rPr>
                <w:sz w:val="20"/>
                <w:szCs w:val="20"/>
                <w:color w:val="auto"/>
              </w:rPr>
            </w:pPr>
            <w:r>
              <w:rPr>
                <w:rFonts w:ascii="Arial" w:cs="Arial" w:eastAsia="Arial" w:hAnsi="Arial"/>
                <w:sz w:val="15"/>
                <w:szCs w:val="15"/>
                <w:color w:val="auto"/>
                <w:w w:val="98"/>
              </w:rPr>
              <w:t>Property (acreage) costs</w:t>
            </w:r>
          </w:p>
        </w:tc>
        <w:tc>
          <w:tcPr>
            <w:tcW w:w="2620" w:type="dxa"/>
            <w:vAlign w:val="bottom"/>
          </w:tcPr>
          <w:p>
            <w:pPr>
              <w:ind w:left="200"/>
              <w:spacing w:after="0"/>
              <w:rPr>
                <w:sz w:val="20"/>
                <w:szCs w:val="20"/>
                <w:color w:val="auto"/>
              </w:rPr>
            </w:pPr>
            <w:r>
              <w:rPr>
                <w:rFonts w:ascii="Arial" w:cs="Arial" w:eastAsia="Arial" w:hAnsi="Arial"/>
                <w:sz w:val="15"/>
                <w:szCs w:val="15"/>
                <w:color w:val="auto"/>
              </w:rPr>
              <w:t>- Proved</w:t>
            </w: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77</w:t>
            </w: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w:t>
            </w:r>
          </w:p>
        </w:tc>
        <w:tc>
          <w:tcPr>
            <w:tcW w:w="1300" w:type="dxa"/>
            <w:vAlign w:val="bottom"/>
          </w:tcPr>
          <w:p>
            <w:pPr>
              <w:jc w:val="right"/>
              <w:ind w:right="347"/>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1880" w:type="dxa"/>
            <w:vAlign w:val="bottom"/>
          </w:tcPr>
          <w:p>
            <w:pPr>
              <w:spacing w:after="0"/>
              <w:rPr>
                <w:sz w:val="16"/>
                <w:szCs w:val="16"/>
                <w:color w:val="auto"/>
              </w:rPr>
            </w:pPr>
          </w:p>
        </w:tc>
        <w:tc>
          <w:tcPr>
            <w:tcW w:w="2620" w:type="dxa"/>
            <w:vAlign w:val="bottom"/>
          </w:tcPr>
          <w:p>
            <w:pPr>
              <w:ind w:left="200"/>
              <w:spacing w:after="0"/>
              <w:rPr>
                <w:sz w:val="20"/>
                <w:szCs w:val="20"/>
                <w:color w:val="auto"/>
              </w:rPr>
            </w:pPr>
            <w:r>
              <w:rPr>
                <w:rFonts w:ascii="Arial" w:cs="Arial" w:eastAsia="Arial" w:hAnsi="Arial"/>
                <w:sz w:val="15"/>
                <w:szCs w:val="15"/>
                <w:color w:val="auto"/>
              </w:rPr>
              <w:t>- Unproved</w:t>
            </w:r>
          </w:p>
        </w:tc>
        <w:tc>
          <w:tcPr>
            <w:tcW w:w="9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40</w:t>
            </w:r>
          </w:p>
        </w:tc>
        <w:tc>
          <w:tcPr>
            <w:tcW w:w="104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17</w:t>
            </w:r>
          </w:p>
        </w:tc>
        <w:tc>
          <w:tcPr>
            <w:tcW w:w="140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1880" w:type="dxa"/>
            <w:vAlign w:val="bottom"/>
          </w:tcPr>
          <w:p>
            <w:pPr>
              <w:ind w:left="360"/>
              <w:spacing w:after="0"/>
              <w:rPr>
                <w:sz w:val="20"/>
                <w:szCs w:val="20"/>
                <w:color w:val="auto"/>
              </w:rPr>
            </w:pPr>
            <w:r>
              <w:rPr>
                <w:rFonts w:ascii="Arial" w:cs="Arial" w:eastAsia="Arial" w:hAnsi="Arial"/>
                <w:sz w:val="15"/>
                <w:szCs w:val="15"/>
                <w:color w:val="auto"/>
              </w:rPr>
              <w:t>Total property costs</w:t>
            </w:r>
          </w:p>
        </w:tc>
        <w:tc>
          <w:tcPr>
            <w:tcW w:w="2620" w:type="dxa"/>
            <w:vAlign w:val="bottom"/>
          </w:tcPr>
          <w:p>
            <w:pPr>
              <w:spacing w:after="0"/>
              <w:rPr>
                <w:sz w:val="15"/>
                <w:szCs w:val="15"/>
                <w:color w:val="auto"/>
              </w:rPr>
            </w:pP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117</w:t>
            </w: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w:t>
            </w:r>
          </w:p>
        </w:tc>
        <w:tc>
          <w:tcPr>
            <w:tcW w:w="1300" w:type="dxa"/>
            <w:vAlign w:val="bottom"/>
          </w:tcPr>
          <w:p>
            <w:pPr>
              <w:jc w:val="right"/>
              <w:ind w:right="347"/>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07"/>
              <w:spacing w:after="0"/>
              <w:rPr>
                <w:sz w:val="20"/>
                <w:szCs w:val="20"/>
                <w:color w:val="auto"/>
              </w:rPr>
            </w:pPr>
            <w:r>
              <w:rPr>
                <w:rFonts w:ascii="Arial" w:cs="Arial" w:eastAsia="Arial" w:hAnsi="Arial"/>
                <w:sz w:val="15"/>
                <w:szCs w:val="15"/>
                <w:color w:val="auto"/>
              </w:rPr>
              <w:t>17</w:t>
            </w:r>
          </w:p>
        </w:tc>
        <w:tc>
          <w:tcPr>
            <w:tcW w:w="1400" w:type="dxa"/>
            <w:vAlign w:val="bottom"/>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880" w:type="dxa"/>
            <w:vAlign w:val="bottom"/>
          </w:tcPr>
          <w:p>
            <w:pPr>
              <w:ind w:left="240"/>
              <w:spacing w:after="0"/>
              <w:rPr>
                <w:sz w:val="20"/>
                <w:szCs w:val="20"/>
                <w:color w:val="auto"/>
              </w:rPr>
            </w:pPr>
            <w:r>
              <w:rPr>
                <w:rFonts w:ascii="Arial" w:cs="Arial" w:eastAsia="Arial" w:hAnsi="Arial"/>
                <w:sz w:val="15"/>
                <w:szCs w:val="15"/>
                <w:color w:val="auto"/>
              </w:rPr>
              <w:t>Producing assets</w:t>
            </w:r>
          </w:p>
        </w:tc>
        <w:tc>
          <w:tcPr>
            <w:tcW w:w="2620" w:type="dxa"/>
            <w:vAlign w:val="bottom"/>
          </w:tcPr>
          <w:p>
            <w:pPr>
              <w:spacing w:after="0"/>
              <w:rPr>
                <w:sz w:val="15"/>
                <w:szCs w:val="15"/>
                <w:color w:val="auto"/>
              </w:rPr>
            </w:pP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5,206</w:t>
            </w: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6,039</w:t>
            </w:r>
          </w:p>
        </w:tc>
        <w:tc>
          <w:tcPr>
            <w:tcW w:w="1300" w:type="dxa"/>
            <w:vAlign w:val="bottom"/>
          </w:tcPr>
          <w:p>
            <w:pPr>
              <w:jc w:val="right"/>
              <w:ind w:right="347"/>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07"/>
              <w:spacing w:after="0"/>
              <w:rPr>
                <w:sz w:val="20"/>
                <w:szCs w:val="20"/>
                <w:color w:val="auto"/>
              </w:rPr>
            </w:pPr>
            <w:r>
              <w:rPr>
                <w:rFonts w:ascii="Arial" w:cs="Arial" w:eastAsia="Arial" w:hAnsi="Arial"/>
                <w:sz w:val="15"/>
                <w:szCs w:val="15"/>
                <w:color w:val="auto"/>
              </w:rPr>
              <w:t>8,397</w:t>
            </w:r>
          </w:p>
        </w:tc>
        <w:tc>
          <w:tcPr>
            <w:tcW w:w="1400" w:type="dxa"/>
            <w:vAlign w:val="bottom"/>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1880" w:type="dxa"/>
            <w:vAlign w:val="bottom"/>
          </w:tcPr>
          <w:p>
            <w:pPr>
              <w:ind w:left="240"/>
              <w:spacing w:after="0"/>
              <w:rPr>
                <w:sz w:val="20"/>
                <w:szCs w:val="20"/>
                <w:color w:val="auto"/>
              </w:rPr>
            </w:pPr>
            <w:r>
              <w:rPr>
                <w:rFonts w:ascii="Arial" w:cs="Arial" w:eastAsia="Arial" w:hAnsi="Arial"/>
                <w:sz w:val="15"/>
                <w:szCs w:val="15"/>
                <w:color w:val="auto"/>
              </w:rPr>
              <w:t>Incomplete construction</w:t>
            </w:r>
          </w:p>
        </w:tc>
        <w:tc>
          <w:tcPr>
            <w:tcW w:w="2620" w:type="dxa"/>
            <w:vAlign w:val="bottom"/>
          </w:tcPr>
          <w:p>
            <w:pPr>
              <w:spacing w:after="0"/>
              <w:rPr>
                <w:sz w:val="16"/>
                <w:szCs w:val="16"/>
                <w:color w:val="auto"/>
              </w:rPr>
            </w:pPr>
          </w:p>
        </w:tc>
        <w:tc>
          <w:tcPr>
            <w:tcW w:w="9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416</w:t>
            </w:r>
          </w:p>
        </w:tc>
        <w:tc>
          <w:tcPr>
            <w:tcW w:w="104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w:t>
            </w:r>
          </w:p>
        </w:tc>
        <w:tc>
          <w:tcPr>
            <w:tcW w:w="13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1,452</w:t>
            </w:r>
          </w:p>
        </w:tc>
        <w:tc>
          <w:tcPr>
            <w:tcW w:w="140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1880" w:type="dxa"/>
            <w:vAlign w:val="bottom"/>
          </w:tcPr>
          <w:p>
            <w:pPr>
              <w:ind w:left="360"/>
              <w:spacing w:after="0"/>
              <w:rPr>
                <w:sz w:val="20"/>
                <w:szCs w:val="20"/>
                <w:color w:val="auto"/>
              </w:rPr>
            </w:pPr>
            <w:r>
              <w:rPr>
                <w:rFonts w:ascii="Arial" w:cs="Arial" w:eastAsia="Arial" w:hAnsi="Arial"/>
                <w:sz w:val="15"/>
                <w:szCs w:val="15"/>
                <w:color w:val="auto"/>
              </w:rPr>
              <w:t>Total capitalized costs</w:t>
            </w:r>
          </w:p>
        </w:tc>
        <w:tc>
          <w:tcPr>
            <w:tcW w:w="2620" w:type="dxa"/>
            <w:vAlign w:val="bottom"/>
          </w:tcPr>
          <w:p>
            <w:pPr>
              <w:spacing w:after="0"/>
              <w:rPr>
                <w:sz w:val="15"/>
                <w:szCs w:val="15"/>
                <w:color w:val="auto"/>
              </w:rPr>
            </w:pP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5,739</w:t>
            </w: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6,245</w:t>
            </w:r>
          </w:p>
        </w:tc>
        <w:tc>
          <w:tcPr>
            <w:tcW w:w="1300" w:type="dxa"/>
            <w:vAlign w:val="bottom"/>
          </w:tcPr>
          <w:p>
            <w:pPr>
              <w:jc w:val="right"/>
              <w:ind w:right="347"/>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07"/>
              <w:spacing w:after="0"/>
              <w:rPr>
                <w:sz w:val="20"/>
                <w:szCs w:val="20"/>
                <w:color w:val="auto"/>
              </w:rPr>
            </w:pPr>
            <w:r>
              <w:rPr>
                <w:rFonts w:ascii="Arial" w:cs="Arial" w:eastAsia="Arial" w:hAnsi="Arial"/>
                <w:sz w:val="15"/>
                <w:szCs w:val="15"/>
                <w:color w:val="auto"/>
              </w:rPr>
              <w:t>9,866</w:t>
            </w:r>
          </w:p>
        </w:tc>
        <w:tc>
          <w:tcPr>
            <w:tcW w:w="1400" w:type="dxa"/>
            <w:vAlign w:val="bottom"/>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4500" w:type="dxa"/>
            <w:vAlign w:val="bottom"/>
            <w:gridSpan w:val="2"/>
          </w:tcPr>
          <w:p>
            <w:pPr>
              <w:ind w:left="240"/>
              <w:spacing w:after="0"/>
              <w:rPr>
                <w:sz w:val="20"/>
                <w:szCs w:val="20"/>
                <w:color w:val="auto"/>
              </w:rPr>
            </w:pPr>
            <w:r>
              <w:rPr>
                <w:rFonts w:ascii="Arial" w:cs="Arial" w:eastAsia="Arial" w:hAnsi="Arial"/>
                <w:sz w:val="15"/>
                <w:szCs w:val="15"/>
                <w:color w:val="auto"/>
              </w:rPr>
              <w:t>Accumulated depreciation and depletion</w:t>
            </w:r>
          </w:p>
        </w:tc>
        <w:tc>
          <w:tcPr>
            <w:tcW w:w="9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1,646</w:t>
            </w:r>
          </w:p>
        </w:tc>
        <w:tc>
          <w:tcPr>
            <w:tcW w:w="104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4,778</w:t>
            </w:r>
          </w:p>
        </w:tc>
        <w:tc>
          <w:tcPr>
            <w:tcW w:w="13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4,706</w:t>
            </w:r>
          </w:p>
        </w:tc>
        <w:tc>
          <w:tcPr>
            <w:tcW w:w="140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4500" w:type="dxa"/>
            <w:vAlign w:val="bottom"/>
            <w:gridSpan w:val="2"/>
          </w:tcPr>
          <w:p>
            <w:pPr>
              <w:ind w:left="240"/>
              <w:spacing w:after="0"/>
              <w:rPr>
                <w:sz w:val="20"/>
                <w:szCs w:val="20"/>
                <w:color w:val="auto"/>
              </w:rPr>
            </w:pPr>
            <w:r>
              <w:rPr>
                <w:rFonts w:ascii="Arial" w:cs="Arial" w:eastAsia="Arial" w:hAnsi="Arial"/>
                <w:sz w:val="15"/>
                <w:szCs w:val="15"/>
                <w:color w:val="auto"/>
              </w:rPr>
              <w:t>Net capitalized costs for equity companies</w:t>
            </w: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4,093</w:t>
            </w: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1,467</w:t>
            </w:r>
          </w:p>
        </w:tc>
        <w:tc>
          <w:tcPr>
            <w:tcW w:w="1300" w:type="dxa"/>
            <w:vAlign w:val="bottom"/>
          </w:tcPr>
          <w:p>
            <w:pPr>
              <w:jc w:val="right"/>
              <w:ind w:right="347"/>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07"/>
              <w:spacing w:after="0"/>
              <w:rPr>
                <w:sz w:val="20"/>
                <w:szCs w:val="20"/>
                <w:color w:val="auto"/>
              </w:rPr>
            </w:pPr>
            <w:r>
              <w:rPr>
                <w:rFonts w:ascii="Arial" w:cs="Arial" w:eastAsia="Arial" w:hAnsi="Arial"/>
                <w:sz w:val="15"/>
                <w:szCs w:val="15"/>
                <w:color w:val="auto"/>
              </w:rPr>
              <w:t>5,160</w:t>
            </w:r>
          </w:p>
        </w:tc>
        <w:tc>
          <w:tcPr>
            <w:tcW w:w="1400" w:type="dxa"/>
            <w:vAlign w:val="bottom"/>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-1270</wp:posOffset>
            </wp:positionV>
            <wp:extent cx="409511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095115" cy="7620"/>
                    </a:xfrm>
                    <a:prstGeom prst="rect">
                      <a:avLst/>
                    </a:prstGeom>
                    <a:noFill/>
                  </pic:spPr>
                </pic:pic>
              </a:graphicData>
            </a:graphic>
          </wp:anchor>
        </w:drawing>
      </w:r>
    </w:p>
    <w:p>
      <w:pPr>
        <w:spacing w:after="0" w:line="1"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809" w:right="1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b w:val="1"/>
          <w:bCs w:val="1"/>
          <w:color w:val="auto"/>
        </w:rPr>
        <w:t>Oil and Gas Exploration and Production Costs (continued)</w:t>
      </w:r>
    </w:p>
    <w:p>
      <w:pPr>
        <w:spacing w:after="0" w:line="90"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The amounts reported as costs incurred include both capitalized costs and costs charged to expense during the year. Costs incurred also include new asset ret obligations established in the current year, as well as increases or decreases to the asset retirement obligation resulting from changes in cost estimates or abandonme Total consolidated costs incurred in 2014 were $29,115 million, down $4,508 million from 2013, due primarily to lower property acquisition costs and development c 2013 costs were $33,623 million, up $2,477 million from 2012, due primarily to higher property acquisition costs partially offset by lower exploration costs. Tota company costs incurred in 2014 were $2,677 million, up $335 million from 2013, due primarily to exploration costs.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Costs Incurred in Property Acquisitions,</w:t>
            </w:r>
          </w:p>
        </w:tc>
        <w:tc>
          <w:tcPr>
            <w:tcW w:w="980" w:type="dxa"/>
            <w:vAlign w:val="bottom"/>
          </w:tcPr>
          <w:p>
            <w:pPr>
              <w:spacing w:after="0"/>
              <w:rPr>
                <w:sz w:val="14"/>
                <w:szCs w:val="14"/>
                <w:color w:val="auto"/>
              </w:rPr>
            </w:pPr>
          </w:p>
        </w:tc>
        <w:tc>
          <w:tcPr>
            <w:tcW w:w="1040" w:type="dxa"/>
            <w:vAlign w:val="bottom"/>
          </w:tcPr>
          <w:p>
            <w:pPr>
              <w:jc w:val="center"/>
              <w:ind w:right="47"/>
              <w:spacing w:after="0"/>
              <w:rPr>
                <w:sz w:val="20"/>
                <w:szCs w:val="20"/>
                <w:color w:val="auto"/>
              </w:rPr>
            </w:pPr>
            <w:r>
              <w:rPr>
                <w:rFonts w:ascii="Arial" w:cs="Arial" w:eastAsia="Arial" w:hAnsi="Arial"/>
                <w:sz w:val="13"/>
                <w:szCs w:val="13"/>
                <w:b w:val="1"/>
                <w:bCs w:val="1"/>
                <w:color w:val="auto"/>
                <w:w w:val="94"/>
              </w:rPr>
              <w:t>Canada/</w:t>
            </w: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500" w:type="dxa"/>
            <w:vAlign w:val="bottom"/>
            <w:gridSpan w:val="2"/>
            <w:vMerge w:val="continue"/>
          </w:tcPr>
          <w:p>
            <w:pPr>
              <w:spacing w:after="0"/>
              <w:rPr>
                <w:sz w:val="16"/>
                <w:szCs w:val="16"/>
                <w:color w:val="auto"/>
              </w:rPr>
            </w:pPr>
          </w:p>
        </w:tc>
        <w:tc>
          <w:tcPr>
            <w:tcW w:w="980" w:type="dxa"/>
            <w:vAlign w:val="bottom"/>
          </w:tcPr>
          <w:p>
            <w:pPr>
              <w:jc w:val="right"/>
              <w:ind w:right="327"/>
              <w:spacing w:after="0"/>
              <w:rPr>
                <w:sz w:val="20"/>
                <w:szCs w:val="20"/>
                <w:color w:val="auto"/>
              </w:rPr>
            </w:pPr>
            <w:r>
              <w:rPr>
                <w:rFonts w:ascii="Arial" w:cs="Arial" w:eastAsia="Arial" w:hAnsi="Arial"/>
                <w:sz w:val="13"/>
                <w:szCs w:val="13"/>
                <w:b w:val="1"/>
                <w:bCs w:val="1"/>
                <w:color w:val="auto"/>
              </w:rPr>
              <w:t>United</w:t>
            </w:r>
          </w:p>
        </w:tc>
        <w:tc>
          <w:tcPr>
            <w:tcW w:w="1040" w:type="dxa"/>
            <w:vAlign w:val="bottom"/>
          </w:tcPr>
          <w:p>
            <w:pPr>
              <w:jc w:val="center"/>
              <w:ind w:right="47"/>
              <w:spacing w:after="0"/>
              <w:rPr>
                <w:sz w:val="20"/>
                <w:szCs w:val="20"/>
                <w:color w:val="auto"/>
              </w:rPr>
            </w:pPr>
            <w:r>
              <w:rPr>
                <w:rFonts w:ascii="Arial" w:cs="Arial" w:eastAsia="Arial" w:hAnsi="Arial"/>
                <w:sz w:val="13"/>
                <w:szCs w:val="13"/>
                <w:b w:val="1"/>
                <w:bCs w:val="1"/>
                <w:color w:val="auto"/>
                <w:w w:val="86"/>
              </w:rPr>
              <w:t>South</w:t>
            </w: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tcPr>
          <w:p>
            <w:pPr>
              <w:jc w:val="right"/>
              <w:ind w:right="567"/>
              <w:spacing w:after="0"/>
              <w:rPr>
                <w:sz w:val="20"/>
                <w:szCs w:val="20"/>
                <w:color w:val="auto"/>
              </w:rPr>
            </w:pPr>
            <w:r>
              <w:rPr>
                <w:rFonts w:ascii="Arial" w:cs="Arial" w:eastAsia="Arial" w:hAnsi="Arial"/>
                <w:sz w:val="13"/>
                <w:szCs w:val="13"/>
                <w:b w:val="1"/>
                <w:bCs w:val="1"/>
                <w:color w:val="auto"/>
              </w:rPr>
              <w:t>Australia/</w:t>
            </w:r>
          </w:p>
        </w:tc>
        <w:tc>
          <w:tcPr>
            <w:tcW w:w="0" w:type="dxa"/>
            <w:vAlign w:val="bottom"/>
          </w:tcPr>
          <w:p>
            <w:pPr>
              <w:spacing w:after="0"/>
              <w:rPr>
                <w:sz w:val="1"/>
                <w:szCs w:val="1"/>
                <w:color w:val="auto"/>
              </w:rPr>
            </w:pPr>
          </w:p>
        </w:tc>
      </w:tr>
      <w:tr>
        <w:trPr>
          <w:trHeight w:val="212"/>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Exploration and Development Activities</w:t>
            </w:r>
          </w:p>
        </w:tc>
        <w:tc>
          <w:tcPr>
            <w:tcW w:w="980" w:type="dxa"/>
            <w:vAlign w:val="bottom"/>
            <w:tcBorders>
              <w:bottom w:val="single" w:sz="8" w:color="auto"/>
            </w:tcBorders>
          </w:tcPr>
          <w:p>
            <w:pPr>
              <w:jc w:val="right"/>
              <w:ind w:right="347"/>
              <w:spacing w:after="0"/>
              <w:rPr>
                <w:sz w:val="20"/>
                <w:szCs w:val="20"/>
                <w:color w:val="auto"/>
              </w:rPr>
            </w:pPr>
            <w:r>
              <w:rPr>
                <w:rFonts w:ascii="Arial" w:cs="Arial" w:eastAsia="Arial" w:hAnsi="Arial"/>
                <w:sz w:val="13"/>
                <w:szCs w:val="13"/>
                <w:b w:val="1"/>
                <w:bCs w:val="1"/>
                <w:color w:val="auto"/>
              </w:rPr>
              <w:t>States</w:t>
            </w:r>
          </w:p>
        </w:tc>
        <w:tc>
          <w:tcPr>
            <w:tcW w:w="1040" w:type="dxa"/>
            <w:vAlign w:val="bottom"/>
            <w:tcBorders>
              <w:bottom w:val="single" w:sz="8" w:color="auto"/>
            </w:tcBorders>
          </w:tcPr>
          <w:p>
            <w:pPr>
              <w:jc w:val="center"/>
              <w:ind w:right="47"/>
              <w:spacing w:after="0"/>
              <w:rPr>
                <w:sz w:val="20"/>
                <w:szCs w:val="20"/>
                <w:color w:val="auto"/>
              </w:rPr>
            </w:pPr>
            <w:r>
              <w:rPr>
                <w:rFonts w:ascii="Arial" w:cs="Arial" w:eastAsia="Arial" w:hAnsi="Arial"/>
                <w:sz w:val="13"/>
                <w:szCs w:val="13"/>
                <w:b w:val="1"/>
                <w:bCs w:val="1"/>
                <w:color w:val="auto"/>
                <w:w w:val="93"/>
              </w:rPr>
              <w:t>America</w:t>
            </w:r>
          </w:p>
        </w:tc>
        <w:tc>
          <w:tcPr>
            <w:tcW w:w="840" w:type="dxa"/>
            <w:vAlign w:val="bottom"/>
            <w:tcBorders>
              <w:bottom w:val="single" w:sz="8" w:color="auto"/>
            </w:tcBorders>
          </w:tcPr>
          <w:p>
            <w:pPr>
              <w:jc w:val="right"/>
              <w:ind w:right="107"/>
              <w:spacing w:after="0"/>
              <w:rPr>
                <w:sz w:val="20"/>
                <w:szCs w:val="20"/>
                <w:color w:val="auto"/>
              </w:rPr>
            </w:pPr>
            <w:r>
              <w:rPr>
                <w:rFonts w:ascii="Arial" w:cs="Arial" w:eastAsia="Arial" w:hAnsi="Arial"/>
                <w:sz w:val="13"/>
                <w:szCs w:val="13"/>
                <w:b w:val="1"/>
                <w:bCs w:val="1"/>
                <w:color w:val="auto"/>
              </w:rPr>
              <w:t>Europe</w:t>
            </w:r>
          </w:p>
        </w:tc>
        <w:tc>
          <w:tcPr>
            <w:tcW w:w="1300" w:type="dxa"/>
            <w:vAlign w:val="bottom"/>
            <w:tcBorders>
              <w:bottom w:val="single" w:sz="8" w:color="auto"/>
            </w:tcBorders>
          </w:tcPr>
          <w:p>
            <w:pPr>
              <w:jc w:val="right"/>
              <w:ind w:right="427"/>
              <w:spacing w:after="0"/>
              <w:rPr>
                <w:sz w:val="20"/>
                <w:szCs w:val="20"/>
                <w:color w:val="auto"/>
              </w:rPr>
            </w:pPr>
            <w:r>
              <w:rPr>
                <w:rFonts w:ascii="Arial" w:cs="Arial" w:eastAsia="Arial" w:hAnsi="Arial"/>
                <w:sz w:val="13"/>
                <w:szCs w:val="13"/>
                <w:b w:val="1"/>
                <w:bCs w:val="1"/>
                <w:color w:val="auto"/>
              </w:rPr>
              <w:t>Africa</w:t>
            </w: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3"/>
                <w:szCs w:val="13"/>
                <w:b w:val="1"/>
                <w:bCs w:val="1"/>
                <w:color w:val="auto"/>
              </w:rPr>
              <w:t>Asia</w:t>
            </w:r>
          </w:p>
        </w:tc>
        <w:tc>
          <w:tcPr>
            <w:tcW w:w="1400" w:type="dxa"/>
            <w:vAlign w:val="bottom"/>
            <w:tcBorders>
              <w:bottom w:val="single" w:sz="8" w:color="auto"/>
            </w:tcBorders>
          </w:tcPr>
          <w:p>
            <w:pPr>
              <w:jc w:val="right"/>
              <w:ind w:right="607"/>
              <w:spacing w:after="0"/>
              <w:rPr>
                <w:sz w:val="20"/>
                <w:szCs w:val="20"/>
                <w:color w:val="auto"/>
              </w:rPr>
            </w:pPr>
            <w:r>
              <w:rPr>
                <w:rFonts w:ascii="Arial" w:cs="Arial" w:eastAsia="Arial" w:hAnsi="Arial"/>
                <w:sz w:val="13"/>
                <w:szCs w:val="13"/>
                <w:b w:val="1"/>
                <w:bCs w:val="1"/>
                <w:color w:val="auto"/>
              </w:rPr>
              <w:t>Oceania</w:t>
            </w:r>
          </w:p>
        </w:tc>
        <w:tc>
          <w:tcPr>
            <w:tcW w:w="0" w:type="dxa"/>
            <w:vAlign w:val="bottom"/>
          </w:tcPr>
          <w:p>
            <w:pPr>
              <w:spacing w:after="0"/>
              <w:rPr>
                <w:sz w:val="1"/>
                <w:szCs w:val="1"/>
                <w:color w:val="auto"/>
              </w:rPr>
            </w:pPr>
          </w:p>
        </w:tc>
      </w:tr>
      <w:tr>
        <w:trPr>
          <w:trHeight w:val="166"/>
        </w:trPr>
        <w:tc>
          <w:tcPr>
            <w:tcW w:w="2100" w:type="dxa"/>
            <w:vAlign w:val="bottom"/>
            <w:vMerge w:val="restart"/>
          </w:tcPr>
          <w:p>
            <w:pPr>
              <w:spacing w:after="0"/>
              <w:rPr>
                <w:sz w:val="20"/>
                <w:szCs w:val="20"/>
                <w:color w:val="auto"/>
              </w:rPr>
            </w:pPr>
            <w:r>
              <w:rPr>
                <w:rFonts w:ascii="Arial" w:cs="Arial" w:eastAsia="Arial" w:hAnsi="Arial"/>
                <w:sz w:val="15"/>
                <w:szCs w:val="15"/>
                <w:b w:val="1"/>
                <w:bCs w:val="1"/>
                <w:color w:val="auto"/>
              </w:rPr>
              <w:t>During 2014</w:t>
            </w:r>
          </w:p>
        </w:tc>
        <w:tc>
          <w:tcPr>
            <w:tcW w:w="2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right"/>
              <w:ind w:right="167"/>
              <w:spacing w:after="0"/>
              <w:rPr>
                <w:sz w:val="20"/>
                <w:szCs w:val="20"/>
                <w:color w:val="auto"/>
              </w:rPr>
            </w:pPr>
            <w:r>
              <w:rPr>
                <w:rFonts w:ascii="Arial" w:cs="Arial" w:eastAsia="Arial" w:hAnsi="Arial"/>
                <w:sz w:val="13"/>
                <w:szCs w:val="13"/>
                <w:i w:val="1"/>
                <w:iCs w:val="1"/>
                <w:color w:val="auto"/>
                <w:w w:val="95"/>
              </w:rPr>
              <w:t>(millions of dollars)</w:t>
            </w: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00" w:type="dxa"/>
            <w:vAlign w:val="bottom"/>
            <w:vMerge w:val="continue"/>
          </w:tcPr>
          <w:p>
            <w:pPr>
              <w:spacing w:after="0"/>
              <w:rPr>
                <w:sz w:val="15"/>
                <w:szCs w:val="15"/>
                <w:color w:val="auto"/>
              </w:rPr>
            </w:pPr>
          </w:p>
        </w:tc>
        <w:tc>
          <w:tcPr>
            <w:tcW w:w="2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100" w:type="dxa"/>
            <w:vAlign w:val="bottom"/>
          </w:tcPr>
          <w:p>
            <w:pPr>
              <w:ind w:left="240"/>
              <w:spacing w:after="0"/>
              <w:rPr>
                <w:sz w:val="20"/>
                <w:szCs w:val="20"/>
                <w:color w:val="auto"/>
              </w:rPr>
            </w:pPr>
            <w:r>
              <w:rPr>
                <w:rFonts w:ascii="Arial" w:cs="Arial" w:eastAsia="Arial" w:hAnsi="Arial"/>
                <w:sz w:val="15"/>
                <w:szCs w:val="15"/>
                <w:b w:val="1"/>
                <w:bCs w:val="1"/>
                <w:color w:val="auto"/>
                <w:w w:val="97"/>
              </w:rPr>
              <w:t>Consolidated Subsidiaries</w:t>
            </w:r>
          </w:p>
        </w:tc>
        <w:tc>
          <w:tcPr>
            <w:tcW w:w="2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100" w:type="dxa"/>
            <w:vAlign w:val="bottom"/>
          </w:tcPr>
          <w:p>
            <w:pPr>
              <w:ind w:left="360"/>
              <w:spacing w:after="0"/>
              <w:rPr>
                <w:sz w:val="20"/>
                <w:szCs w:val="20"/>
                <w:color w:val="auto"/>
              </w:rPr>
            </w:pPr>
            <w:r>
              <w:rPr>
                <w:rFonts w:ascii="Arial" w:cs="Arial" w:eastAsia="Arial" w:hAnsi="Arial"/>
                <w:sz w:val="15"/>
                <w:szCs w:val="15"/>
                <w:color w:val="auto"/>
              </w:rPr>
              <w:t>Property acquisition costs</w:t>
            </w:r>
          </w:p>
        </w:tc>
        <w:tc>
          <w:tcPr>
            <w:tcW w:w="2400" w:type="dxa"/>
            <w:vAlign w:val="bottom"/>
          </w:tcPr>
          <w:p>
            <w:pPr>
              <w:ind w:left="200"/>
              <w:spacing w:after="0"/>
              <w:rPr>
                <w:sz w:val="20"/>
                <w:szCs w:val="20"/>
                <w:color w:val="auto"/>
              </w:rPr>
            </w:pPr>
            <w:r>
              <w:rPr>
                <w:rFonts w:ascii="Arial" w:cs="Arial" w:eastAsia="Arial" w:hAnsi="Arial"/>
                <w:sz w:val="15"/>
                <w:szCs w:val="15"/>
                <w:color w:val="auto"/>
              </w:rPr>
              <w:t>- Proved</w:t>
            </w: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80</w:t>
            </w: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327"/>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07"/>
              <w:spacing w:after="0"/>
              <w:rPr>
                <w:sz w:val="20"/>
                <w:szCs w:val="20"/>
                <w:color w:val="auto"/>
              </w:rPr>
            </w:pPr>
            <w:r>
              <w:rPr>
                <w:rFonts w:ascii="Arial" w:cs="Arial" w:eastAsia="Arial" w:hAnsi="Arial"/>
                <w:sz w:val="15"/>
                <w:szCs w:val="15"/>
                <w:color w:val="auto"/>
              </w:rPr>
              <w:t>41</w:t>
            </w:r>
          </w:p>
        </w:tc>
        <w:tc>
          <w:tcPr>
            <w:tcW w:w="1400" w:type="dxa"/>
            <w:vAlign w:val="bottom"/>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100" w:type="dxa"/>
            <w:vAlign w:val="bottom"/>
          </w:tcPr>
          <w:p>
            <w:pPr>
              <w:spacing w:after="0"/>
              <w:rPr>
                <w:sz w:val="15"/>
                <w:szCs w:val="15"/>
                <w:color w:val="auto"/>
              </w:rPr>
            </w:pPr>
          </w:p>
        </w:tc>
        <w:tc>
          <w:tcPr>
            <w:tcW w:w="2400" w:type="dxa"/>
            <w:vAlign w:val="bottom"/>
          </w:tcPr>
          <w:p>
            <w:pPr>
              <w:ind w:left="200"/>
              <w:spacing w:after="0"/>
              <w:rPr>
                <w:sz w:val="20"/>
                <w:szCs w:val="20"/>
                <w:color w:val="auto"/>
              </w:rPr>
            </w:pPr>
            <w:r>
              <w:rPr>
                <w:rFonts w:ascii="Arial" w:cs="Arial" w:eastAsia="Arial" w:hAnsi="Arial"/>
                <w:sz w:val="15"/>
                <w:szCs w:val="15"/>
                <w:color w:val="auto"/>
              </w:rPr>
              <w:t>- Unproved</w:t>
            </w: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1,253</w:t>
            </w:r>
          </w:p>
        </w:tc>
        <w:tc>
          <w:tcPr>
            <w:tcW w:w="1040" w:type="dxa"/>
            <w:vAlign w:val="bottom"/>
          </w:tcPr>
          <w:p>
            <w:pPr>
              <w:jc w:val="right"/>
              <w:ind w:right="147"/>
              <w:spacing w:after="0"/>
              <w:rPr>
                <w:sz w:val="20"/>
                <w:szCs w:val="20"/>
                <w:color w:val="auto"/>
              </w:rPr>
            </w:pPr>
            <w:r>
              <w:rPr>
                <w:rFonts w:ascii="Arial" w:cs="Arial" w:eastAsia="Arial" w:hAnsi="Arial"/>
                <w:sz w:val="15"/>
                <w:szCs w:val="15"/>
                <w:color w:val="auto"/>
              </w:rPr>
              <w:t>3</w:t>
            </w:r>
          </w:p>
        </w:tc>
        <w:tc>
          <w:tcPr>
            <w:tcW w:w="840" w:type="dxa"/>
            <w:vAlign w:val="bottom"/>
          </w:tcPr>
          <w:p>
            <w:pPr>
              <w:jc w:val="right"/>
              <w:spacing w:after="0"/>
              <w:rPr>
                <w:sz w:val="20"/>
                <w:szCs w:val="20"/>
                <w:color w:val="auto"/>
              </w:rPr>
            </w:pPr>
            <w:r>
              <w:rPr>
                <w:rFonts w:ascii="Arial" w:cs="Arial" w:eastAsia="Arial" w:hAnsi="Arial"/>
                <w:sz w:val="15"/>
                <w:szCs w:val="15"/>
                <w:color w:val="auto"/>
              </w:rPr>
              <w:t>19</w:t>
            </w:r>
          </w:p>
        </w:tc>
        <w:tc>
          <w:tcPr>
            <w:tcW w:w="1300" w:type="dxa"/>
            <w:vAlign w:val="bottom"/>
          </w:tcPr>
          <w:p>
            <w:pPr>
              <w:jc w:val="right"/>
              <w:ind w:right="247"/>
              <w:spacing w:after="0"/>
              <w:rPr>
                <w:sz w:val="20"/>
                <w:szCs w:val="20"/>
                <w:color w:val="auto"/>
              </w:rPr>
            </w:pPr>
            <w:r>
              <w:rPr>
                <w:rFonts w:ascii="Arial" w:cs="Arial" w:eastAsia="Arial" w:hAnsi="Arial"/>
                <w:sz w:val="15"/>
                <w:szCs w:val="15"/>
                <w:color w:val="auto"/>
              </w:rPr>
              <w:t>34</w:t>
            </w:r>
          </w:p>
        </w:tc>
        <w:tc>
          <w:tcPr>
            <w:tcW w:w="88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100" w:type="dxa"/>
            <w:vAlign w:val="bottom"/>
          </w:tcPr>
          <w:p>
            <w:pPr>
              <w:ind w:left="360"/>
              <w:spacing w:after="0"/>
              <w:rPr>
                <w:sz w:val="20"/>
                <w:szCs w:val="20"/>
                <w:color w:val="auto"/>
              </w:rPr>
            </w:pPr>
            <w:r>
              <w:rPr>
                <w:rFonts w:ascii="Arial" w:cs="Arial" w:eastAsia="Arial" w:hAnsi="Arial"/>
                <w:sz w:val="15"/>
                <w:szCs w:val="15"/>
                <w:color w:val="auto"/>
              </w:rPr>
              <w:t>Exploration costs</w:t>
            </w:r>
          </w:p>
        </w:tc>
        <w:tc>
          <w:tcPr>
            <w:tcW w:w="2400" w:type="dxa"/>
            <w:vAlign w:val="bottom"/>
          </w:tcPr>
          <w:p>
            <w:pPr>
              <w:spacing w:after="0"/>
              <w:rPr>
                <w:sz w:val="15"/>
                <w:szCs w:val="15"/>
                <w:color w:val="auto"/>
              </w:rPr>
            </w:pP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319</w:t>
            </w:r>
          </w:p>
        </w:tc>
        <w:tc>
          <w:tcPr>
            <w:tcW w:w="1040" w:type="dxa"/>
            <w:vAlign w:val="bottom"/>
          </w:tcPr>
          <w:p>
            <w:pPr>
              <w:jc w:val="right"/>
              <w:ind w:right="147"/>
              <w:spacing w:after="0"/>
              <w:rPr>
                <w:sz w:val="20"/>
                <w:szCs w:val="20"/>
                <w:color w:val="auto"/>
              </w:rPr>
            </w:pPr>
            <w:r>
              <w:rPr>
                <w:rFonts w:ascii="Arial" w:cs="Arial" w:eastAsia="Arial" w:hAnsi="Arial"/>
                <w:sz w:val="15"/>
                <w:szCs w:val="15"/>
                <w:color w:val="auto"/>
              </w:rPr>
              <w:t>453</w:t>
            </w:r>
          </w:p>
        </w:tc>
        <w:tc>
          <w:tcPr>
            <w:tcW w:w="840" w:type="dxa"/>
            <w:vAlign w:val="bottom"/>
          </w:tcPr>
          <w:p>
            <w:pPr>
              <w:jc w:val="right"/>
              <w:spacing w:after="0"/>
              <w:rPr>
                <w:sz w:val="20"/>
                <w:szCs w:val="20"/>
                <w:color w:val="auto"/>
              </w:rPr>
            </w:pPr>
            <w:r>
              <w:rPr>
                <w:rFonts w:ascii="Arial" w:cs="Arial" w:eastAsia="Arial" w:hAnsi="Arial"/>
                <w:sz w:val="15"/>
                <w:szCs w:val="15"/>
                <w:color w:val="auto"/>
              </w:rPr>
              <w:t>458</w:t>
            </w:r>
          </w:p>
        </w:tc>
        <w:tc>
          <w:tcPr>
            <w:tcW w:w="1300" w:type="dxa"/>
            <w:vAlign w:val="bottom"/>
          </w:tcPr>
          <w:p>
            <w:pPr>
              <w:jc w:val="right"/>
              <w:ind w:right="247"/>
              <w:spacing w:after="0"/>
              <w:rPr>
                <w:sz w:val="20"/>
                <w:szCs w:val="20"/>
                <w:color w:val="auto"/>
              </w:rPr>
            </w:pPr>
            <w:r>
              <w:rPr>
                <w:rFonts w:ascii="Arial" w:cs="Arial" w:eastAsia="Arial" w:hAnsi="Arial"/>
                <w:sz w:val="15"/>
                <w:szCs w:val="15"/>
                <w:color w:val="auto"/>
              </w:rPr>
              <w:t>628</w:t>
            </w:r>
          </w:p>
        </w:tc>
        <w:tc>
          <w:tcPr>
            <w:tcW w:w="880" w:type="dxa"/>
            <w:vAlign w:val="bottom"/>
          </w:tcPr>
          <w:p>
            <w:pPr>
              <w:jc w:val="right"/>
              <w:ind w:right="107"/>
              <w:spacing w:after="0"/>
              <w:rPr>
                <w:sz w:val="20"/>
                <w:szCs w:val="20"/>
                <w:color w:val="auto"/>
              </w:rPr>
            </w:pPr>
            <w:r>
              <w:rPr>
                <w:rFonts w:ascii="Arial" w:cs="Arial" w:eastAsia="Arial" w:hAnsi="Arial"/>
                <w:sz w:val="15"/>
                <w:szCs w:val="15"/>
                <w:color w:val="auto"/>
              </w:rPr>
              <w:t>467</w:t>
            </w:r>
          </w:p>
        </w:tc>
        <w:tc>
          <w:tcPr>
            <w:tcW w:w="1400" w:type="dxa"/>
            <w:vAlign w:val="bottom"/>
          </w:tcPr>
          <w:p>
            <w:pPr>
              <w:jc w:val="right"/>
              <w:ind w:right="487"/>
              <w:spacing w:after="0"/>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187"/>
        </w:trPr>
        <w:tc>
          <w:tcPr>
            <w:tcW w:w="2100" w:type="dxa"/>
            <w:vAlign w:val="bottom"/>
          </w:tcPr>
          <w:p>
            <w:pPr>
              <w:ind w:left="360"/>
              <w:spacing w:after="0"/>
              <w:rPr>
                <w:sz w:val="20"/>
                <w:szCs w:val="20"/>
                <w:color w:val="auto"/>
              </w:rPr>
            </w:pPr>
            <w:r>
              <w:rPr>
                <w:rFonts w:ascii="Arial" w:cs="Arial" w:eastAsia="Arial" w:hAnsi="Arial"/>
                <w:sz w:val="15"/>
                <w:szCs w:val="15"/>
                <w:color w:val="auto"/>
              </w:rPr>
              <w:t>Development costs</w:t>
            </w:r>
          </w:p>
        </w:tc>
        <w:tc>
          <w:tcPr>
            <w:tcW w:w="2400" w:type="dxa"/>
            <w:vAlign w:val="bottom"/>
          </w:tcPr>
          <w:p>
            <w:pPr>
              <w:spacing w:after="0"/>
              <w:rPr>
                <w:sz w:val="16"/>
                <w:szCs w:val="16"/>
                <w:color w:val="auto"/>
              </w:rPr>
            </w:pPr>
          </w:p>
        </w:tc>
        <w:tc>
          <w:tcPr>
            <w:tcW w:w="9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7,540</w:t>
            </w:r>
          </w:p>
        </w:tc>
        <w:tc>
          <w:tcPr>
            <w:tcW w:w="104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6,877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1,390</w:t>
            </w:r>
          </w:p>
        </w:tc>
        <w:tc>
          <w:tcPr>
            <w:tcW w:w="13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rPr>
              <w:t>4,255</w:t>
            </w:r>
          </w:p>
        </w:tc>
        <w:tc>
          <w:tcPr>
            <w:tcW w:w="88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3,321</w:t>
            </w:r>
          </w:p>
        </w:tc>
        <w:tc>
          <w:tcPr>
            <w:tcW w:w="140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rPr>
              <w:t>1,856</w:t>
            </w:r>
          </w:p>
        </w:tc>
        <w:tc>
          <w:tcPr>
            <w:tcW w:w="0" w:type="dxa"/>
            <w:vAlign w:val="bottom"/>
          </w:tcPr>
          <w:p>
            <w:pPr>
              <w:spacing w:after="0"/>
              <w:rPr>
                <w:sz w:val="1"/>
                <w:szCs w:val="1"/>
                <w:color w:val="auto"/>
              </w:rPr>
            </w:pPr>
          </w:p>
        </w:tc>
      </w:tr>
      <w:tr>
        <w:trPr>
          <w:trHeight w:val="181"/>
        </w:trPr>
        <w:tc>
          <w:tcPr>
            <w:tcW w:w="4500" w:type="dxa"/>
            <w:vAlign w:val="bottom"/>
            <w:gridSpan w:val="2"/>
          </w:tcPr>
          <w:p>
            <w:pPr>
              <w:ind w:left="360"/>
              <w:spacing w:after="0"/>
              <w:rPr>
                <w:sz w:val="20"/>
                <w:szCs w:val="20"/>
                <w:color w:val="auto"/>
              </w:rPr>
            </w:pPr>
            <w:r>
              <w:rPr>
                <w:rFonts w:ascii="Arial" w:cs="Arial" w:eastAsia="Arial" w:hAnsi="Arial"/>
                <w:sz w:val="15"/>
                <w:szCs w:val="15"/>
                <w:color w:val="auto"/>
              </w:rPr>
              <w:t>Total costs incurred for consolidated subsidiaries</w:t>
            </w:r>
          </w:p>
        </w:tc>
        <w:tc>
          <w:tcPr>
            <w:tcW w:w="9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9,192</w:t>
            </w:r>
          </w:p>
        </w:tc>
        <w:tc>
          <w:tcPr>
            <w:tcW w:w="104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7,333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1,867</w:t>
            </w:r>
          </w:p>
        </w:tc>
        <w:tc>
          <w:tcPr>
            <w:tcW w:w="13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rPr>
              <w:t>4,917</w:t>
            </w:r>
          </w:p>
        </w:tc>
        <w:tc>
          <w:tcPr>
            <w:tcW w:w="88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3,829</w:t>
            </w:r>
          </w:p>
        </w:tc>
        <w:tc>
          <w:tcPr>
            <w:tcW w:w="140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rPr>
              <w:t>1,977</w:t>
            </w:r>
          </w:p>
        </w:tc>
        <w:tc>
          <w:tcPr>
            <w:tcW w:w="0" w:type="dxa"/>
            <w:vAlign w:val="bottom"/>
          </w:tcPr>
          <w:p>
            <w:pPr>
              <w:spacing w:after="0"/>
              <w:rPr>
                <w:sz w:val="1"/>
                <w:szCs w:val="1"/>
                <w:color w:val="auto"/>
              </w:rPr>
            </w:pPr>
          </w:p>
        </w:tc>
      </w:tr>
      <w:tr>
        <w:trPr>
          <w:trHeight w:val="352"/>
        </w:trPr>
        <w:tc>
          <w:tcPr>
            <w:tcW w:w="2100" w:type="dxa"/>
            <w:vAlign w:val="bottom"/>
          </w:tcPr>
          <w:p>
            <w:pPr>
              <w:ind w:left="240"/>
              <w:spacing w:after="0"/>
              <w:rPr>
                <w:sz w:val="20"/>
                <w:szCs w:val="20"/>
                <w:color w:val="auto"/>
              </w:rPr>
            </w:pPr>
            <w:r>
              <w:rPr>
                <w:rFonts w:ascii="Arial" w:cs="Arial" w:eastAsia="Arial" w:hAnsi="Arial"/>
                <w:sz w:val="15"/>
                <w:szCs w:val="15"/>
                <w:b w:val="1"/>
                <w:bCs w:val="1"/>
                <w:color w:val="auto"/>
              </w:rPr>
              <w:t>Equity Companies</w:t>
            </w:r>
          </w:p>
        </w:tc>
        <w:tc>
          <w:tcPr>
            <w:tcW w:w="2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100" w:type="dxa"/>
            <w:vAlign w:val="bottom"/>
          </w:tcPr>
          <w:p>
            <w:pPr>
              <w:ind w:left="360"/>
              <w:spacing w:after="0"/>
              <w:rPr>
                <w:sz w:val="20"/>
                <w:szCs w:val="20"/>
                <w:color w:val="auto"/>
              </w:rPr>
            </w:pPr>
            <w:r>
              <w:rPr>
                <w:rFonts w:ascii="Arial" w:cs="Arial" w:eastAsia="Arial" w:hAnsi="Arial"/>
                <w:sz w:val="15"/>
                <w:szCs w:val="15"/>
                <w:color w:val="auto"/>
              </w:rPr>
              <w:t>Property acquisition costs</w:t>
            </w:r>
          </w:p>
        </w:tc>
        <w:tc>
          <w:tcPr>
            <w:tcW w:w="2400" w:type="dxa"/>
            <w:vAlign w:val="bottom"/>
          </w:tcPr>
          <w:p>
            <w:pPr>
              <w:ind w:left="200"/>
              <w:spacing w:after="0"/>
              <w:rPr>
                <w:sz w:val="20"/>
                <w:szCs w:val="20"/>
                <w:color w:val="auto"/>
              </w:rPr>
            </w:pPr>
            <w:r>
              <w:rPr>
                <w:rFonts w:ascii="Arial" w:cs="Arial" w:eastAsia="Arial" w:hAnsi="Arial"/>
                <w:sz w:val="15"/>
                <w:szCs w:val="15"/>
                <w:color w:val="auto"/>
              </w:rPr>
              <w:t>- Proved</w:t>
            </w:r>
          </w:p>
        </w:tc>
        <w:tc>
          <w:tcPr>
            <w:tcW w:w="98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327"/>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100" w:type="dxa"/>
            <w:vAlign w:val="bottom"/>
          </w:tcPr>
          <w:p>
            <w:pPr>
              <w:spacing w:after="0"/>
              <w:rPr>
                <w:sz w:val="15"/>
                <w:szCs w:val="15"/>
                <w:color w:val="auto"/>
              </w:rPr>
            </w:pPr>
          </w:p>
        </w:tc>
        <w:tc>
          <w:tcPr>
            <w:tcW w:w="2400" w:type="dxa"/>
            <w:vAlign w:val="bottom"/>
          </w:tcPr>
          <w:p>
            <w:pPr>
              <w:ind w:left="200"/>
              <w:spacing w:after="0"/>
              <w:rPr>
                <w:sz w:val="20"/>
                <w:szCs w:val="20"/>
                <w:color w:val="auto"/>
              </w:rPr>
            </w:pPr>
            <w:r>
              <w:rPr>
                <w:rFonts w:ascii="Arial" w:cs="Arial" w:eastAsia="Arial" w:hAnsi="Arial"/>
                <w:sz w:val="15"/>
                <w:szCs w:val="15"/>
                <w:color w:val="auto"/>
              </w:rPr>
              <w:t>- Unproved</w:t>
            </w:r>
          </w:p>
        </w:tc>
        <w:tc>
          <w:tcPr>
            <w:tcW w:w="98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327"/>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07"/>
              <w:spacing w:after="0"/>
              <w:rPr>
                <w:sz w:val="20"/>
                <w:szCs w:val="20"/>
                <w:color w:val="auto"/>
              </w:rPr>
            </w:pPr>
            <w:r>
              <w:rPr>
                <w:rFonts w:ascii="Arial" w:cs="Arial" w:eastAsia="Arial" w:hAnsi="Arial"/>
                <w:sz w:val="15"/>
                <w:szCs w:val="15"/>
                <w:color w:val="auto"/>
              </w:rPr>
              <w:t>42</w:t>
            </w:r>
          </w:p>
        </w:tc>
        <w:tc>
          <w:tcPr>
            <w:tcW w:w="1400" w:type="dxa"/>
            <w:vAlign w:val="bottom"/>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100" w:type="dxa"/>
            <w:vAlign w:val="bottom"/>
          </w:tcPr>
          <w:p>
            <w:pPr>
              <w:ind w:left="360"/>
              <w:spacing w:after="0"/>
              <w:rPr>
                <w:sz w:val="20"/>
                <w:szCs w:val="20"/>
                <w:color w:val="auto"/>
              </w:rPr>
            </w:pPr>
            <w:r>
              <w:rPr>
                <w:rFonts w:ascii="Arial" w:cs="Arial" w:eastAsia="Arial" w:hAnsi="Arial"/>
                <w:sz w:val="15"/>
                <w:szCs w:val="15"/>
                <w:color w:val="auto"/>
              </w:rPr>
              <w:t>Exploration costs</w:t>
            </w:r>
          </w:p>
        </w:tc>
        <w:tc>
          <w:tcPr>
            <w:tcW w:w="2400" w:type="dxa"/>
            <w:vAlign w:val="bottom"/>
          </w:tcPr>
          <w:p>
            <w:pPr>
              <w:spacing w:after="0"/>
              <w:rPr>
                <w:sz w:val="15"/>
                <w:szCs w:val="15"/>
                <w:color w:val="auto"/>
              </w:rPr>
            </w:pP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17</w:t>
            </w: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45</w:t>
            </w:r>
          </w:p>
        </w:tc>
        <w:tc>
          <w:tcPr>
            <w:tcW w:w="1300" w:type="dxa"/>
            <w:vAlign w:val="bottom"/>
          </w:tcPr>
          <w:p>
            <w:pPr>
              <w:jc w:val="right"/>
              <w:ind w:right="327"/>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07"/>
              <w:spacing w:after="0"/>
              <w:rPr>
                <w:sz w:val="20"/>
                <w:szCs w:val="20"/>
                <w:color w:val="auto"/>
              </w:rPr>
            </w:pPr>
            <w:r>
              <w:rPr>
                <w:rFonts w:ascii="Arial" w:cs="Arial" w:eastAsia="Arial" w:hAnsi="Arial"/>
                <w:sz w:val="15"/>
                <w:szCs w:val="15"/>
                <w:color w:val="auto"/>
              </w:rPr>
              <w:t>964</w:t>
            </w:r>
          </w:p>
        </w:tc>
        <w:tc>
          <w:tcPr>
            <w:tcW w:w="1400" w:type="dxa"/>
            <w:vAlign w:val="bottom"/>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100" w:type="dxa"/>
            <w:vAlign w:val="bottom"/>
          </w:tcPr>
          <w:p>
            <w:pPr>
              <w:ind w:left="360"/>
              <w:spacing w:after="0"/>
              <w:rPr>
                <w:sz w:val="20"/>
                <w:szCs w:val="20"/>
                <w:color w:val="auto"/>
              </w:rPr>
            </w:pPr>
            <w:r>
              <w:rPr>
                <w:rFonts w:ascii="Arial" w:cs="Arial" w:eastAsia="Arial" w:hAnsi="Arial"/>
                <w:sz w:val="15"/>
                <w:szCs w:val="15"/>
                <w:color w:val="auto"/>
              </w:rPr>
              <w:t>Development costs</w:t>
            </w:r>
          </w:p>
        </w:tc>
        <w:tc>
          <w:tcPr>
            <w:tcW w:w="2400" w:type="dxa"/>
            <w:vAlign w:val="bottom"/>
          </w:tcPr>
          <w:p>
            <w:pPr>
              <w:spacing w:after="0"/>
              <w:rPr>
                <w:sz w:val="16"/>
                <w:szCs w:val="16"/>
                <w:color w:val="auto"/>
              </w:rPr>
            </w:pPr>
          </w:p>
        </w:tc>
        <w:tc>
          <w:tcPr>
            <w:tcW w:w="9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490</w:t>
            </w:r>
          </w:p>
        </w:tc>
        <w:tc>
          <w:tcPr>
            <w:tcW w:w="104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233</w:t>
            </w:r>
          </w:p>
        </w:tc>
        <w:tc>
          <w:tcPr>
            <w:tcW w:w="130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886</w:t>
            </w:r>
          </w:p>
        </w:tc>
        <w:tc>
          <w:tcPr>
            <w:tcW w:w="140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4500" w:type="dxa"/>
            <w:vAlign w:val="bottom"/>
            <w:gridSpan w:val="2"/>
          </w:tcPr>
          <w:p>
            <w:pPr>
              <w:ind w:left="360"/>
              <w:spacing w:after="0"/>
              <w:rPr>
                <w:sz w:val="20"/>
                <w:szCs w:val="20"/>
                <w:color w:val="auto"/>
              </w:rPr>
            </w:pPr>
            <w:r>
              <w:rPr>
                <w:rFonts w:ascii="Arial" w:cs="Arial" w:eastAsia="Arial" w:hAnsi="Arial"/>
                <w:sz w:val="15"/>
                <w:szCs w:val="15"/>
                <w:color w:val="auto"/>
              </w:rPr>
              <w:t>Total costs incurred for equity companies</w:t>
            </w:r>
          </w:p>
        </w:tc>
        <w:tc>
          <w:tcPr>
            <w:tcW w:w="9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507</w:t>
            </w:r>
          </w:p>
        </w:tc>
        <w:tc>
          <w:tcPr>
            <w:tcW w:w="104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278</w:t>
            </w:r>
          </w:p>
        </w:tc>
        <w:tc>
          <w:tcPr>
            <w:tcW w:w="130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1,892</w:t>
            </w:r>
          </w:p>
        </w:tc>
        <w:tc>
          <w:tcPr>
            <w:tcW w:w="140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48"/>
        </w:trPr>
        <w:tc>
          <w:tcPr>
            <w:tcW w:w="2100" w:type="dxa"/>
            <w:vAlign w:val="bottom"/>
          </w:tcPr>
          <w:p>
            <w:pPr>
              <w:spacing w:after="0"/>
              <w:rPr>
                <w:sz w:val="20"/>
                <w:szCs w:val="20"/>
                <w:color w:val="auto"/>
              </w:rPr>
            </w:pPr>
            <w:r>
              <w:rPr>
                <w:rFonts w:ascii="Arial" w:cs="Arial" w:eastAsia="Arial" w:hAnsi="Arial"/>
                <w:sz w:val="15"/>
                <w:szCs w:val="15"/>
                <w:b w:val="1"/>
                <w:bCs w:val="1"/>
                <w:color w:val="auto"/>
              </w:rPr>
              <w:t>During 2013</w:t>
            </w:r>
          </w:p>
        </w:tc>
        <w:tc>
          <w:tcPr>
            <w:tcW w:w="2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100" w:type="dxa"/>
            <w:vAlign w:val="bottom"/>
          </w:tcPr>
          <w:p>
            <w:pPr>
              <w:ind w:left="240"/>
              <w:spacing w:after="0"/>
              <w:rPr>
                <w:sz w:val="20"/>
                <w:szCs w:val="20"/>
                <w:color w:val="auto"/>
              </w:rPr>
            </w:pPr>
            <w:r>
              <w:rPr>
                <w:rFonts w:ascii="Arial" w:cs="Arial" w:eastAsia="Arial" w:hAnsi="Arial"/>
                <w:sz w:val="15"/>
                <w:szCs w:val="15"/>
                <w:b w:val="1"/>
                <w:bCs w:val="1"/>
                <w:color w:val="auto"/>
                <w:w w:val="97"/>
              </w:rPr>
              <w:t>Consolidated Subsidiaries</w:t>
            </w:r>
          </w:p>
        </w:tc>
        <w:tc>
          <w:tcPr>
            <w:tcW w:w="2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100" w:type="dxa"/>
            <w:vAlign w:val="bottom"/>
          </w:tcPr>
          <w:p>
            <w:pPr>
              <w:ind w:left="360"/>
              <w:spacing w:after="0"/>
              <w:rPr>
                <w:sz w:val="20"/>
                <w:szCs w:val="20"/>
                <w:color w:val="auto"/>
              </w:rPr>
            </w:pPr>
            <w:r>
              <w:rPr>
                <w:rFonts w:ascii="Arial" w:cs="Arial" w:eastAsia="Arial" w:hAnsi="Arial"/>
                <w:sz w:val="15"/>
                <w:szCs w:val="15"/>
                <w:color w:val="auto"/>
              </w:rPr>
              <w:t>Property acquisition costs</w:t>
            </w:r>
          </w:p>
        </w:tc>
        <w:tc>
          <w:tcPr>
            <w:tcW w:w="2400" w:type="dxa"/>
            <w:vAlign w:val="bottom"/>
          </w:tcPr>
          <w:p>
            <w:pPr>
              <w:ind w:left="200"/>
              <w:spacing w:after="0"/>
              <w:rPr>
                <w:sz w:val="20"/>
                <w:szCs w:val="20"/>
                <w:color w:val="auto"/>
              </w:rPr>
            </w:pPr>
            <w:r>
              <w:rPr>
                <w:rFonts w:ascii="Arial" w:cs="Arial" w:eastAsia="Arial" w:hAnsi="Arial"/>
                <w:sz w:val="15"/>
                <w:szCs w:val="15"/>
                <w:color w:val="auto"/>
              </w:rPr>
              <w:t>- Proved</w:t>
            </w: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93</w:t>
            </w:r>
          </w:p>
        </w:tc>
        <w:tc>
          <w:tcPr>
            <w:tcW w:w="1040" w:type="dxa"/>
            <w:vAlign w:val="bottom"/>
          </w:tcPr>
          <w:p>
            <w:pPr>
              <w:jc w:val="right"/>
              <w:ind w:right="147"/>
              <w:spacing w:after="0"/>
              <w:rPr>
                <w:sz w:val="20"/>
                <w:szCs w:val="20"/>
                <w:color w:val="auto"/>
              </w:rPr>
            </w:pPr>
            <w:r>
              <w:rPr>
                <w:rFonts w:ascii="Arial" w:cs="Arial" w:eastAsia="Arial" w:hAnsi="Arial"/>
                <w:sz w:val="15"/>
                <w:szCs w:val="15"/>
                <w:color w:val="auto"/>
              </w:rPr>
              <w:t>67</w:t>
            </w:r>
          </w:p>
        </w:tc>
        <w:tc>
          <w:tcPr>
            <w:tcW w:w="8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327"/>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07"/>
              <w:spacing w:after="0"/>
              <w:rPr>
                <w:sz w:val="20"/>
                <w:szCs w:val="20"/>
                <w:color w:val="auto"/>
              </w:rPr>
            </w:pPr>
            <w:r>
              <w:rPr>
                <w:rFonts w:ascii="Arial" w:cs="Arial" w:eastAsia="Arial" w:hAnsi="Arial"/>
                <w:sz w:val="15"/>
                <w:szCs w:val="15"/>
                <w:color w:val="auto"/>
              </w:rPr>
              <w:t>47</w:t>
            </w:r>
          </w:p>
        </w:tc>
        <w:tc>
          <w:tcPr>
            <w:tcW w:w="1400" w:type="dxa"/>
            <w:vAlign w:val="bottom"/>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100" w:type="dxa"/>
            <w:vAlign w:val="bottom"/>
          </w:tcPr>
          <w:p>
            <w:pPr>
              <w:spacing w:after="0"/>
              <w:rPr>
                <w:sz w:val="15"/>
                <w:szCs w:val="15"/>
                <w:color w:val="auto"/>
              </w:rPr>
            </w:pPr>
          </w:p>
        </w:tc>
        <w:tc>
          <w:tcPr>
            <w:tcW w:w="2400" w:type="dxa"/>
            <w:vAlign w:val="bottom"/>
          </w:tcPr>
          <w:p>
            <w:pPr>
              <w:ind w:left="200"/>
              <w:spacing w:after="0"/>
              <w:rPr>
                <w:sz w:val="20"/>
                <w:szCs w:val="20"/>
                <w:color w:val="auto"/>
              </w:rPr>
            </w:pPr>
            <w:r>
              <w:rPr>
                <w:rFonts w:ascii="Arial" w:cs="Arial" w:eastAsia="Arial" w:hAnsi="Arial"/>
                <w:sz w:val="15"/>
                <w:szCs w:val="15"/>
                <w:color w:val="auto"/>
              </w:rPr>
              <w:t>- Unproved</w:t>
            </w: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533</w:t>
            </w:r>
          </w:p>
        </w:tc>
        <w:tc>
          <w:tcPr>
            <w:tcW w:w="1040" w:type="dxa"/>
            <w:vAlign w:val="bottom"/>
          </w:tcPr>
          <w:p>
            <w:pPr>
              <w:jc w:val="right"/>
              <w:ind w:right="147"/>
              <w:spacing w:after="0"/>
              <w:rPr>
                <w:sz w:val="20"/>
                <w:szCs w:val="20"/>
                <w:color w:val="auto"/>
              </w:rPr>
            </w:pPr>
            <w:r>
              <w:rPr>
                <w:rFonts w:ascii="Arial" w:cs="Arial" w:eastAsia="Arial" w:hAnsi="Arial"/>
                <w:sz w:val="15"/>
                <w:szCs w:val="15"/>
                <w:color w:val="auto"/>
              </w:rPr>
              <w:t>4,270</w:t>
            </w:r>
          </w:p>
        </w:tc>
        <w:tc>
          <w:tcPr>
            <w:tcW w:w="8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247"/>
              <w:spacing w:after="0"/>
              <w:rPr>
                <w:sz w:val="20"/>
                <w:szCs w:val="20"/>
                <w:color w:val="auto"/>
              </w:rPr>
            </w:pPr>
            <w:r>
              <w:rPr>
                <w:rFonts w:ascii="Arial" w:cs="Arial" w:eastAsia="Arial" w:hAnsi="Arial"/>
                <w:sz w:val="15"/>
                <w:szCs w:val="15"/>
                <w:color w:val="auto"/>
              </w:rPr>
              <w:t>153</w:t>
            </w:r>
          </w:p>
        </w:tc>
        <w:tc>
          <w:tcPr>
            <w:tcW w:w="88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487"/>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84"/>
        </w:trPr>
        <w:tc>
          <w:tcPr>
            <w:tcW w:w="2100" w:type="dxa"/>
            <w:vAlign w:val="bottom"/>
          </w:tcPr>
          <w:p>
            <w:pPr>
              <w:ind w:left="360"/>
              <w:spacing w:after="0"/>
              <w:rPr>
                <w:sz w:val="20"/>
                <w:szCs w:val="20"/>
                <w:color w:val="auto"/>
              </w:rPr>
            </w:pPr>
            <w:r>
              <w:rPr>
                <w:rFonts w:ascii="Arial" w:cs="Arial" w:eastAsia="Arial" w:hAnsi="Arial"/>
                <w:sz w:val="15"/>
                <w:szCs w:val="15"/>
                <w:color w:val="auto"/>
              </w:rPr>
              <w:t>Exploration costs</w:t>
            </w:r>
          </w:p>
        </w:tc>
        <w:tc>
          <w:tcPr>
            <w:tcW w:w="2400" w:type="dxa"/>
            <w:vAlign w:val="bottom"/>
          </w:tcPr>
          <w:p>
            <w:pPr>
              <w:spacing w:after="0"/>
              <w:rPr>
                <w:sz w:val="15"/>
                <w:szCs w:val="15"/>
                <w:color w:val="auto"/>
              </w:rPr>
            </w:pP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557</w:t>
            </w:r>
          </w:p>
        </w:tc>
        <w:tc>
          <w:tcPr>
            <w:tcW w:w="1040" w:type="dxa"/>
            <w:vAlign w:val="bottom"/>
          </w:tcPr>
          <w:p>
            <w:pPr>
              <w:jc w:val="right"/>
              <w:ind w:right="147"/>
              <w:spacing w:after="0"/>
              <w:rPr>
                <w:sz w:val="20"/>
                <w:szCs w:val="20"/>
                <w:color w:val="auto"/>
              </w:rPr>
            </w:pPr>
            <w:r>
              <w:rPr>
                <w:rFonts w:ascii="Arial" w:cs="Arial" w:eastAsia="Arial" w:hAnsi="Arial"/>
                <w:sz w:val="15"/>
                <w:szCs w:val="15"/>
                <w:color w:val="auto"/>
              </w:rPr>
              <w:t>485</w:t>
            </w:r>
          </w:p>
        </w:tc>
        <w:tc>
          <w:tcPr>
            <w:tcW w:w="840" w:type="dxa"/>
            <w:vAlign w:val="bottom"/>
          </w:tcPr>
          <w:p>
            <w:pPr>
              <w:jc w:val="right"/>
              <w:spacing w:after="0"/>
              <w:rPr>
                <w:sz w:val="20"/>
                <w:szCs w:val="20"/>
                <w:color w:val="auto"/>
              </w:rPr>
            </w:pPr>
            <w:r>
              <w:rPr>
                <w:rFonts w:ascii="Arial" w:cs="Arial" w:eastAsia="Arial" w:hAnsi="Arial"/>
                <w:sz w:val="15"/>
                <w:szCs w:val="15"/>
                <w:color w:val="auto"/>
              </w:rPr>
              <w:t>277</w:t>
            </w:r>
          </w:p>
        </w:tc>
        <w:tc>
          <w:tcPr>
            <w:tcW w:w="1300" w:type="dxa"/>
            <w:vAlign w:val="bottom"/>
          </w:tcPr>
          <w:p>
            <w:pPr>
              <w:jc w:val="right"/>
              <w:ind w:right="247"/>
              <w:spacing w:after="0"/>
              <w:rPr>
                <w:sz w:val="20"/>
                <w:szCs w:val="20"/>
                <w:color w:val="auto"/>
              </w:rPr>
            </w:pPr>
            <w:r>
              <w:rPr>
                <w:rFonts w:ascii="Arial" w:cs="Arial" w:eastAsia="Arial" w:hAnsi="Arial"/>
                <w:sz w:val="15"/>
                <w:szCs w:val="15"/>
                <w:color w:val="auto"/>
              </w:rPr>
              <w:t>361</w:t>
            </w:r>
          </w:p>
        </w:tc>
        <w:tc>
          <w:tcPr>
            <w:tcW w:w="880" w:type="dxa"/>
            <w:vAlign w:val="bottom"/>
          </w:tcPr>
          <w:p>
            <w:pPr>
              <w:jc w:val="right"/>
              <w:ind w:right="107"/>
              <w:spacing w:after="0"/>
              <w:rPr>
                <w:sz w:val="20"/>
                <w:szCs w:val="20"/>
                <w:color w:val="auto"/>
              </w:rPr>
            </w:pPr>
            <w:r>
              <w:rPr>
                <w:rFonts w:ascii="Arial" w:cs="Arial" w:eastAsia="Arial" w:hAnsi="Arial"/>
                <w:sz w:val="15"/>
                <w:szCs w:val="15"/>
                <w:color w:val="auto"/>
              </w:rPr>
              <w:t>598</w:t>
            </w:r>
          </w:p>
        </w:tc>
        <w:tc>
          <w:tcPr>
            <w:tcW w:w="1400" w:type="dxa"/>
            <w:vAlign w:val="bottom"/>
          </w:tcPr>
          <w:p>
            <w:pPr>
              <w:jc w:val="right"/>
              <w:ind w:right="487"/>
              <w:spacing w:after="0"/>
              <w:rPr>
                <w:sz w:val="20"/>
                <w:szCs w:val="20"/>
                <w:color w:val="auto"/>
              </w:rPr>
            </w:pPr>
            <w:r>
              <w:rPr>
                <w:rFonts w:ascii="Arial" w:cs="Arial" w:eastAsia="Arial" w:hAnsi="Arial"/>
                <w:sz w:val="15"/>
                <w:szCs w:val="15"/>
                <w:color w:val="auto"/>
              </w:rPr>
              <w:t>111</w:t>
            </w:r>
          </w:p>
        </w:tc>
        <w:tc>
          <w:tcPr>
            <w:tcW w:w="0" w:type="dxa"/>
            <w:vAlign w:val="bottom"/>
          </w:tcPr>
          <w:p>
            <w:pPr>
              <w:spacing w:after="0"/>
              <w:rPr>
                <w:sz w:val="1"/>
                <w:szCs w:val="1"/>
                <w:color w:val="auto"/>
              </w:rPr>
            </w:pPr>
          </w:p>
        </w:tc>
      </w:tr>
      <w:tr>
        <w:trPr>
          <w:trHeight w:val="187"/>
        </w:trPr>
        <w:tc>
          <w:tcPr>
            <w:tcW w:w="2100" w:type="dxa"/>
            <w:vAlign w:val="bottom"/>
          </w:tcPr>
          <w:p>
            <w:pPr>
              <w:ind w:left="360"/>
              <w:spacing w:after="0"/>
              <w:rPr>
                <w:sz w:val="20"/>
                <w:szCs w:val="20"/>
                <w:color w:val="auto"/>
              </w:rPr>
            </w:pPr>
            <w:r>
              <w:rPr>
                <w:rFonts w:ascii="Arial" w:cs="Arial" w:eastAsia="Arial" w:hAnsi="Arial"/>
                <w:sz w:val="15"/>
                <w:szCs w:val="15"/>
                <w:color w:val="auto"/>
              </w:rPr>
              <w:t>Development costs</w:t>
            </w:r>
          </w:p>
        </w:tc>
        <w:tc>
          <w:tcPr>
            <w:tcW w:w="2400" w:type="dxa"/>
            <w:vAlign w:val="bottom"/>
          </w:tcPr>
          <w:p>
            <w:pPr>
              <w:spacing w:after="0"/>
              <w:rPr>
                <w:sz w:val="16"/>
                <w:szCs w:val="16"/>
                <w:color w:val="auto"/>
              </w:rPr>
            </w:pPr>
          </w:p>
        </w:tc>
        <w:tc>
          <w:tcPr>
            <w:tcW w:w="9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6,919</w:t>
            </w:r>
          </w:p>
        </w:tc>
        <w:tc>
          <w:tcPr>
            <w:tcW w:w="104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8,527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2,117</w:t>
            </w:r>
          </w:p>
        </w:tc>
        <w:tc>
          <w:tcPr>
            <w:tcW w:w="13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rPr>
              <w:t>3,278</w:t>
            </w:r>
          </w:p>
        </w:tc>
        <w:tc>
          <w:tcPr>
            <w:tcW w:w="88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3,493</w:t>
            </w:r>
          </w:p>
        </w:tc>
        <w:tc>
          <w:tcPr>
            <w:tcW w:w="140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rPr>
              <w:t>1,733</w:t>
            </w:r>
          </w:p>
        </w:tc>
        <w:tc>
          <w:tcPr>
            <w:tcW w:w="0" w:type="dxa"/>
            <w:vAlign w:val="bottom"/>
          </w:tcPr>
          <w:p>
            <w:pPr>
              <w:spacing w:after="0"/>
              <w:rPr>
                <w:sz w:val="1"/>
                <w:szCs w:val="1"/>
                <w:color w:val="auto"/>
              </w:rPr>
            </w:pPr>
          </w:p>
        </w:tc>
      </w:tr>
      <w:tr>
        <w:trPr>
          <w:trHeight w:val="181"/>
        </w:trPr>
        <w:tc>
          <w:tcPr>
            <w:tcW w:w="4500" w:type="dxa"/>
            <w:vAlign w:val="bottom"/>
            <w:gridSpan w:val="2"/>
          </w:tcPr>
          <w:p>
            <w:pPr>
              <w:ind w:left="360"/>
              <w:spacing w:after="0"/>
              <w:rPr>
                <w:sz w:val="20"/>
                <w:szCs w:val="20"/>
                <w:color w:val="auto"/>
              </w:rPr>
            </w:pPr>
            <w:r>
              <w:rPr>
                <w:rFonts w:ascii="Arial" w:cs="Arial" w:eastAsia="Arial" w:hAnsi="Arial"/>
                <w:sz w:val="15"/>
                <w:szCs w:val="15"/>
                <w:color w:val="auto"/>
              </w:rPr>
              <w:t>Total costs incurred for consolidated subsidiaries</w:t>
            </w:r>
          </w:p>
        </w:tc>
        <w:tc>
          <w:tcPr>
            <w:tcW w:w="9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8,102</w:t>
            </w:r>
          </w:p>
        </w:tc>
        <w:tc>
          <w:tcPr>
            <w:tcW w:w="104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13,349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2,394</w:t>
            </w:r>
          </w:p>
        </w:tc>
        <w:tc>
          <w:tcPr>
            <w:tcW w:w="13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rPr>
              <w:t>3,792</w:t>
            </w:r>
          </w:p>
        </w:tc>
        <w:tc>
          <w:tcPr>
            <w:tcW w:w="88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4,138</w:t>
            </w:r>
          </w:p>
        </w:tc>
        <w:tc>
          <w:tcPr>
            <w:tcW w:w="140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rPr>
              <w:t>1,848</w:t>
            </w:r>
          </w:p>
        </w:tc>
        <w:tc>
          <w:tcPr>
            <w:tcW w:w="0" w:type="dxa"/>
            <w:vAlign w:val="bottom"/>
          </w:tcPr>
          <w:p>
            <w:pPr>
              <w:spacing w:after="0"/>
              <w:rPr>
                <w:sz w:val="1"/>
                <w:szCs w:val="1"/>
                <w:color w:val="auto"/>
              </w:rPr>
            </w:pPr>
          </w:p>
        </w:tc>
      </w:tr>
      <w:tr>
        <w:trPr>
          <w:trHeight w:val="352"/>
        </w:trPr>
        <w:tc>
          <w:tcPr>
            <w:tcW w:w="2100" w:type="dxa"/>
            <w:vAlign w:val="bottom"/>
          </w:tcPr>
          <w:p>
            <w:pPr>
              <w:ind w:left="240"/>
              <w:spacing w:after="0"/>
              <w:rPr>
                <w:sz w:val="20"/>
                <w:szCs w:val="20"/>
                <w:color w:val="auto"/>
              </w:rPr>
            </w:pPr>
            <w:r>
              <w:rPr>
                <w:rFonts w:ascii="Arial" w:cs="Arial" w:eastAsia="Arial" w:hAnsi="Arial"/>
                <w:sz w:val="15"/>
                <w:szCs w:val="15"/>
                <w:b w:val="1"/>
                <w:bCs w:val="1"/>
                <w:color w:val="auto"/>
              </w:rPr>
              <w:t>Equity Companies</w:t>
            </w:r>
          </w:p>
        </w:tc>
        <w:tc>
          <w:tcPr>
            <w:tcW w:w="2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100" w:type="dxa"/>
            <w:vAlign w:val="bottom"/>
          </w:tcPr>
          <w:p>
            <w:pPr>
              <w:ind w:left="360"/>
              <w:spacing w:after="0"/>
              <w:rPr>
                <w:sz w:val="20"/>
                <w:szCs w:val="20"/>
                <w:color w:val="auto"/>
              </w:rPr>
            </w:pPr>
            <w:r>
              <w:rPr>
                <w:rFonts w:ascii="Arial" w:cs="Arial" w:eastAsia="Arial" w:hAnsi="Arial"/>
                <w:sz w:val="15"/>
                <w:szCs w:val="15"/>
                <w:color w:val="auto"/>
              </w:rPr>
              <w:t>Property acquisition costs</w:t>
            </w:r>
          </w:p>
        </w:tc>
        <w:tc>
          <w:tcPr>
            <w:tcW w:w="2400" w:type="dxa"/>
            <w:vAlign w:val="bottom"/>
          </w:tcPr>
          <w:p>
            <w:pPr>
              <w:ind w:left="200"/>
              <w:spacing w:after="0"/>
              <w:rPr>
                <w:sz w:val="20"/>
                <w:szCs w:val="20"/>
                <w:color w:val="auto"/>
              </w:rPr>
            </w:pPr>
            <w:r>
              <w:rPr>
                <w:rFonts w:ascii="Arial" w:cs="Arial" w:eastAsia="Arial" w:hAnsi="Arial"/>
                <w:sz w:val="15"/>
                <w:szCs w:val="15"/>
                <w:color w:val="auto"/>
              </w:rPr>
              <w:t>- Proved</w:t>
            </w: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2</w:t>
            </w: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327"/>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100" w:type="dxa"/>
            <w:vAlign w:val="bottom"/>
          </w:tcPr>
          <w:p>
            <w:pPr>
              <w:spacing w:after="0"/>
              <w:rPr>
                <w:sz w:val="15"/>
                <w:szCs w:val="15"/>
                <w:color w:val="auto"/>
              </w:rPr>
            </w:pPr>
          </w:p>
        </w:tc>
        <w:tc>
          <w:tcPr>
            <w:tcW w:w="2400" w:type="dxa"/>
            <w:vAlign w:val="bottom"/>
          </w:tcPr>
          <w:p>
            <w:pPr>
              <w:ind w:left="200"/>
              <w:spacing w:after="0"/>
              <w:rPr>
                <w:sz w:val="20"/>
                <w:szCs w:val="20"/>
                <w:color w:val="auto"/>
              </w:rPr>
            </w:pPr>
            <w:r>
              <w:rPr>
                <w:rFonts w:ascii="Arial" w:cs="Arial" w:eastAsia="Arial" w:hAnsi="Arial"/>
                <w:sz w:val="15"/>
                <w:szCs w:val="15"/>
                <w:color w:val="auto"/>
              </w:rPr>
              <w:t>- Unproved</w:t>
            </w:r>
          </w:p>
        </w:tc>
        <w:tc>
          <w:tcPr>
            <w:tcW w:w="98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327"/>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07"/>
              <w:spacing w:after="0"/>
              <w:rPr>
                <w:sz w:val="20"/>
                <w:szCs w:val="20"/>
                <w:color w:val="auto"/>
              </w:rPr>
            </w:pPr>
            <w:r>
              <w:rPr>
                <w:rFonts w:ascii="Arial" w:cs="Arial" w:eastAsia="Arial" w:hAnsi="Arial"/>
                <w:sz w:val="15"/>
                <w:szCs w:val="15"/>
                <w:color w:val="auto"/>
              </w:rPr>
              <w:t>17</w:t>
            </w:r>
          </w:p>
        </w:tc>
        <w:tc>
          <w:tcPr>
            <w:tcW w:w="1400" w:type="dxa"/>
            <w:vAlign w:val="bottom"/>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100" w:type="dxa"/>
            <w:vAlign w:val="bottom"/>
          </w:tcPr>
          <w:p>
            <w:pPr>
              <w:ind w:left="360"/>
              <w:spacing w:after="0"/>
              <w:rPr>
                <w:sz w:val="20"/>
                <w:szCs w:val="20"/>
                <w:color w:val="auto"/>
              </w:rPr>
            </w:pPr>
            <w:r>
              <w:rPr>
                <w:rFonts w:ascii="Arial" w:cs="Arial" w:eastAsia="Arial" w:hAnsi="Arial"/>
                <w:sz w:val="15"/>
                <w:szCs w:val="15"/>
                <w:color w:val="auto"/>
              </w:rPr>
              <w:t>Exploration costs</w:t>
            </w:r>
          </w:p>
        </w:tc>
        <w:tc>
          <w:tcPr>
            <w:tcW w:w="2400" w:type="dxa"/>
            <w:vAlign w:val="bottom"/>
          </w:tcPr>
          <w:p>
            <w:pPr>
              <w:spacing w:after="0"/>
              <w:rPr>
                <w:sz w:val="15"/>
                <w:szCs w:val="15"/>
                <w:color w:val="auto"/>
              </w:rPr>
            </w:pP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60</w:t>
            </w: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29</w:t>
            </w:r>
          </w:p>
        </w:tc>
        <w:tc>
          <w:tcPr>
            <w:tcW w:w="1300" w:type="dxa"/>
            <w:vAlign w:val="bottom"/>
          </w:tcPr>
          <w:p>
            <w:pPr>
              <w:jc w:val="right"/>
              <w:ind w:right="327"/>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07"/>
              <w:spacing w:after="0"/>
              <w:rPr>
                <w:sz w:val="20"/>
                <w:szCs w:val="20"/>
                <w:color w:val="auto"/>
              </w:rPr>
            </w:pPr>
            <w:r>
              <w:rPr>
                <w:rFonts w:ascii="Arial" w:cs="Arial" w:eastAsia="Arial" w:hAnsi="Arial"/>
                <w:sz w:val="15"/>
                <w:szCs w:val="15"/>
                <w:color w:val="auto"/>
              </w:rPr>
              <w:t>494</w:t>
            </w:r>
          </w:p>
        </w:tc>
        <w:tc>
          <w:tcPr>
            <w:tcW w:w="1400" w:type="dxa"/>
            <w:vAlign w:val="bottom"/>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100" w:type="dxa"/>
            <w:vAlign w:val="bottom"/>
          </w:tcPr>
          <w:p>
            <w:pPr>
              <w:ind w:left="360"/>
              <w:spacing w:after="0"/>
              <w:rPr>
                <w:sz w:val="20"/>
                <w:szCs w:val="20"/>
                <w:color w:val="auto"/>
              </w:rPr>
            </w:pPr>
            <w:r>
              <w:rPr>
                <w:rFonts w:ascii="Arial" w:cs="Arial" w:eastAsia="Arial" w:hAnsi="Arial"/>
                <w:sz w:val="15"/>
                <w:szCs w:val="15"/>
                <w:color w:val="auto"/>
              </w:rPr>
              <w:t>Development costs</w:t>
            </w:r>
          </w:p>
        </w:tc>
        <w:tc>
          <w:tcPr>
            <w:tcW w:w="2400" w:type="dxa"/>
            <w:vAlign w:val="bottom"/>
          </w:tcPr>
          <w:p>
            <w:pPr>
              <w:spacing w:after="0"/>
              <w:rPr>
                <w:sz w:val="16"/>
                <w:szCs w:val="16"/>
                <w:color w:val="auto"/>
              </w:rPr>
            </w:pPr>
          </w:p>
        </w:tc>
        <w:tc>
          <w:tcPr>
            <w:tcW w:w="9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720</w:t>
            </w:r>
          </w:p>
        </w:tc>
        <w:tc>
          <w:tcPr>
            <w:tcW w:w="104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w:t>
            </w:r>
          </w:p>
        </w:tc>
        <w:tc>
          <w:tcPr>
            <w:tcW w:w="130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828</w:t>
            </w:r>
          </w:p>
        </w:tc>
        <w:tc>
          <w:tcPr>
            <w:tcW w:w="140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4500" w:type="dxa"/>
            <w:vAlign w:val="bottom"/>
            <w:gridSpan w:val="2"/>
          </w:tcPr>
          <w:p>
            <w:pPr>
              <w:ind w:left="360"/>
              <w:spacing w:after="0"/>
              <w:rPr>
                <w:sz w:val="20"/>
                <w:szCs w:val="20"/>
                <w:color w:val="auto"/>
              </w:rPr>
            </w:pPr>
            <w:r>
              <w:rPr>
                <w:rFonts w:ascii="Arial" w:cs="Arial" w:eastAsia="Arial" w:hAnsi="Arial"/>
                <w:sz w:val="15"/>
                <w:szCs w:val="15"/>
                <w:color w:val="auto"/>
              </w:rPr>
              <w:t>Total costs incurred for equity companies</w:t>
            </w:r>
          </w:p>
        </w:tc>
        <w:tc>
          <w:tcPr>
            <w:tcW w:w="9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782</w:t>
            </w:r>
          </w:p>
        </w:tc>
        <w:tc>
          <w:tcPr>
            <w:tcW w:w="104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w:t>
            </w:r>
          </w:p>
        </w:tc>
        <w:tc>
          <w:tcPr>
            <w:tcW w:w="130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1,339</w:t>
            </w:r>
          </w:p>
        </w:tc>
        <w:tc>
          <w:tcPr>
            <w:tcW w:w="140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48"/>
        </w:trPr>
        <w:tc>
          <w:tcPr>
            <w:tcW w:w="2100" w:type="dxa"/>
            <w:vAlign w:val="bottom"/>
          </w:tcPr>
          <w:p>
            <w:pPr>
              <w:spacing w:after="0"/>
              <w:rPr>
                <w:sz w:val="20"/>
                <w:szCs w:val="20"/>
                <w:color w:val="auto"/>
              </w:rPr>
            </w:pPr>
            <w:r>
              <w:rPr>
                <w:rFonts w:ascii="Arial" w:cs="Arial" w:eastAsia="Arial" w:hAnsi="Arial"/>
                <w:sz w:val="15"/>
                <w:szCs w:val="15"/>
                <w:b w:val="1"/>
                <w:bCs w:val="1"/>
                <w:color w:val="auto"/>
              </w:rPr>
              <w:t>During 2012</w:t>
            </w:r>
          </w:p>
        </w:tc>
        <w:tc>
          <w:tcPr>
            <w:tcW w:w="2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100" w:type="dxa"/>
            <w:vAlign w:val="bottom"/>
          </w:tcPr>
          <w:p>
            <w:pPr>
              <w:ind w:left="240"/>
              <w:spacing w:after="0"/>
              <w:rPr>
                <w:sz w:val="20"/>
                <w:szCs w:val="20"/>
                <w:color w:val="auto"/>
              </w:rPr>
            </w:pPr>
            <w:r>
              <w:rPr>
                <w:rFonts w:ascii="Arial" w:cs="Arial" w:eastAsia="Arial" w:hAnsi="Arial"/>
                <w:sz w:val="15"/>
                <w:szCs w:val="15"/>
                <w:b w:val="1"/>
                <w:bCs w:val="1"/>
                <w:color w:val="auto"/>
                <w:w w:val="97"/>
              </w:rPr>
              <w:t>Consolidated Subsidiaries</w:t>
            </w:r>
          </w:p>
        </w:tc>
        <w:tc>
          <w:tcPr>
            <w:tcW w:w="2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100" w:type="dxa"/>
            <w:vAlign w:val="bottom"/>
          </w:tcPr>
          <w:p>
            <w:pPr>
              <w:ind w:left="360"/>
              <w:spacing w:after="0"/>
              <w:rPr>
                <w:sz w:val="20"/>
                <w:szCs w:val="20"/>
                <w:color w:val="auto"/>
              </w:rPr>
            </w:pPr>
            <w:r>
              <w:rPr>
                <w:rFonts w:ascii="Arial" w:cs="Arial" w:eastAsia="Arial" w:hAnsi="Arial"/>
                <w:sz w:val="15"/>
                <w:szCs w:val="15"/>
                <w:color w:val="auto"/>
              </w:rPr>
              <w:t>Property acquisition costs</w:t>
            </w:r>
          </w:p>
        </w:tc>
        <w:tc>
          <w:tcPr>
            <w:tcW w:w="2400" w:type="dxa"/>
            <w:vAlign w:val="bottom"/>
          </w:tcPr>
          <w:p>
            <w:pPr>
              <w:ind w:left="200"/>
              <w:spacing w:after="0"/>
              <w:rPr>
                <w:sz w:val="20"/>
                <w:szCs w:val="20"/>
                <w:color w:val="auto"/>
              </w:rPr>
            </w:pPr>
            <w:r>
              <w:rPr>
                <w:rFonts w:ascii="Arial" w:cs="Arial" w:eastAsia="Arial" w:hAnsi="Arial"/>
                <w:sz w:val="15"/>
                <w:szCs w:val="15"/>
                <w:color w:val="auto"/>
              </w:rPr>
              <w:t>- Proved</w:t>
            </w: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192</w:t>
            </w:r>
          </w:p>
        </w:tc>
        <w:tc>
          <w:tcPr>
            <w:tcW w:w="1040" w:type="dxa"/>
            <w:vAlign w:val="bottom"/>
          </w:tcPr>
          <w:p>
            <w:pPr>
              <w:jc w:val="right"/>
              <w:ind w:right="147"/>
              <w:spacing w:after="0"/>
              <w:rPr>
                <w:sz w:val="20"/>
                <w:szCs w:val="20"/>
                <w:color w:val="auto"/>
              </w:rPr>
            </w:pPr>
            <w:r>
              <w:rPr>
                <w:rFonts w:ascii="Arial" w:cs="Arial" w:eastAsia="Arial" w:hAnsi="Arial"/>
                <w:sz w:val="15"/>
                <w:szCs w:val="15"/>
                <w:color w:val="auto"/>
              </w:rPr>
              <w:t>2</w:t>
            </w:r>
          </w:p>
        </w:tc>
        <w:tc>
          <w:tcPr>
            <w:tcW w:w="840" w:type="dxa"/>
            <w:vAlign w:val="bottom"/>
          </w:tcPr>
          <w:p>
            <w:pPr>
              <w:jc w:val="right"/>
              <w:spacing w:after="0"/>
              <w:rPr>
                <w:sz w:val="20"/>
                <w:szCs w:val="20"/>
                <w:color w:val="auto"/>
              </w:rPr>
            </w:pPr>
            <w:r>
              <w:rPr>
                <w:rFonts w:ascii="Arial" w:cs="Arial" w:eastAsia="Arial" w:hAnsi="Arial"/>
                <w:sz w:val="15"/>
                <w:szCs w:val="15"/>
                <w:color w:val="auto"/>
              </w:rPr>
              <w:t>95</w:t>
            </w:r>
          </w:p>
        </w:tc>
        <w:tc>
          <w:tcPr>
            <w:tcW w:w="1300" w:type="dxa"/>
            <w:vAlign w:val="bottom"/>
          </w:tcPr>
          <w:p>
            <w:pPr>
              <w:jc w:val="right"/>
              <w:ind w:right="327"/>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07"/>
              <w:spacing w:after="0"/>
              <w:rPr>
                <w:sz w:val="20"/>
                <w:szCs w:val="20"/>
                <w:color w:val="auto"/>
              </w:rPr>
            </w:pPr>
            <w:r>
              <w:rPr>
                <w:rFonts w:ascii="Arial" w:cs="Arial" w:eastAsia="Arial" w:hAnsi="Arial"/>
                <w:sz w:val="15"/>
                <w:szCs w:val="15"/>
                <w:color w:val="auto"/>
              </w:rPr>
              <w:t>43</w:t>
            </w:r>
          </w:p>
        </w:tc>
        <w:tc>
          <w:tcPr>
            <w:tcW w:w="1400" w:type="dxa"/>
            <w:vAlign w:val="bottom"/>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100" w:type="dxa"/>
            <w:vAlign w:val="bottom"/>
          </w:tcPr>
          <w:p>
            <w:pPr>
              <w:spacing w:after="0"/>
              <w:rPr>
                <w:sz w:val="15"/>
                <w:szCs w:val="15"/>
                <w:color w:val="auto"/>
              </w:rPr>
            </w:pPr>
          </w:p>
        </w:tc>
        <w:tc>
          <w:tcPr>
            <w:tcW w:w="2400" w:type="dxa"/>
            <w:vAlign w:val="bottom"/>
          </w:tcPr>
          <w:p>
            <w:pPr>
              <w:ind w:left="200"/>
              <w:spacing w:after="0"/>
              <w:rPr>
                <w:sz w:val="20"/>
                <w:szCs w:val="20"/>
                <w:color w:val="auto"/>
              </w:rPr>
            </w:pPr>
            <w:r>
              <w:rPr>
                <w:rFonts w:ascii="Arial" w:cs="Arial" w:eastAsia="Arial" w:hAnsi="Arial"/>
                <w:sz w:val="15"/>
                <w:szCs w:val="15"/>
                <w:color w:val="auto"/>
              </w:rPr>
              <w:t>- Unproved</w:t>
            </w: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1,717</w:t>
            </w:r>
          </w:p>
        </w:tc>
        <w:tc>
          <w:tcPr>
            <w:tcW w:w="1040" w:type="dxa"/>
            <w:vAlign w:val="bottom"/>
          </w:tcPr>
          <w:p>
            <w:pPr>
              <w:jc w:val="right"/>
              <w:ind w:right="147"/>
              <w:spacing w:after="0"/>
              <w:rPr>
                <w:sz w:val="20"/>
                <w:szCs w:val="20"/>
                <w:color w:val="auto"/>
              </w:rPr>
            </w:pPr>
            <w:r>
              <w:rPr>
                <w:rFonts w:ascii="Arial" w:cs="Arial" w:eastAsia="Arial" w:hAnsi="Arial"/>
                <w:sz w:val="15"/>
                <w:szCs w:val="15"/>
                <w:color w:val="auto"/>
              </w:rPr>
              <w:t>74</w:t>
            </w:r>
          </w:p>
        </w:tc>
        <w:tc>
          <w:tcPr>
            <w:tcW w:w="840" w:type="dxa"/>
            <w:vAlign w:val="bottom"/>
          </w:tcPr>
          <w:p>
            <w:pPr>
              <w:jc w:val="right"/>
              <w:spacing w:after="0"/>
              <w:rPr>
                <w:sz w:val="20"/>
                <w:szCs w:val="20"/>
                <w:color w:val="auto"/>
              </w:rPr>
            </w:pPr>
            <w:r>
              <w:rPr>
                <w:rFonts w:ascii="Arial" w:cs="Arial" w:eastAsia="Arial" w:hAnsi="Arial"/>
                <w:sz w:val="15"/>
                <w:szCs w:val="15"/>
                <w:color w:val="auto"/>
              </w:rPr>
              <w:t>24</w:t>
            </w:r>
          </w:p>
        </w:tc>
        <w:tc>
          <w:tcPr>
            <w:tcW w:w="1300" w:type="dxa"/>
            <w:vAlign w:val="bottom"/>
          </w:tcPr>
          <w:p>
            <w:pPr>
              <w:jc w:val="right"/>
              <w:ind w:right="247"/>
              <w:spacing w:after="0"/>
              <w:rPr>
                <w:sz w:val="20"/>
                <w:szCs w:val="20"/>
                <w:color w:val="auto"/>
              </w:rPr>
            </w:pPr>
            <w:r>
              <w:rPr>
                <w:rFonts w:ascii="Arial" w:cs="Arial" w:eastAsia="Arial" w:hAnsi="Arial"/>
                <w:sz w:val="15"/>
                <w:szCs w:val="15"/>
                <w:color w:val="auto"/>
              </w:rPr>
              <w:t>15</w:t>
            </w:r>
          </w:p>
        </w:tc>
        <w:tc>
          <w:tcPr>
            <w:tcW w:w="88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487"/>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84"/>
        </w:trPr>
        <w:tc>
          <w:tcPr>
            <w:tcW w:w="2100" w:type="dxa"/>
            <w:vAlign w:val="bottom"/>
          </w:tcPr>
          <w:p>
            <w:pPr>
              <w:ind w:left="360"/>
              <w:spacing w:after="0"/>
              <w:rPr>
                <w:sz w:val="20"/>
                <w:szCs w:val="20"/>
                <w:color w:val="auto"/>
              </w:rPr>
            </w:pPr>
            <w:r>
              <w:rPr>
                <w:rFonts w:ascii="Arial" w:cs="Arial" w:eastAsia="Arial" w:hAnsi="Arial"/>
                <w:sz w:val="15"/>
                <w:szCs w:val="15"/>
                <w:color w:val="auto"/>
              </w:rPr>
              <w:t>Exploration costs</w:t>
            </w:r>
          </w:p>
        </w:tc>
        <w:tc>
          <w:tcPr>
            <w:tcW w:w="2400" w:type="dxa"/>
            <w:vAlign w:val="bottom"/>
          </w:tcPr>
          <w:p>
            <w:pPr>
              <w:spacing w:after="0"/>
              <w:rPr>
                <w:sz w:val="15"/>
                <w:szCs w:val="15"/>
                <w:color w:val="auto"/>
              </w:rPr>
            </w:pP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601</w:t>
            </w:r>
          </w:p>
        </w:tc>
        <w:tc>
          <w:tcPr>
            <w:tcW w:w="1040" w:type="dxa"/>
            <w:vAlign w:val="bottom"/>
          </w:tcPr>
          <w:p>
            <w:pPr>
              <w:jc w:val="right"/>
              <w:ind w:right="147"/>
              <w:spacing w:after="0"/>
              <w:rPr>
                <w:sz w:val="20"/>
                <w:szCs w:val="20"/>
                <w:color w:val="auto"/>
              </w:rPr>
            </w:pPr>
            <w:r>
              <w:rPr>
                <w:rFonts w:ascii="Arial" w:cs="Arial" w:eastAsia="Arial" w:hAnsi="Arial"/>
                <w:sz w:val="15"/>
                <w:szCs w:val="15"/>
                <w:color w:val="auto"/>
              </w:rPr>
              <w:t>405</w:t>
            </w:r>
          </w:p>
        </w:tc>
        <w:tc>
          <w:tcPr>
            <w:tcW w:w="840" w:type="dxa"/>
            <w:vAlign w:val="bottom"/>
          </w:tcPr>
          <w:p>
            <w:pPr>
              <w:jc w:val="right"/>
              <w:spacing w:after="0"/>
              <w:rPr>
                <w:sz w:val="20"/>
                <w:szCs w:val="20"/>
                <w:color w:val="auto"/>
              </w:rPr>
            </w:pPr>
            <w:r>
              <w:rPr>
                <w:rFonts w:ascii="Arial" w:cs="Arial" w:eastAsia="Arial" w:hAnsi="Arial"/>
                <w:sz w:val="15"/>
                <w:szCs w:val="15"/>
                <w:color w:val="auto"/>
              </w:rPr>
              <w:t>454</w:t>
            </w:r>
          </w:p>
        </w:tc>
        <w:tc>
          <w:tcPr>
            <w:tcW w:w="1300" w:type="dxa"/>
            <w:vAlign w:val="bottom"/>
          </w:tcPr>
          <w:p>
            <w:pPr>
              <w:jc w:val="right"/>
              <w:ind w:right="247"/>
              <w:spacing w:after="0"/>
              <w:rPr>
                <w:sz w:val="20"/>
                <w:szCs w:val="20"/>
                <w:color w:val="auto"/>
              </w:rPr>
            </w:pPr>
            <w:r>
              <w:rPr>
                <w:rFonts w:ascii="Arial" w:cs="Arial" w:eastAsia="Arial" w:hAnsi="Arial"/>
                <w:sz w:val="15"/>
                <w:szCs w:val="15"/>
                <w:color w:val="auto"/>
              </w:rPr>
              <w:t>520</w:t>
            </w:r>
          </w:p>
        </w:tc>
        <w:tc>
          <w:tcPr>
            <w:tcW w:w="880" w:type="dxa"/>
            <w:vAlign w:val="bottom"/>
          </w:tcPr>
          <w:p>
            <w:pPr>
              <w:jc w:val="right"/>
              <w:ind w:right="107"/>
              <w:spacing w:after="0"/>
              <w:rPr>
                <w:sz w:val="20"/>
                <w:szCs w:val="20"/>
                <w:color w:val="auto"/>
              </w:rPr>
            </w:pPr>
            <w:r>
              <w:rPr>
                <w:rFonts w:ascii="Arial" w:cs="Arial" w:eastAsia="Arial" w:hAnsi="Arial"/>
                <w:sz w:val="15"/>
                <w:szCs w:val="15"/>
                <w:color w:val="auto"/>
              </w:rPr>
              <w:t>554</w:t>
            </w:r>
          </w:p>
        </w:tc>
        <w:tc>
          <w:tcPr>
            <w:tcW w:w="1400" w:type="dxa"/>
            <w:vAlign w:val="bottom"/>
          </w:tcPr>
          <w:p>
            <w:pPr>
              <w:jc w:val="right"/>
              <w:ind w:right="487"/>
              <w:spacing w:after="0"/>
              <w:rPr>
                <w:sz w:val="20"/>
                <w:szCs w:val="20"/>
                <w:color w:val="auto"/>
              </w:rPr>
            </w:pPr>
            <w:r>
              <w:rPr>
                <w:rFonts w:ascii="Arial" w:cs="Arial" w:eastAsia="Arial" w:hAnsi="Arial"/>
                <w:sz w:val="15"/>
                <w:szCs w:val="15"/>
                <w:color w:val="auto"/>
              </w:rPr>
              <w:t>248</w:t>
            </w:r>
          </w:p>
        </w:tc>
        <w:tc>
          <w:tcPr>
            <w:tcW w:w="0" w:type="dxa"/>
            <w:vAlign w:val="bottom"/>
          </w:tcPr>
          <w:p>
            <w:pPr>
              <w:spacing w:after="0"/>
              <w:rPr>
                <w:sz w:val="1"/>
                <w:szCs w:val="1"/>
                <w:color w:val="auto"/>
              </w:rPr>
            </w:pPr>
          </w:p>
        </w:tc>
      </w:tr>
      <w:tr>
        <w:trPr>
          <w:trHeight w:val="187"/>
        </w:trPr>
        <w:tc>
          <w:tcPr>
            <w:tcW w:w="2100" w:type="dxa"/>
            <w:vAlign w:val="bottom"/>
          </w:tcPr>
          <w:p>
            <w:pPr>
              <w:ind w:left="360"/>
              <w:spacing w:after="0"/>
              <w:rPr>
                <w:sz w:val="20"/>
                <w:szCs w:val="20"/>
                <w:color w:val="auto"/>
              </w:rPr>
            </w:pPr>
            <w:r>
              <w:rPr>
                <w:rFonts w:ascii="Arial" w:cs="Arial" w:eastAsia="Arial" w:hAnsi="Arial"/>
                <w:sz w:val="15"/>
                <w:szCs w:val="15"/>
                <w:color w:val="auto"/>
              </w:rPr>
              <w:t>Development costs</w:t>
            </w:r>
          </w:p>
        </w:tc>
        <w:tc>
          <w:tcPr>
            <w:tcW w:w="2400" w:type="dxa"/>
            <w:vAlign w:val="bottom"/>
          </w:tcPr>
          <w:p>
            <w:pPr>
              <w:spacing w:after="0"/>
              <w:rPr>
                <w:sz w:val="16"/>
                <w:szCs w:val="16"/>
                <w:color w:val="auto"/>
              </w:rPr>
            </w:pPr>
          </w:p>
        </w:tc>
        <w:tc>
          <w:tcPr>
            <w:tcW w:w="9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7,172</w:t>
            </w:r>
          </w:p>
        </w:tc>
        <w:tc>
          <w:tcPr>
            <w:tcW w:w="104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7,601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2,637</w:t>
            </w:r>
          </w:p>
        </w:tc>
        <w:tc>
          <w:tcPr>
            <w:tcW w:w="13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rPr>
              <w:t>3,081</w:t>
            </w:r>
          </w:p>
        </w:tc>
        <w:tc>
          <w:tcPr>
            <w:tcW w:w="88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3,347</w:t>
            </w:r>
          </w:p>
        </w:tc>
        <w:tc>
          <w:tcPr>
            <w:tcW w:w="140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rPr>
              <w:t>2,333</w:t>
            </w:r>
          </w:p>
        </w:tc>
        <w:tc>
          <w:tcPr>
            <w:tcW w:w="0" w:type="dxa"/>
            <w:vAlign w:val="bottom"/>
          </w:tcPr>
          <w:p>
            <w:pPr>
              <w:spacing w:after="0"/>
              <w:rPr>
                <w:sz w:val="1"/>
                <w:szCs w:val="1"/>
                <w:color w:val="auto"/>
              </w:rPr>
            </w:pPr>
          </w:p>
        </w:tc>
      </w:tr>
      <w:tr>
        <w:trPr>
          <w:trHeight w:val="181"/>
        </w:trPr>
        <w:tc>
          <w:tcPr>
            <w:tcW w:w="4500" w:type="dxa"/>
            <w:vAlign w:val="bottom"/>
            <w:gridSpan w:val="2"/>
          </w:tcPr>
          <w:p>
            <w:pPr>
              <w:ind w:left="360"/>
              <w:spacing w:after="0"/>
              <w:rPr>
                <w:sz w:val="20"/>
                <w:szCs w:val="20"/>
                <w:color w:val="auto"/>
              </w:rPr>
            </w:pPr>
            <w:r>
              <w:rPr>
                <w:rFonts w:ascii="Arial" w:cs="Arial" w:eastAsia="Arial" w:hAnsi="Arial"/>
                <w:sz w:val="15"/>
                <w:szCs w:val="15"/>
                <w:color w:val="auto"/>
              </w:rPr>
              <w:t>Total costs incurred for consolidated subsidiaries</w:t>
            </w:r>
          </w:p>
        </w:tc>
        <w:tc>
          <w:tcPr>
            <w:tcW w:w="9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9,682</w:t>
            </w:r>
          </w:p>
        </w:tc>
        <w:tc>
          <w:tcPr>
            <w:tcW w:w="104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8,082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3,210</w:t>
            </w:r>
          </w:p>
        </w:tc>
        <w:tc>
          <w:tcPr>
            <w:tcW w:w="13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rPr>
              <w:t>3,616</w:t>
            </w:r>
          </w:p>
        </w:tc>
        <w:tc>
          <w:tcPr>
            <w:tcW w:w="88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3,944</w:t>
            </w:r>
          </w:p>
        </w:tc>
        <w:tc>
          <w:tcPr>
            <w:tcW w:w="140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rPr>
              <w:t>2,612</w:t>
            </w:r>
          </w:p>
        </w:tc>
        <w:tc>
          <w:tcPr>
            <w:tcW w:w="0" w:type="dxa"/>
            <w:vAlign w:val="bottom"/>
          </w:tcPr>
          <w:p>
            <w:pPr>
              <w:spacing w:after="0"/>
              <w:rPr>
                <w:sz w:val="1"/>
                <w:szCs w:val="1"/>
                <w:color w:val="auto"/>
              </w:rPr>
            </w:pPr>
          </w:p>
        </w:tc>
      </w:tr>
      <w:tr>
        <w:trPr>
          <w:trHeight w:val="352"/>
        </w:trPr>
        <w:tc>
          <w:tcPr>
            <w:tcW w:w="2100" w:type="dxa"/>
            <w:vAlign w:val="bottom"/>
          </w:tcPr>
          <w:p>
            <w:pPr>
              <w:ind w:left="240"/>
              <w:spacing w:after="0"/>
              <w:rPr>
                <w:sz w:val="20"/>
                <w:szCs w:val="20"/>
                <w:color w:val="auto"/>
              </w:rPr>
            </w:pPr>
            <w:r>
              <w:rPr>
                <w:rFonts w:ascii="Arial" w:cs="Arial" w:eastAsia="Arial" w:hAnsi="Arial"/>
                <w:sz w:val="15"/>
                <w:szCs w:val="15"/>
                <w:b w:val="1"/>
                <w:bCs w:val="1"/>
                <w:color w:val="auto"/>
              </w:rPr>
              <w:t>Equity Companies</w:t>
            </w:r>
          </w:p>
        </w:tc>
        <w:tc>
          <w:tcPr>
            <w:tcW w:w="2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100" w:type="dxa"/>
            <w:vAlign w:val="bottom"/>
          </w:tcPr>
          <w:p>
            <w:pPr>
              <w:ind w:left="360"/>
              <w:spacing w:after="0"/>
              <w:rPr>
                <w:sz w:val="20"/>
                <w:szCs w:val="20"/>
                <w:color w:val="auto"/>
              </w:rPr>
            </w:pPr>
            <w:r>
              <w:rPr>
                <w:rFonts w:ascii="Arial" w:cs="Arial" w:eastAsia="Arial" w:hAnsi="Arial"/>
                <w:sz w:val="15"/>
                <w:szCs w:val="15"/>
                <w:color w:val="auto"/>
              </w:rPr>
              <w:t>Property acquisition costs</w:t>
            </w:r>
          </w:p>
        </w:tc>
        <w:tc>
          <w:tcPr>
            <w:tcW w:w="2400" w:type="dxa"/>
            <w:vAlign w:val="bottom"/>
          </w:tcPr>
          <w:p>
            <w:pPr>
              <w:ind w:left="200"/>
              <w:spacing w:after="0"/>
              <w:rPr>
                <w:sz w:val="20"/>
                <w:szCs w:val="20"/>
                <w:color w:val="auto"/>
              </w:rPr>
            </w:pPr>
            <w:r>
              <w:rPr>
                <w:rFonts w:ascii="Arial" w:cs="Arial" w:eastAsia="Arial" w:hAnsi="Arial"/>
                <w:sz w:val="15"/>
                <w:szCs w:val="15"/>
                <w:color w:val="auto"/>
              </w:rPr>
              <w:t>- Proved</w:t>
            </w:r>
          </w:p>
        </w:tc>
        <w:tc>
          <w:tcPr>
            <w:tcW w:w="98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327"/>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100" w:type="dxa"/>
            <w:vAlign w:val="bottom"/>
          </w:tcPr>
          <w:p>
            <w:pPr>
              <w:spacing w:after="0"/>
              <w:rPr>
                <w:sz w:val="15"/>
                <w:szCs w:val="15"/>
                <w:color w:val="auto"/>
              </w:rPr>
            </w:pPr>
          </w:p>
        </w:tc>
        <w:tc>
          <w:tcPr>
            <w:tcW w:w="2400" w:type="dxa"/>
            <w:vAlign w:val="bottom"/>
          </w:tcPr>
          <w:p>
            <w:pPr>
              <w:ind w:left="200"/>
              <w:spacing w:after="0"/>
              <w:rPr>
                <w:sz w:val="20"/>
                <w:szCs w:val="20"/>
                <w:color w:val="auto"/>
              </w:rPr>
            </w:pPr>
            <w:r>
              <w:rPr>
                <w:rFonts w:ascii="Arial" w:cs="Arial" w:eastAsia="Arial" w:hAnsi="Arial"/>
                <w:sz w:val="15"/>
                <w:szCs w:val="15"/>
                <w:color w:val="auto"/>
              </w:rPr>
              <w:t>- Unproved</w:t>
            </w: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14</w:t>
            </w: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327"/>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100" w:type="dxa"/>
            <w:vAlign w:val="bottom"/>
          </w:tcPr>
          <w:p>
            <w:pPr>
              <w:ind w:left="360"/>
              <w:spacing w:after="0"/>
              <w:rPr>
                <w:sz w:val="20"/>
                <w:szCs w:val="20"/>
                <w:color w:val="auto"/>
              </w:rPr>
            </w:pPr>
            <w:r>
              <w:rPr>
                <w:rFonts w:ascii="Arial" w:cs="Arial" w:eastAsia="Arial" w:hAnsi="Arial"/>
                <w:sz w:val="15"/>
                <w:szCs w:val="15"/>
                <w:color w:val="auto"/>
              </w:rPr>
              <w:t>Exploration costs</w:t>
            </w:r>
          </w:p>
        </w:tc>
        <w:tc>
          <w:tcPr>
            <w:tcW w:w="2400" w:type="dxa"/>
            <w:vAlign w:val="bottom"/>
          </w:tcPr>
          <w:p>
            <w:pPr>
              <w:spacing w:after="0"/>
              <w:rPr>
                <w:sz w:val="15"/>
                <w:szCs w:val="15"/>
                <w:color w:val="auto"/>
              </w:rPr>
            </w:pP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45</w:t>
            </w: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34</w:t>
            </w:r>
          </w:p>
        </w:tc>
        <w:tc>
          <w:tcPr>
            <w:tcW w:w="1300" w:type="dxa"/>
            <w:vAlign w:val="bottom"/>
          </w:tcPr>
          <w:p>
            <w:pPr>
              <w:jc w:val="right"/>
              <w:ind w:right="327"/>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100" w:type="dxa"/>
            <w:vAlign w:val="bottom"/>
          </w:tcPr>
          <w:p>
            <w:pPr>
              <w:ind w:left="360"/>
              <w:spacing w:after="0"/>
              <w:rPr>
                <w:sz w:val="20"/>
                <w:szCs w:val="20"/>
                <w:color w:val="auto"/>
              </w:rPr>
            </w:pPr>
            <w:r>
              <w:rPr>
                <w:rFonts w:ascii="Arial" w:cs="Arial" w:eastAsia="Arial" w:hAnsi="Arial"/>
                <w:sz w:val="15"/>
                <w:szCs w:val="15"/>
                <w:color w:val="auto"/>
              </w:rPr>
              <w:t>Development costs</w:t>
            </w:r>
          </w:p>
        </w:tc>
        <w:tc>
          <w:tcPr>
            <w:tcW w:w="2400" w:type="dxa"/>
            <w:vAlign w:val="bottom"/>
          </w:tcPr>
          <w:p>
            <w:pPr>
              <w:spacing w:after="0"/>
              <w:rPr>
                <w:sz w:val="16"/>
                <w:szCs w:val="16"/>
                <w:color w:val="auto"/>
              </w:rPr>
            </w:pPr>
          </w:p>
        </w:tc>
        <w:tc>
          <w:tcPr>
            <w:tcW w:w="9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504</w:t>
            </w:r>
          </w:p>
        </w:tc>
        <w:tc>
          <w:tcPr>
            <w:tcW w:w="104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w:t>
            </w:r>
          </w:p>
        </w:tc>
        <w:tc>
          <w:tcPr>
            <w:tcW w:w="130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651</w:t>
            </w:r>
          </w:p>
        </w:tc>
        <w:tc>
          <w:tcPr>
            <w:tcW w:w="140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4500" w:type="dxa"/>
            <w:vAlign w:val="bottom"/>
            <w:gridSpan w:val="2"/>
          </w:tcPr>
          <w:p>
            <w:pPr>
              <w:ind w:left="360"/>
              <w:spacing w:after="0"/>
              <w:rPr>
                <w:sz w:val="20"/>
                <w:szCs w:val="20"/>
                <w:color w:val="auto"/>
              </w:rPr>
            </w:pPr>
            <w:r>
              <w:rPr>
                <w:rFonts w:ascii="Arial" w:cs="Arial" w:eastAsia="Arial" w:hAnsi="Arial"/>
                <w:sz w:val="15"/>
                <w:szCs w:val="15"/>
                <w:color w:val="auto"/>
              </w:rPr>
              <w:t>Total costs incurred for equity companies</w:t>
            </w:r>
          </w:p>
        </w:tc>
        <w:tc>
          <w:tcPr>
            <w:tcW w:w="980" w:type="dxa"/>
            <w:vAlign w:val="bottom"/>
          </w:tcPr>
          <w:p>
            <w:pPr>
              <w:jc w:val="right"/>
              <w:ind w:right="147"/>
              <w:spacing w:after="0"/>
              <w:rPr>
                <w:sz w:val="20"/>
                <w:szCs w:val="20"/>
                <w:color w:val="auto"/>
              </w:rPr>
            </w:pPr>
            <w:r>
              <w:rPr>
                <w:rFonts w:ascii="Arial" w:cs="Arial" w:eastAsia="Arial" w:hAnsi="Arial"/>
                <w:sz w:val="15"/>
                <w:szCs w:val="15"/>
                <w:color w:val="auto"/>
              </w:rPr>
              <w:t>563</w:t>
            </w: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190</w:t>
            </w:r>
          </w:p>
        </w:tc>
        <w:tc>
          <w:tcPr>
            <w:tcW w:w="1300" w:type="dxa"/>
            <w:vAlign w:val="bottom"/>
          </w:tcPr>
          <w:p>
            <w:pPr>
              <w:jc w:val="right"/>
              <w:ind w:right="327"/>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07"/>
              <w:spacing w:after="0"/>
              <w:rPr>
                <w:sz w:val="20"/>
                <w:szCs w:val="20"/>
                <w:color w:val="auto"/>
              </w:rPr>
            </w:pPr>
            <w:r>
              <w:rPr>
                <w:rFonts w:ascii="Arial" w:cs="Arial" w:eastAsia="Arial" w:hAnsi="Arial"/>
                <w:sz w:val="15"/>
                <w:szCs w:val="15"/>
                <w:color w:val="auto"/>
              </w:rPr>
              <w:t>651</w:t>
            </w:r>
          </w:p>
        </w:tc>
        <w:tc>
          <w:tcPr>
            <w:tcW w:w="1400" w:type="dxa"/>
            <w:vAlign w:val="bottom"/>
          </w:tcPr>
          <w:p>
            <w:pPr>
              <w:jc w:val="right"/>
              <w:ind w:right="5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-1270</wp:posOffset>
            </wp:positionV>
            <wp:extent cx="409511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095115" cy="7620"/>
                    </a:xfrm>
                    <a:prstGeom prst="rect">
                      <a:avLst/>
                    </a:prstGeom>
                    <a:noFill/>
                  </pic:spPr>
                </pic:pic>
              </a:graphicData>
            </a:graphic>
          </wp:anchor>
        </w:drawing>
      </w:r>
    </w:p>
    <w:p>
      <w:pPr>
        <w:spacing w:after="0" w:line="1"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809" w:right="13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b w:val="1"/>
          <w:bCs w:val="1"/>
          <w:color w:val="auto"/>
        </w:rPr>
        <w:t>Oil and Gas Reserves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information describes changes during the years and balances of proved oil and gas reserves at year-end 2012, 2013, and 2014.</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definitions used are in accordance with the Securities and Exchange Commission’s Rule 4-10 (a) of Regulation S-X.</w:t>
      </w:r>
    </w:p>
    <w:p>
      <w:pPr>
        <w:spacing w:after="0" w:line="86" w:lineRule="exact"/>
        <w:rPr>
          <w:sz w:val="20"/>
          <w:szCs w:val="20"/>
          <w:color w:val="auto"/>
        </w:rPr>
      </w:pPr>
    </w:p>
    <w:p>
      <w:pPr>
        <w:jc w:val="both"/>
        <w:ind w:firstLine="200"/>
        <w:spacing w:after="0" w:line="265" w:lineRule="auto"/>
        <w:rPr>
          <w:sz w:val="20"/>
          <w:szCs w:val="20"/>
          <w:color w:val="auto"/>
        </w:rPr>
      </w:pPr>
      <w:r>
        <w:rPr>
          <w:rFonts w:ascii="Arial" w:cs="Arial" w:eastAsia="Arial" w:hAnsi="Arial"/>
          <w:sz w:val="16"/>
          <w:szCs w:val="16"/>
          <w:color w:val="auto"/>
        </w:rPr>
        <w:t>Proved oil and gas reserves are those quantities of oil and gas, which, by analysis of geoscience and engineering data, can be estimated with reasonable certaint economically producible – from a given date forward, from known reservoirs, and under existing economic conditions, operating methods and government regulations to the time at which contracts providing the right to operate expire, unless evidence indicates that renewal is reasonably certain. In some cases, substantial new investm additional wells and related facilities will be required to recover these proved reserves.</w:t>
      </w:r>
    </w:p>
    <w:p>
      <w:pPr>
        <w:spacing w:after="0" w:line="45" w:lineRule="exact"/>
        <w:rPr>
          <w:sz w:val="20"/>
          <w:szCs w:val="20"/>
          <w:color w:val="auto"/>
        </w:rPr>
      </w:pPr>
    </w:p>
    <w:p>
      <w:pPr>
        <w:jc w:val="both"/>
        <w:ind w:firstLine="200"/>
        <w:spacing w:after="0" w:line="265" w:lineRule="auto"/>
        <w:rPr>
          <w:sz w:val="20"/>
          <w:szCs w:val="20"/>
          <w:color w:val="auto"/>
        </w:rPr>
      </w:pPr>
      <w:r>
        <w:rPr>
          <w:rFonts w:ascii="Arial" w:cs="Arial" w:eastAsia="Arial" w:hAnsi="Arial"/>
          <w:sz w:val="16"/>
          <w:szCs w:val="16"/>
          <w:color w:val="auto"/>
        </w:rPr>
        <w:t>In accordance with the Securities and Exchange Commission’s rules, the year-end reserves volumes as well as the reserves change categories shown in the followin were calculated using average prices during the 12-month period prior to the ending date of the period covered by the report, determined as an unweighted arithmetic of the first-day-of-the-month price for each month within such period. These reserves quantities are also used in calculating unit-of-production depreciation rates calculating the standardized measure of discounted net cash flow.</w:t>
      </w:r>
    </w:p>
    <w:p>
      <w:pPr>
        <w:spacing w:after="0" w:line="4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Revisions can include upward or downward changes in previously estimated volumes of proved reserves for existing fields due to the evaluation or re-evalu</w:t>
      </w:r>
    </w:p>
    <w:p>
      <w:pPr>
        <w:spacing w:after="0" w:line="35" w:lineRule="exact"/>
        <w:rPr>
          <w:sz w:val="20"/>
          <w:szCs w:val="20"/>
          <w:color w:val="auto"/>
        </w:rPr>
      </w:pPr>
    </w:p>
    <w:p>
      <w:pPr>
        <w:ind w:right="20" w:firstLine="6"/>
        <w:spacing w:after="0" w:line="305" w:lineRule="auto"/>
        <w:tabs>
          <w:tab w:leader="none" w:pos="234" w:val="left"/>
        </w:tabs>
        <w:numPr>
          <w:ilvl w:val="0"/>
          <w:numId w:val="38"/>
        </w:numPr>
        <w:rPr>
          <w:rFonts w:ascii="Arial" w:cs="Arial" w:eastAsia="Arial" w:hAnsi="Arial"/>
          <w:sz w:val="15"/>
          <w:szCs w:val="15"/>
          <w:color w:val="auto"/>
        </w:rPr>
      </w:pPr>
      <w:r>
        <w:rPr>
          <w:rFonts w:ascii="Arial" w:cs="Arial" w:eastAsia="Arial" w:hAnsi="Arial"/>
          <w:sz w:val="15"/>
          <w:szCs w:val="15"/>
          <w:color w:val="auto"/>
        </w:rPr>
        <w:t>already available geologic, reservoir or production data, (2) new geologic, reservoir or production data or (3) changes in average prices and year-end costs that are the estimation of reserves. This category can also include significant changes in either development strategy or production equipment/facility capacity.</w:t>
      </w:r>
    </w:p>
    <w:p>
      <w:pPr>
        <w:spacing w:after="0" w:line="16" w:lineRule="exact"/>
        <w:rPr>
          <w:sz w:val="20"/>
          <w:szCs w:val="20"/>
          <w:color w:val="auto"/>
        </w:rPr>
      </w:pPr>
    </w:p>
    <w:p>
      <w:pPr>
        <w:jc w:val="both"/>
        <w:ind w:firstLine="200"/>
        <w:spacing w:after="0" w:line="297" w:lineRule="auto"/>
        <w:rPr>
          <w:sz w:val="20"/>
          <w:szCs w:val="20"/>
          <w:color w:val="auto"/>
        </w:rPr>
      </w:pPr>
      <w:r>
        <w:rPr>
          <w:rFonts w:ascii="Arial" w:cs="Arial" w:eastAsia="Arial" w:hAnsi="Arial"/>
          <w:sz w:val="15"/>
          <w:szCs w:val="15"/>
          <w:color w:val="auto"/>
        </w:rPr>
        <w:t>Proved reserves include 100 percent of each majority-owned affiliate’s participation in proved reserves and ExxonMobil’s ownership percentage of the proved rese equity companies, but exclude royalties and quantities due others. Gas reserves exclude the gaseous equivalent of liquids expected to be removed from the gas on le field facilities and at gas processing plants. These liquids are included in net proved reserves of crude oil and natural gas liquids.</w:t>
      </w:r>
    </w:p>
    <w:p>
      <w:pPr>
        <w:spacing w:after="0" w:line="21" w:lineRule="exact"/>
        <w:rPr>
          <w:sz w:val="20"/>
          <w:szCs w:val="20"/>
          <w:color w:val="auto"/>
        </w:rPr>
      </w:pPr>
    </w:p>
    <w:p>
      <w:pPr>
        <w:jc w:val="both"/>
        <w:ind w:firstLine="200"/>
        <w:spacing w:after="0" w:line="286" w:lineRule="auto"/>
        <w:rPr>
          <w:sz w:val="20"/>
          <w:szCs w:val="20"/>
          <w:color w:val="auto"/>
        </w:rPr>
      </w:pPr>
      <w:r>
        <w:rPr>
          <w:rFonts w:ascii="Arial" w:cs="Arial" w:eastAsia="Arial" w:hAnsi="Arial"/>
          <w:sz w:val="16"/>
          <w:szCs w:val="16"/>
          <w:color w:val="auto"/>
        </w:rPr>
        <w:t>In the proved reserves tables, consolidated reserves and equity company reserves are reported separately. However, the Corporation does not view equity company r any differently than those from consolidated companies.</w:t>
      </w:r>
    </w:p>
    <w:p>
      <w:pPr>
        <w:spacing w:after="0" w:line="27" w:lineRule="exact"/>
        <w:rPr>
          <w:sz w:val="20"/>
          <w:szCs w:val="20"/>
          <w:color w:val="auto"/>
        </w:rPr>
      </w:pPr>
    </w:p>
    <w:p>
      <w:pPr>
        <w:jc w:val="both"/>
        <w:ind w:firstLine="200"/>
        <w:spacing w:after="0" w:line="261" w:lineRule="auto"/>
        <w:rPr>
          <w:sz w:val="20"/>
          <w:szCs w:val="20"/>
          <w:color w:val="auto"/>
        </w:rPr>
      </w:pPr>
      <w:r>
        <w:rPr>
          <w:rFonts w:ascii="Arial" w:cs="Arial" w:eastAsia="Arial" w:hAnsi="Arial"/>
          <w:sz w:val="16"/>
          <w:szCs w:val="16"/>
          <w:color w:val="auto"/>
        </w:rPr>
        <w:t>Reserves reported under production sharing and other nonconcessionary agreements are based on the economic interest as defined by the specific fiscal term agreement. The production and reserves that we report for these types of arrangements typically vary inversely with oil and gas price changes. As oil and gas prices i the cash flow and value received by the company increase; however, the production volumes and reserves required to achieve this value will typically be lower becaus higher prices. When prices decrease, the opposite effect generally occurs. The percentage of total liquids and natural gas proved reserves (consolidated subsidiaries plu companies) at year-end 2014 that were associated with production sharing contract arrangements was 11 percent of liquids, 9 percent of natural gas and 10 percent on equivalent basis (gas converted to oil-equivalent at 6 billion cubic feet = 1 million barrels).</w:t>
      </w:r>
    </w:p>
    <w:p>
      <w:pPr>
        <w:spacing w:after="0" w:line="49" w:lineRule="exact"/>
        <w:rPr>
          <w:sz w:val="20"/>
          <w:szCs w:val="20"/>
          <w:color w:val="auto"/>
        </w:rPr>
      </w:pPr>
    </w:p>
    <w:p>
      <w:pPr>
        <w:jc w:val="both"/>
        <w:ind w:right="20" w:firstLine="200"/>
        <w:spacing w:after="0" w:line="297" w:lineRule="auto"/>
        <w:rPr>
          <w:sz w:val="20"/>
          <w:szCs w:val="20"/>
          <w:color w:val="auto"/>
        </w:rPr>
      </w:pPr>
      <w:r>
        <w:rPr>
          <w:rFonts w:ascii="Arial" w:cs="Arial" w:eastAsia="Arial" w:hAnsi="Arial"/>
          <w:sz w:val="15"/>
          <w:szCs w:val="15"/>
          <w:color w:val="auto"/>
        </w:rPr>
        <w:t>Net proved developed reserves are those volumes that are expected to be recovered through existing wells with existing equipment and operating methods or in w cost of the required equipment is relatively minor compared to the cost of a new well. Net proved undeveloped reserves are those volumes that are expected to be re from new wells on undrilled acreage, or from existing wells where a relatively major expenditure is required for recompletion.</w:t>
      </w:r>
    </w:p>
    <w:p>
      <w:pPr>
        <w:spacing w:after="0" w:line="21" w:lineRule="exact"/>
        <w:rPr>
          <w:sz w:val="20"/>
          <w:szCs w:val="20"/>
          <w:color w:val="auto"/>
        </w:rPr>
      </w:pPr>
    </w:p>
    <w:p>
      <w:pPr>
        <w:jc w:val="both"/>
        <w:ind w:right="20" w:firstLine="200"/>
        <w:spacing w:after="0" w:line="271" w:lineRule="auto"/>
        <w:rPr>
          <w:sz w:val="20"/>
          <w:szCs w:val="20"/>
          <w:color w:val="auto"/>
        </w:rPr>
      </w:pPr>
      <w:r>
        <w:rPr>
          <w:rFonts w:ascii="Arial" w:cs="Arial" w:eastAsia="Arial" w:hAnsi="Arial"/>
          <w:sz w:val="16"/>
          <w:szCs w:val="16"/>
          <w:color w:val="auto"/>
        </w:rPr>
        <w:t>Crude oil and natural gas liquids and natural gas production quantities shown are the net volumes withdrawn from ExxonMobil’s oil and gas reserves. The nat quantities differ from the quantities of gas delivered for sale by the producing function as reported in the Operating Summary due to volumes consumed or fla inventory changes.</w:t>
      </w:r>
    </w:p>
    <w:p>
      <w:pPr>
        <w:spacing w:after="0" w:line="38" w:lineRule="exact"/>
        <w:rPr>
          <w:sz w:val="20"/>
          <w:szCs w:val="20"/>
          <w:color w:val="auto"/>
        </w:rPr>
      </w:pPr>
    </w:p>
    <w:p>
      <w:pPr>
        <w:ind w:right="60" w:firstLine="200"/>
        <w:spacing w:after="0" w:line="286" w:lineRule="auto"/>
        <w:rPr>
          <w:sz w:val="20"/>
          <w:szCs w:val="20"/>
          <w:color w:val="auto"/>
        </w:rPr>
      </w:pPr>
      <w:r>
        <w:rPr>
          <w:rFonts w:ascii="Arial" w:cs="Arial" w:eastAsia="Arial" w:hAnsi="Arial"/>
          <w:sz w:val="16"/>
          <w:szCs w:val="16"/>
          <w:color w:val="auto"/>
        </w:rPr>
        <w:t>The changes, between 2013 year-end proved reserves and 2014 year-end proved reserves, primarily reflect the revisions, extensions and discoveries in Canada United States.</w:t>
      </w:r>
    </w:p>
    <w:p>
      <w:pPr>
        <w:spacing w:after="0" w:line="52"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809" w:right="139" w:bottom="1440" w:gutter="0" w:footer="0" w:header="0"/>
        </w:sectPr>
      </w:pPr>
    </w:p>
    <w:bookmarkStart w:id="103" w:name="page104"/>
    <w:bookmarkEnd w:id="103"/>
    <w:p>
      <w:pPr>
        <w:spacing w:after="0"/>
        <w:rPr>
          <w:sz w:val="20"/>
          <w:szCs w:val="20"/>
          <w:color w:val="auto"/>
        </w:rPr>
      </w:pPr>
      <w:r>
        <w:rPr>
          <w:rFonts w:ascii="Arial" w:cs="Arial" w:eastAsia="Arial" w:hAnsi="Arial"/>
          <w:sz w:val="15"/>
          <w:szCs w:val="15"/>
          <w:b w:val="1"/>
          <w:bCs w:val="1"/>
          <w:color w:val="auto"/>
        </w:rPr>
        <w:t>Crude Oil, Natural Gas Liquids, Bitumen and Synthetic Oil Proved Reserves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3"/>
                <w:szCs w:val="13"/>
                <w:color w:val="auto"/>
                <w:w w:val="89"/>
              </w:rPr>
              <w:t>Natural Gas</w:t>
            </w: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r>
      <w:tr>
        <w:trPr>
          <w:trHeight w:val="189"/>
        </w:trPr>
        <w:tc>
          <w:tcPr>
            <w:tcW w:w="2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jc w:val="right"/>
              <w:ind w:right="127"/>
              <w:spacing w:after="0"/>
              <w:rPr>
                <w:sz w:val="20"/>
                <w:szCs w:val="20"/>
                <w:color w:val="auto"/>
              </w:rPr>
            </w:pPr>
            <w:r>
              <w:rPr>
                <w:rFonts w:ascii="Arial" w:cs="Arial" w:eastAsia="Arial" w:hAnsi="Arial"/>
                <w:sz w:val="13"/>
                <w:szCs w:val="13"/>
                <w:color w:val="auto"/>
                <w:w w:val="98"/>
              </w:rPr>
              <w:t>Crude Oil</w:t>
            </w: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color w:val="auto"/>
                <w:w w:val="95"/>
              </w:rPr>
              <w:t xml:space="preserve">Liquids </w:t>
            </w:r>
            <w:r>
              <w:rPr>
                <w:rFonts w:ascii="Arial" w:cs="Arial" w:eastAsia="Arial" w:hAnsi="Arial"/>
                <w:sz w:val="13"/>
                <w:szCs w:val="13"/>
                <w:i w:val="1"/>
                <w:iCs w:val="1"/>
                <w:color w:val="auto"/>
                <w:w w:val="95"/>
              </w:rPr>
              <w:t>(1)</w:t>
            </w:r>
          </w:p>
        </w:tc>
        <w:tc>
          <w:tcPr>
            <w:tcW w:w="1120" w:type="dxa"/>
            <w:vAlign w:val="bottom"/>
            <w:gridSpan w:val="3"/>
          </w:tcPr>
          <w:p>
            <w:pPr>
              <w:ind w:left="180"/>
              <w:spacing w:after="0"/>
              <w:rPr>
                <w:sz w:val="20"/>
                <w:szCs w:val="20"/>
                <w:color w:val="auto"/>
              </w:rPr>
            </w:pPr>
            <w:r>
              <w:rPr>
                <w:rFonts w:ascii="Arial" w:cs="Arial" w:eastAsia="Arial" w:hAnsi="Arial"/>
                <w:sz w:val="13"/>
                <w:szCs w:val="13"/>
                <w:color w:val="auto"/>
              </w:rPr>
              <w:t>Bitumen</w:t>
            </w:r>
          </w:p>
        </w:tc>
        <w:tc>
          <w:tcPr>
            <w:tcW w:w="1320" w:type="dxa"/>
            <w:vAlign w:val="bottom"/>
            <w:gridSpan w:val="3"/>
          </w:tcPr>
          <w:p>
            <w:pPr>
              <w:jc w:val="center"/>
              <w:ind w:right="520"/>
              <w:spacing w:after="0"/>
              <w:rPr>
                <w:sz w:val="20"/>
                <w:szCs w:val="20"/>
                <w:color w:val="auto"/>
              </w:rPr>
            </w:pPr>
            <w:r>
              <w:rPr>
                <w:rFonts w:ascii="Arial" w:cs="Arial" w:eastAsia="Arial" w:hAnsi="Arial"/>
                <w:sz w:val="13"/>
                <w:szCs w:val="13"/>
                <w:color w:val="auto"/>
                <w:w w:val="93"/>
              </w:rPr>
              <w:t>Synthetic Oil</w:t>
            </w:r>
          </w:p>
        </w:tc>
      </w:tr>
      <w:tr>
        <w:trPr>
          <w:trHeight w:val="162"/>
        </w:trPr>
        <w:tc>
          <w:tcPr>
            <w:tcW w:w="2640" w:type="dxa"/>
            <w:vAlign w:val="bottom"/>
          </w:tcPr>
          <w:p>
            <w:pPr>
              <w:spacing w:after="0"/>
              <w:rPr>
                <w:sz w:val="14"/>
                <w:szCs w:val="14"/>
                <w:color w:val="auto"/>
              </w:rPr>
            </w:pPr>
          </w:p>
        </w:tc>
        <w:tc>
          <w:tcPr>
            <w:tcW w:w="740" w:type="dxa"/>
            <w:vAlign w:val="bottom"/>
            <w:tcBorders>
              <w:top w:val="single" w:sz="8" w:color="auto"/>
            </w:tcBorders>
          </w:tcPr>
          <w:p>
            <w:pPr>
              <w:jc w:val="right"/>
              <w:ind w:right="147"/>
              <w:spacing w:after="0"/>
              <w:rPr>
                <w:sz w:val="20"/>
                <w:szCs w:val="20"/>
                <w:color w:val="auto"/>
              </w:rPr>
            </w:pPr>
            <w:r>
              <w:rPr>
                <w:rFonts w:ascii="Arial" w:cs="Arial" w:eastAsia="Arial" w:hAnsi="Arial"/>
                <w:sz w:val="13"/>
                <w:szCs w:val="13"/>
                <w:color w:val="auto"/>
              </w:rPr>
              <w:t>United</w:t>
            </w:r>
          </w:p>
        </w:tc>
        <w:tc>
          <w:tcPr>
            <w:tcW w:w="720" w:type="dxa"/>
            <w:vAlign w:val="bottom"/>
            <w:tcBorders>
              <w:top w:val="single" w:sz="8" w:color="auto"/>
            </w:tcBorders>
          </w:tcPr>
          <w:p>
            <w:pPr>
              <w:jc w:val="right"/>
              <w:ind w:right="147"/>
              <w:spacing w:after="0"/>
              <w:rPr>
                <w:sz w:val="20"/>
                <w:szCs w:val="20"/>
                <w:color w:val="auto"/>
              </w:rPr>
            </w:pPr>
            <w:r>
              <w:rPr>
                <w:rFonts w:ascii="Arial" w:cs="Arial" w:eastAsia="Arial" w:hAnsi="Arial"/>
                <w:sz w:val="13"/>
                <w:szCs w:val="13"/>
                <w:color w:val="auto"/>
                <w:w w:val="97"/>
              </w:rPr>
              <w:t>Canada/</w:t>
            </w:r>
          </w:p>
        </w:tc>
        <w:tc>
          <w:tcPr>
            <w:tcW w:w="6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07"/>
              <w:spacing w:after="0"/>
              <w:rPr>
                <w:sz w:val="20"/>
                <w:szCs w:val="20"/>
                <w:color w:val="auto"/>
              </w:rPr>
            </w:pPr>
            <w:r>
              <w:rPr>
                <w:rFonts w:ascii="Arial" w:cs="Arial" w:eastAsia="Arial" w:hAnsi="Arial"/>
                <w:sz w:val="13"/>
                <w:szCs w:val="13"/>
                <w:color w:val="auto"/>
                <w:w w:val="99"/>
              </w:rPr>
              <w:t>Australia/</w:t>
            </w: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tcPr>
          <w:p>
            <w:pPr>
              <w:ind w:left="180"/>
              <w:spacing w:after="0"/>
              <w:rPr>
                <w:sz w:val="20"/>
                <w:szCs w:val="20"/>
                <w:color w:val="auto"/>
              </w:rPr>
            </w:pPr>
            <w:r>
              <w:rPr>
                <w:rFonts w:ascii="Arial" w:cs="Arial" w:eastAsia="Arial" w:hAnsi="Arial"/>
                <w:sz w:val="13"/>
                <w:szCs w:val="13"/>
                <w:color w:val="auto"/>
              </w:rPr>
              <w:t>Canada/</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9"/>
              </w:rPr>
              <w:t>Canada/</w:t>
            </w:r>
          </w:p>
        </w:tc>
        <w:tc>
          <w:tcPr>
            <w:tcW w:w="300" w:type="dxa"/>
            <w:vAlign w:val="bottom"/>
          </w:tcPr>
          <w:p>
            <w:pPr>
              <w:spacing w:after="0"/>
              <w:rPr>
                <w:sz w:val="14"/>
                <w:szCs w:val="14"/>
                <w:color w:val="auto"/>
              </w:rPr>
            </w:pPr>
          </w:p>
        </w:tc>
      </w:tr>
      <w:tr>
        <w:trPr>
          <w:trHeight w:val="185"/>
        </w:trPr>
        <w:tc>
          <w:tcPr>
            <w:tcW w:w="26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7"/>
              <w:spacing w:after="0"/>
              <w:rPr>
                <w:sz w:val="20"/>
                <w:szCs w:val="20"/>
                <w:color w:val="auto"/>
              </w:rPr>
            </w:pPr>
            <w:r>
              <w:rPr>
                <w:rFonts w:ascii="Arial" w:cs="Arial" w:eastAsia="Arial" w:hAnsi="Arial"/>
                <w:sz w:val="13"/>
                <w:szCs w:val="13"/>
                <w:color w:val="auto"/>
              </w:rPr>
              <w:t>States</w:t>
            </w:r>
          </w:p>
        </w:tc>
        <w:tc>
          <w:tcPr>
            <w:tcW w:w="720" w:type="dxa"/>
            <w:vAlign w:val="bottom"/>
            <w:tcBorders>
              <w:bottom w:val="single" w:sz="8" w:color="auto"/>
            </w:tcBorders>
          </w:tcPr>
          <w:p>
            <w:pPr>
              <w:jc w:val="right"/>
              <w:ind w:right="127"/>
              <w:spacing w:after="0"/>
              <w:rPr>
                <w:sz w:val="20"/>
                <w:szCs w:val="20"/>
                <w:color w:val="auto"/>
              </w:rPr>
            </w:pPr>
            <w:r>
              <w:rPr>
                <w:rFonts w:ascii="Arial" w:cs="Arial" w:eastAsia="Arial" w:hAnsi="Arial"/>
                <w:sz w:val="13"/>
                <w:szCs w:val="13"/>
                <w:color w:val="auto"/>
                <w:w w:val="98"/>
              </w:rPr>
              <w:t>S. Amer.</w:t>
            </w:r>
          </w:p>
        </w:tc>
        <w:tc>
          <w:tcPr>
            <w:tcW w:w="640" w:type="dxa"/>
            <w:vAlign w:val="bottom"/>
            <w:tcBorders>
              <w:bottom w:val="single" w:sz="8" w:color="auto"/>
            </w:tcBorders>
          </w:tcPr>
          <w:p>
            <w:pPr>
              <w:jc w:val="right"/>
              <w:ind w:right="127"/>
              <w:spacing w:after="0"/>
              <w:rPr>
                <w:sz w:val="20"/>
                <w:szCs w:val="20"/>
                <w:color w:val="auto"/>
              </w:rPr>
            </w:pPr>
            <w:r>
              <w:rPr>
                <w:rFonts w:ascii="Arial" w:cs="Arial" w:eastAsia="Arial" w:hAnsi="Arial"/>
                <w:sz w:val="13"/>
                <w:szCs w:val="13"/>
                <w:color w:val="auto"/>
              </w:rPr>
              <w:t>Europe</w:t>
            </w:r>
          </w:p>
        </w:tc>
        <w:tc>
          <w:tcPr>
            <w:tcW w:w="760" w:type="dxa"/>
            <w:vAlign w:val="bottom"/>
            <w:tcBorders>
              <w:bottom w:val="single" w:sz="8" w:color="auto"/>
            </w:tcBorders>
          </w:tcPr>
          <w:p>
            <w:pPr>
              <w:jc w:val="right"/>
              <w:ind w:right="227"/>
              <w:spacing w:after="0"/>
              <w:rPr>
                <w:sz w:val="20"/>
                <w:szCs w:val="20"/>
                <w:color w:val="auto"/>
              </w:rPr>
            </w:pPr>
            <w:r>
              <w:rPr>
                <w:rFonts w:ascii="Arial" w:cs="Arial" w:eastAsia="Arial" w:hAnsi="Arial"/>
                <w:sz w:val="13"/>
                <w:szCs w:val="13"/>
                <w:color w:val="auto"/>
              </w:rPr>
              <w:t>Africa</w:t>
            </w:r>
          </w:p>
        </w:tc>
        <w:tc>
          <w:tcPr>
            <w:tcW w:w="620" w:type="dxa"/>
            <w:vAlign w:val="bottom"/>
            <w:tcBorders>
              <w:bottom w:val="single" w:sz="8" w:color="auto"/>
            </w:tcBorders>
          </w:tcPr>
          <w:p>
            <w:pPr>
              <w:jc w:val="right"/>
              <w:ind w:right="207"/>
              <w:spacing w:after="0"/>
              <w:rPr>
                <w:sz w:val="20"/>
                <w:szCs w:val="20"/>
                <w:color w:val="auto"/>
              </w:rPr>
            </w:pPr>
            <w:r>
              <w:rPr>
                <w:rFonts w:ascii="Arial" w:cs="Arial" w:eastAsia="Arial" w:hAnsi="Arial"/>
                <w:sz w:val="13"/>
                <w:szCs w:val="13"/>
                <w:color w:val="auto"/>
              </w:rPr>
              <w:t>Asia</w:t>
            </w:r>
          </w:p>
        </w:tc>
        <w:tc>
          <w:tcPr>
            <w:tcW w:w="740" w:type="dxa"/>
            <w:vAlign w:val="bottom"/>
            <w:tcBorders>
              <w:bottom w:val="single" w:sz="8" w:color="auto"/>
            </w:tcBorders>
          </w:tcPr>
          <w:p>
            <w:pPr>
              <w:jc w:val="right"/>
              <w:ind w:right="167"/>
              <w:spacing w:after="0"/>
              <w:rPr>
                <w:sz w:val="20"/>
                <w:szCs w:val="20"/>
                <w:color w:val="auto"/>
              </w:rPr>
            </w:pPr>
            <w:r>
              <w:rPr>
                <w:rFonts w:ascii="Arial" w:cs="Arial" w:eastAsia="Arial" w:hAnsi="Arial"/>
                <w:sz w:val="13"/>
                <w:szCs w:val="13"/>
                <w:color w:val="auto"/>
                <w:w w:val="99"/>
              </w:rPr>
              <w:t>Oceania</w:t>
            </w:r>
          </w:p>
        </w:tc>
        <w:tc>
          <w:tcPr>
            <w:tcW w:w="7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3"/>
                <w:szCs w:val="13"/>
                <w:color w:val="auto"/>
              </w:rPr>
              <w:t>Total</w:t>
            </w:r>
          </w:p>
        </w:tc>
        <w:tc>
          <w:tcPr>
            <w:tcW w:w="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color w:val="auto"/>
                <w:w w:val="95"/>
              </w:rPr>
              <w:t>Worldwide</w:t>
            </w:r>
          </w:p>
        </w:tc>
        <w:tc>
          <w:tcPr>
            <w:tcW w:w="112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color w:val="auto"/>
              </w:rPr>
              <w:t>S. Amer.</w:t>
            </w:r>
          </w:p>
        </w:tc>
        <w:tc>
          <w:tcPr>
            <w:tcW w:w="132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3"/>
                <w:szCs w:val="13"/>
                <w:color w:val="auto"/>
                <w:w w:val="90"/>
              </w:rPr>
              <w:t>S. Amer.</w:t>
            </w:r>
          </w:p>
        </w:tc>
      </w:tr>
      <w:tr>
        <w:trPr>
          <w:trHeight w:val="171"/>
        </w:trPr>
        <w:tc>
          <w:tcPr>
            <w:tcW w:w="2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3"/>
                <w:szCs w:val="13"/>
                <w:i w:val="1"/>
                <w:iCs w:val="1"/>
                <w:color w:val="auto"/>
              </w:rPr>
              <w:t>(millions of barrels)</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7"/>
        </w:trPr>
        <w:tc>
          <w:tcPr>
            <w:tcW w:w="2640" w:type="dxa"/>
            <w:vAlign w:val="bottom"/>
          </w:tcPr>
          <w:p>
            <w:pPr>
              <w:spacing w:after="0"/>
              <w:rPr>
                <w:sz w:val="20"/>
                <w:szCs w:val="20"/>
                <w:color w:val="auto"/>
              </w:rPr>
            </w:pPr>
            <w:r>
              <w:rPr>
                <w:rFonts w:ascii="Arial" w:cs="Arial" w:eastAsia="Arial" w:hAnsi="Arial"/>
                <w:sz w:val="15"/>
                <w:szCs w:val="15"/>
                <w:color w:val="auto"/>
              </w:rPr>
              <w:t>Net proved developed and</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undeveloped reserves of</w:t>
            </w: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consolidated subsidiaries</w:t>
            </w: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7"/>
        </w:trPr>
        <w:tc>
          <w:tcPr>
            <w:tcW w:w="2640" w:type="dxa"/>
            <w:vAlign w:val="bottom"/>
          </w:tcPr>
          <w:p>
            <w:pPr>
              <w:spacing w:after="0"/>
              <w:rPr>
                <w:sz w:val="20"/>
                <w:szCs w:val="20"/>
                <w:color w:val="auto"/>
              </w:rPr>
            </w:pPr>
            <w:r>
              <w:rPr>
                <w:rFonts w:ascii="Arial" w:cs="Arial" w:eastAsia="Arial" w:hAnsi="Arial"/>
                <w:sz w:val="15"/>
                <w:szCs w:val="15"/>
                <w:color w:val="auto"/>
              </w:rPr>
              <w:t>January 1, 2012</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1,660</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118</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317</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1,463</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1,721</w:t>
            </w: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170</w:t>
            </w:r>
          </w:p>
        </w:tc>
        <w:tc>
          <w:tcPr>
            <w:tcW w:w="580" w:type="dxa"/>
            <w:vAlign w:val="bottom"/>
          </w:tcPr>
          <w:p>
            <w:pPr>
              <w:jc w:val="right"/>
              <w:spacing w:after="0"/>
              <w:rPr>
                <w:sz w:val="20"/>
                <w:szCs w:val="20"/>
                <w:color w:val="auto"/>
              </w:rPr>
            </w:pPr>
            <w:r>
              <w:rPr>
                <w:rFonts w:ascii="Arial" w:cs="Arial" w:eastAsia="Arial" w:hAnsi="Arial"/>
                <w:sz w:val="15"/>
                <w:szCs w:val="15"/>
                <w:color w:val="auto"/>
              </w:rPr>
              <w:t>5,449</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905</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3,106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653</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96"/>
        </w:trPr>
        <w:tc>
          <w:tcPr>
            <w:tcW w:w="2640" w:type="dxa"/>
            <w:vAlign w:val="bottom"/>
          </w:tcPr>
          <w:p>
            <w:pPr>
              <w:ind w:left="240"/>
              <w:spacing w:after="0"/>
              <w:rPr>
                <w:sz w:val="20"/>
                <w:szCs w:val="20"/>
                <w:color w:val="auto"/>
              </w:rPr>
            </w:pPr>
            <w:r>
              <w:rPr>
                <w:rFonts w:ascii="Arial" w:cs="Arial" w:eastAsia="Arial" w:hAnsi="Arial"/>
                <w:sz w:val="15"/>
                <w:szCs w:val="15"/>
                <w:color w:val="auto"/>
              </w:rPr>
              <w:t>Revisions</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25</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33</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14</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20</w:t>
            </w:r>
          </w:p>
        </w:tc>
        <w:tc>
          <w:tcPr>
            <w:tcW w:w="620" w:type="dxa"/>
            <w:vAlign w:val="bottom"/>
          </w:tcPr>
          <w:p>
            <w:pPr>
              <w:jc w:val="right"/>
              <w:spacing w:after="0"/>
              <w:rPr>
                <w:sz w:val="20"/>
                <w:szCs w:val="20"/>
                <w:color w:val="auto"/>
              </w:rPr>
            </w:pPr>
            <w:r>
              <w:rPr>
                <w:rFonts w:ascii="Arial" w:cs="Arial" w:eastAsia="Arial" w:hAnsi="Arial"/>
                <w:sz w:val="15"/>
                <w:szCs w:val="15"/>
                <w:color w:val="auto"/>
              </w:rPr>
              <w:t>(10)</w:t>
            </w: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5</w:t>
            </w:r>
          </w:p>
        </w:tc>
        <w:tc>
          <w:tcPr>
            <w:tcW w:w="580" w:type="dxa"/>
            <w:vAlign w:val="bottom"/>
          </w:tcPr>
          <w:p>
            <w:pPr>
              <w:jc w:val="right"/>
              <w:spacing w:after="0"/>
              <w:rPr>
                <w:sz w:val="20"/>
                <w:szCs w:val="20"/>
                <w:color w:val="auto"/>
              </w:rPr>
            </w:pPr>
            <w:r>
              <w:rPr>
                <w:rFonts w:ascii="Arial" w:cs="Arial" w:eastAsia="Arial" w:hAnsi="Arial"/>
                <w:sz w:val="15"/>
                <w:szCs w:val="15"/>
                <w:color w:val="auto"/>
              </w:rPr>
              <w:t>87</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(29)</w:t>
            </w:r>
          </w:p>
        </w:tc>
        <w:tc>
          <w:tcPr>
            <w:tcW w:w="300" w:type="dxa"/>
            <w:vAlign w:val="bottom"/>
          </w:tcPr>
          <w:p>
            <w:pPr>
              <w:spacing w:after="0"/>
              <w:rPr>
                <w:sz w:val="17"/>
                <w:szCs w:val="17"/>
                <w:color w:val="auto"/>
              </w:rPr>
            </w:pPr>
          </w:p>
        </w:tc>
      </w:tr>
      <w:tr>
        <w:trPr>
          <w:trHeight w:val="193"/>
        </w:trPr>
        <w:tc>
          <w:tcPr>
            <w:tcW w:w="2640" w:type="dxa"/>
            <w:vAlign w:val="bottom"/>
          </w:tcPr>
          <w:p>
            <w:pPr>
              <w:ind w:left="240"/>
              <w:spacing w:after="0"/>
              <w:rPr>
                <w:sz w:val="20"/>
                <w:szCs w:val="20"/>
                <w:color w:val="auto"/>
              </w:rPr>
            </w:pPr>
            <w:r>
              <w:rPr>
                <w:rFonts w:ascii="Arial" w:cs="Arial" w:eastAsia="Arial" w:hAnsi="Arial"/>
                <w:sz w:val="15"/>
                <w:szCs w:val="15"/>
                <w:color w:val="auto"/>
              </w:rPr>
              <w:t>Improved recovery</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6</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1</w:t>
            </w: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Purchases</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163</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20</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183</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36</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Sales</w:t>
            </w:r>
          </w:p>
        </w:tc>
        <w:tc>
          <w:tcPr>
            <w:tcW w:w="740" w:type="dxa"/>
            <w:vAlign w:val="bottom"/>
          </w:tcPr>
          <w:p>
            <w:pPr>
              <w:jc w:val="right"/>
              <w:spacing w:after="0"/>
              <w:rPr>
                <w:sz w:val="20"/>
                <w:szCs w:val="20"/>
                <w:color w:val="auto"/>
              </w:rPr>
            </w:pPr>
            <w:r>
              <w:rPr>
                <w:rFonts w:ascii="Arial" w:cs="Arial" w:eastAsia="Arial" w:hAnsi="Arial"/>
                <w:sz w:val="15"/>
                <w:szCs w:val="15"/>
                <w:color w:val="auto"/>
              </w:rPr>
              <w:t>(15)</w:t>
            </w: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(1)</w:t>
            </w:r>
          </w:p>
        </w:tc>
        <w:tc>
          <w:tcPr>
            <w:tcW w:w="640" w:type="dxa"/>
            <w:vAlign w:val="bottom"/>
          </w:tcPr>
          <w:p>
            <w:pPr>
              <w:jc w:val="right"/>
              <w:spacing w:after="0"/>
              <w:rPr>
                <w:sz w:val="20"/>
                <w:szCs w:val="20"/>
                <w:color w:val="auto"/>
              </w:rPr>
            </w:pPr>
            <w:r>
              <w:rPr>
                <w:rFonts w:ascii="Arial" w:cs="Arial" w:eastAsia="Arial" w:hAnsi="Arial"/>
                <w:sz w:val="15"/>
                <w:szCs w:val="15"/>
                <w:color w:val="auto"/>
              </w:rPr>
              <w:t>(8)</w:t>
            </w:r>
          </w:p>
        </w:tc>
        <w:tc>
          <w:tcPr>
            <w:tcW w:w="760" w:type="dxa"/>
            <w:vAlign w:val="bottom"/>
          </w:tcPr>
          <w:p>
            <w:pPr>
              <w:jc w:val="right"/>
              <w:ind w:right="47"/>
              <w:spacing w:after="0"/>
              <w:rPr>
                <w:sz w:val="20"/>
                <w:szCs w:val="20"/>
                <w:color w:val="auto"/>
              </w:rPr>
            </w:pPr>
            <w:r>
              <w:rPr>
                <w:rFonts w:ascii="Arial" w:cs="Arial" w:eastAsia="Arial" w:hAnsi="Arial"/>
                <w:sz w:val="15"/>
                <w:szCs w:val="15"/>
                <w:color w:val="auto"/>
              </w:rPr>
              <w:t>(58)</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(82)</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(4)</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Extensions/discoveries</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166</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138</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8</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41</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9</w:t>
            </w: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362</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164</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234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7"/>
        </w:trPr>
        <w:tc>
          <w:tcPr>
            <w:tcW w:w="2640" w:type="dxa"/>
            <w:vAlign w:val="bottom"/>
          </w:tcPr>
          <w:p>
            <w:pPr>
              <w:ind w:left="240"/>
              <w:spacing w:after="0"/>
              <w:rPr>
                <w:sz w:val="20"/>
                <w:szCs w:val="20"/>
                <w:color w:val="auto"/>
              </w:rPr>
            </w:pPr>
            <w:r>
              <w:rPr>
                <w:rFonts w:ascii="Arial" w:cs="Arial" w:eastAsia="Arial" w:hAnsi="Arial"/>
                <w:sz w:val="15"/>
                <w:szCs w:val="15"/>
                <w:color w:val="auto"/>
              </w:rPr>
              <w:t>Production</w:t>
            </w:r>
          </w:p>
        </w:tc>
        <w:tc>
          <w:tcPr>
            <w:tcW w:w="740" w:type="dxa"/>
            <w:vAlign w:val="bottom"/>
          </w:tcPr>
          <w:p>
            <w:pPr>
              <w:jc w:val="right"/>
              <w:spacing w:after="0"/>
              <w:rPr>
                <w:sz w:val="20"/>
                <w:szCs w:val="20"/>
                <w:color w:val="auto"/>
              </w:rPr>
            </w:pPr>
            <w:r>
              <w:rPr>
                <w:rFonts w:ascii="Arial" w:cs="Arial" w:eastAsia="Arial" w:hAnsi="Arial"/>
                <w:sz w:val="15"/>
                <w:szCs w:val="15"/>
                <w:color w:val="auto"/>
              </w:rPr>
              <w:t>(100)</w:t>
            </w: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(18)</w:t>
            </w:r>
          </w:p>
        </w:tc>
        <w:tc>
          <w:tcPr>
            <w:tcW w:w="640" w:type="dxa"/>
            <w:vAlign w:val="bottom"/>
          </w:tcPr>
          <w:p>
            <w:pPr>
              <w:jc w:val="right"/>
              <w:spacing w:after="0"/>
              <w:rPr>
                <w:sz w:val="20"/>
                <w:szCs w:val="20"/>
                <w:color w:val="auto"/>
              </w:rPr>
            </w:pPr>
            <w:r>
              <w:rPr>
                <w:rFonts w:ascii="Arial" w:cs="Arial" w:eastAsia="Arial" w:hAnsi="Arial"/>
                <w:sz w:val="15"/>
                <w:szCs w:val="15"/>
                <w:color w:val="auto"/>
              </w:rPr>
              <w:t>(62)</w:t>
            </w:r>
          </w:p>
        </w:tc>
        <w:tc>
          <w:tcPr>
            <w:tcW w:w="760" w:type="dxa"/>
            <w:vAlign w:val="bottom"/>
          </w:tcPr>
          <w:p>
            <w:pPr>
              <w:jc w:val="right"/>
              <w:ind w:right="47"/>
              <w:spacing w:after="0"/>
              <w:rPr>
                <w:sz w:val="20"/>
                <w:szCs w:val="20"/>
                <w:color w:val="auto"/>
              </w:rPr>
            </w:pPr>
            <w:r>
              <w:rPr>
                <w:rFonts w:ascii="Arial" w:cs="Arial" w:eastAsia="Arial" w:hAnsi="Arial"/>
                <w:sz w:val="15"/>
                <w:szCs w:val="15"/>
                <w:color w:val="auto"/>
              </w:rPr>
              <w:t>(173)</w:t>
            </w:r>
          </w:p>
        </w:tc>
        <w:tc>
          <w:tcPr>
            <w:tcW w:w="620" w:type="dxa"/>
            <w:vAlign w:val="bottom"/>
          </w:tcPr>
          <w:p>
            <w:pPr>
              <w:jc w:val="right"/>
              <w:spacing w:after="0"/>
              <w:rPr>
                <w:sz w:val="20"/>
                <w:szCs w:val="20"/>
                <w:color w:val="auto"/>
              </w:rPr>
            </w:pPr>
            <w:r>
              <w:rPr>
                <w:rFonts w:ascii="Arial" w:cs="Arial" w:eastAsia="Arial" w:hAnsi="Arial"/>
                <w:sz w:val="15"/>
                <w:szCs w:val="15"/>
                <w:color w:val="auto"/>
              </w:rPr>
              <w:t>(117)</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(12)</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(482)</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(73)</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(45)</w:t>
            </w:r>
          </w:p>
        </w:tc>
        <w:tc>
          <w:tcPr>
            <w:tcW w:w="22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(25)</w:t>
            </w:r>
          </w:p>
        </w:tc>
        <w:tc>
          <w:tcPr>
            <w:tcW w:w="300" w:type="dxa"/>
            <w:vAlign w:val="bottom"/>
          </w:tcPr>
          <w:p>
            <w:pPr>
              <w:spacing w:after="0"/>
              <w:rPr>
                <w:sz w:val="16"/>
                <w:szCs w:val="16"/>
                <w:color w:val="auto"/>
              </w:rPr>
            </w:pPr>
          </w:p>
        </w:tc>
      </w:tr>
      <w:tr>
        <w:trPr>
          <w:trHeight w:val="181"/>
        </w:trPr>
        <w:tc>
          <w:tcPr>
            <w:tcW w:w="2640" w:type="dxa"/>
            <w:vAlign w:val="bottom"/>
          </w:tcPr>
          <w:p>
            <w:pPr>
              <w:spacing w:after="0" w:line="167" w:lineRule="exact"/>
              <w:rPr>
                <w:sz w:val="20"/>
                <w:szCs w:val="20"/>
                <w:color w:val="auto"/>
              </w:rPr>
            </w:pPr>
            <w:r>
              <w:rPr>
                <w:rFonts w:ascii="Arial" w:cs="Arial" w:eastAsia="Arial" w:hAnsi="Arial"/>
                <w:sz w:val="15"/>
                <w:szCs w:val="15"/>
                <w:color w:val="auto"/>
              </w:rPr>
              <w:t>December 31, 2012</w:t>
            </w:r>
          </w:p>
        </w:tc>
        <w:tc>
          <w:tcPr>
            <w:tcW w:w="74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rPr>
              <w:t>1,905</w:t>
            </w:r>
          </w:p>
        </w:tc>
        <w:tc>
          <w:tcPr>
            <w:tcW w:w="7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rPr>
              <w:t>270</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289</w:t>
            </w:r>
          </w:p>
        </w:tc>
        <w:tc>
          <w:tcPr>
            <w:tcW w:w="76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rPr>
              <w:t>1,293</w:t>
            </w:r>
          </w:p>
        </w:tc>
        <w:tc>
          <w:tcPr>
            <w:tcW w:w="62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rPr>
              <w:t>1,604</w:t>
            </w:r>
          </w:p>
        </w:tc>
        <w:tc>
          <w:tcPr>
            <w:tcW w:w="7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rPr>
              <w:t>163</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5,524</w:t>
            </w:r>
          </w:p>
        </w:tc>
        <w:tc>
          <w:tcPr>
            <w:tcW w:w="12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1,031</w:t>
            </w:r>
          </w:p>
        </w:tc>
        <w:tc>
          <w:tcPr>
            <w:tcW w:w="12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3,560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599</w:t>
            </w:r>
          </w:p>
        </w:tc>
        <w:tc>
          <w:tcPr>
            <w:tcW w:w="22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r>
      <w:tr>
        <w:trPr>
          <w:trHeight w:val="352"/>
        </w:trPr>
        <w:tc>
          <w:tcPr>
            <w:tcW w:w="2640" w:type="dxa"/>
            <w:vAlign w:val="bottom"/>
          </w:tcPr>
          <w:p>
            <w:pPr>
              <w:spacing w:after="0"/>
              <w:rPr>
                <w:sz w:val="20"/>
                <w:szCs w:val="20"/>
                <w:color w:val="auto"/>
              </w:rPr>
            </w:pPr>
            <w:r>
              <w:rPr>
                <w:rFonts w:ascii="Arial" w:cs="Arial" w:eastAsia="Arial" w:hAnsi="Arial"/>
                <w:sz w:val="15"/>
                <w:szCs w:val="15"/>
                <w:color w:val="auto"/>
              </w:rPr>
              <w:t>Proportional interest in proved</w:t>
            </w: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reserves of equity companies</w:t>
            </w: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2640" w:type="dxa"/>
            <w:vAlign w:val="bottom"/>
          </w:tcPr>
          <w:p>
            <w:pPr>
              <w:spacing w:after="0"/>
              <w:rPr>
                <w:sz w:val="20"/>
                <w:szCs w:val="20"/>
                <w:color w:val="auto"/>
              </w:rPr>
            </w:pPr>
            <w:r>
              <w:rPr>
                <w:rFonts w:ascii="Arial" w:cs="Arial" w:eastAsia="Arial" w:hAnsi="Arial"/>
                <w:sz w:val="15"/>
                <w:szCs w:val="15"/>
                <w:color w:val="auto"/>
              </w:rPr>
              <w:t>January 1, 2012</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348</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29</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1,255</w:t>
            </w: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1,632</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483</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Revisions</w:t>
            </w:r>
          </w:p>
        </w:tc>
        <w:tc>
          <w:tcPr>
            <w:tcW w:w="740" w:type="dxa"/>
            <w:vAlign w:val="bottom"/>
          </w:tcPr>
          <w:p>
            <w:pPr>
              <w:jc w:val="right"/>
              <w:spacing w:after="0"/>
              <w:rPr>
                <w:sz w:val="20"/>
                <w:szCs w:val="20"/>
                <w:color w:val="auto"/>
              </w:rPr>
            </w:pPr>
            <w:r>
              <w:rPr>
                <w:rFonts w:ascii="Arial" w:cs="Arial" w:eastAsia="Arial" w:hAnsi="Arial"/>
                <w:sz w:val="15"/>
                <w:szCs w:val="15"/>
                <w:color w:val="auto"/>
              </w:rPr>
              <w:t>(2)</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1</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131</w:t>
            </w: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130</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Improved recovery</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16</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Purchases</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Sales</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Extensions/discoveries</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7"/>
        </w:trPr>
        <w:tc>
          <w:tcPr>
            <w:tcW w:w="2640" w:type="dxa"/>
            <w:vAlign w:val="bottom"/>
          </w:tcPr>
          <w:p>
            <w:pPr>
              <w:ind w:left="240"/>
              <w:spacing w:after="0"/>
              <w:rPr>
                <w:sz w:val="20"/>
                <w:szCs w:val="20"/>
                <w:color w:val="auto"/>
              </w:rPr>
            </w:pPr>
            <w:r>
              <w:rPr>
                <w:rFonts w:ascii="Arial" w:cs="Arial" w:eastAsia="Arial" w:hAnsi="Arial"/>
                <w:sz w:val="15"/>
                <w:szCs w:val="15"/>
                <w:color w:val="auto"/>
              </w:rPr>
              <w:t>Production</w:t>
            </w:r>
          </w:p>
        </w:tc>
        <w:tc>
          <w:tcPr>
            <w:tcW w:w="740" w:type="dxa"/>
            <w:vAlign w:val="bottom"/>
          </w:tcPr>
          <w:p>
            <w:pPr>
              <w:jc w:val="right"/>
              <w:spacing w:after="0"/>
              <w:rPr>
                <w:sz w:val="20"/>
                <w:szCs w:val="20"/>
                <w:color w:val="auto"/>
              </w:rPr>
            </w:pPr>
            <w:r>
              <w:rPr>
                <w:rFonts w:ascii="Arial" w:cs="Arial" w:eastAsia="Arial" w:hAnsi="Arial"/>
                <w:sz w:val="15"/>
                <w:szCs w:val="15"/>
                <w:color w:val="auto"/>
              </w:rPr>
              <w:t>(22)</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(126)</w:t>
            </w: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(150)</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(24)</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1"/>
        </w:trPr>
        <w:tc>
          <w:tcPr>
            <w:tcW w:w="2640" w:type="dxa"/>
            <w:vAlign w:val="bottom"/>
          </w:tcPr>
          <w:p>
            <w:pPr>
              <w:spacing w:after="0" w:line="167" w:lineRule="exact"/>
              <w:rPr>
                <w:sz w:val="20"/>
                <w:szCs w:val="20"/>
                <w:color w:val="auto"/>
              </w:rPr>
            </w:pPr>
            <w:r>
              <w:rPr>
                <w:rFonts w:ascii="Arial" w:cs="Arial" w:eastAsia="Arial" w:hAnsi="Arial"/>
                <w:sz w:val="15"/>
                <w:szCs w:val="15"/>
                <w:color w:val="auto"/>
              </w:rPr>
              <w:t>December 31, 2012</w:t>
            </w:r>
          </w:p>
        </w:tc>
        <w:tc>
          <w:tcPr>
            <w:tcW w:w="74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rPr>
              <w:t>340</w:t>
            </w:r>
          </w:p>
        </w:tc>
        <w:tc>
          <w:tcPr>
            <w:tcW w:w="7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28</w:t>
            </w:r>
          </w:p>
        </w:tc>
        <w:tc>
          <w:tcPr>
            <w:tcW w:w="76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rPr>
              <w:t>1,260</w:t>
            </w:r>
          </w:p>
        </w:tc>
        <w:tc>
          <w:tcPr>
            <w:tcW w:w="7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1,628</w:t>
            </w:r>
          </w:p>
        </w:tc>
        <w:tc>
          <w:tcPr>
            <w:tcW w:w="12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474</w:t>
            </w:r>
          </w:p>
        </w:tc>
        <w:tc>
          <w:tcPr>
            <w:tcW w:w="12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r>
      <w:tr>
        <w:trPr>
          <w:trHeight w:val="167"/>
        </w:trPr>
        <w:tc>
          <w:tcPr>
            <w:tcW w:w="2640" w:type="dxa"/>
            <w:vAlign w:val="bottom"/>
          </w:tcPr>
          <w:p>
            <w:pPr>
              <w:spacing w:after="0" w:line="167" w:lineRule="exact"/>
              <w:rPr>
                <w:sz w:val="20"/>
                <w:szCs w:val="20"/>
                <w:color w:val="auto"/>
              </w:rPr>
            </w:pPr>
            <w:r>
              <w:rPr>
                <w:rFonts w:ascii="Arial" w:cs="Arial" w:eastAsia="Arial" w:hAnsi="Arial"/>
                <w:sz w:val="15"/>
                <w:szCs w:val="15"/>
                <w:color w:val="auto"/>
              </w:rPr>
              <w:t>Total liquids proved reserves</w:t>
            </w: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8"/>
        </w:trPr>
        <w:tc>
          <w:tcPr>
            <w:tcW w:w="2640" w:type="dxa"/>
            <w:vAlign w:val="bottom"/>
          </w:tcPr>
          <w:p>
            <w:pPr>
              <w:ind w:left="240"/>
              <w:spacing w:after="0"/>
              <w:rPr>
                <w:sz w:val="20"/>
                <w:szCs w:val="20"/>
                <w:color w:val="auto"/>
              </w:rPr>
            </w:pPr>
            <w:r>
              <w:rPr>
                <w:rFonts w:ascii="Arial" w:cs="Arial" w:eastAsia="Arial" w:hAnsi="Arial"/>
                <w:sz w:val="15"/>
                <w:szCs w:val="15"/>
                <w:color w:val="auto"/>
              </w:rPr>
              <w:t>at December 31, 2012</w:t>
            </w:r>
          </w:p>
        </w:tc>
        <w:tc>
          <w:tcPr>
            <w:tcW w:w="7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2,245</w:t>
            </w:r>
          </w:p>
        </w:tc>
        <w:tc>
          <w:tcPr>
            <w:tcW w:w="7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270</w:t>
            </w:r>
          </w:p>
        </w:tc>
        <w:tc>
          <w:tcPr>
            <w:tcW w:w="6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317</w:t>
            </w:r>
          </w:p>
        </w:tc>
        <w:tc>
          <w:tcPr>
            <w:tcW w:w="76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1,293</w:t>
            </w:r>
          </w:p>
        </w:tc>
        <w:tc>
          <w:tcPr>
            <w:tcW w:w="6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2,864</w:t>
            </w:r>
          </w:p>
        </w:tc>
        <w:tc>
          <w:tcPr>
            <w:tcW w:w="7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163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7,152</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1,505</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599</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r>
      <w:tr>
        <w:trPr>
          <w:trHeight w:val="357"/>
        </w:trPr>
        <w:tc>
          <w:tcPr>
            <w:tcW w:w="2640" w:type="dxa"/>
            <w:vAlign w:val="bottom"/>
          </w:tcPr>
          <w:p>
            <w:pPr>
              <w:spacing w:after="0"/>
              <w:rPr>
                <w:sz w:val="20"/>
                <w:szCs w:val="20"/>
                <w:color w:val="auto"/>
              </w:rPr>
            </w:pPr>
            <w:r>
              <w:rPr>
                <w:rFonts w:ascii="Arial" w:cs="Arial" w:eastAsia="Arial" w:hAnsi="Arial"/>
                <w:sz w:val="15"/>
                <w:szCs w:val="15"/>
                <w:color w:val="auto"/>
              </w:rPr>
              <w:t>Net proved developed and</w:t>
            </w: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undeveloped reserves of</w:t>
            </w: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consolidated subsidiaries</w:t>
            </w: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7"/>
        </w:trPr>
        <w:tc>
          <w:tcPr>
            <w:tcW w:w="2640" w:type="dxa"/>
            <w:vAlign w:val="bottom"/>
          </w:tcPr>
          <w:p>
            <w:pPr>
              <w:spacing w:after="0"/>
              <w:rPr>
                <w:sz w:val="20"/>
                <w:szCs w:val="20"/>
                <w:color w:val="auto"/>
              </w:rPr>
            </w:pPr>
            <w:r>
              <w:rPr>
                <w:rFonts w:ascii="Arial" w:cs="Arial" w:eastAsia="Arial" w:hAnsi="Arial"/>
                <w:sz w:val="15"/>
                <w:szCs w:val="15"/>
                <w:color w:val="auto"/>
              </w:rPr>
              <w:t>January 1, 2013</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1,905</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270</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289</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1,293</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1,604</w:t>
            </w: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163</w:t>
            </w:r>
          </w:p>
        </w:tc>
        <w:tc>
          <w:tcPr>
            <w:tcW w:w="580" w:type="dxa"/>
            <w:vAlign w:val="bottom"/>
          </w:tcPr>
          <w:p>
            <w:pPr>
              <w:jc w:val="right"/>
              <w:spacing w:after="0"/>
              <w:rPr>
                <w:sz w:val="20"/>
                <w:szCs w:val="20"/>
                <w:color w:val="auto"/>
              </w:rPr>
            </w:pPr>
            <w:r>
              <w:rPr>
                <w:rFonts w:ascii="Arial" w:cs="Arial" w:eastAsia="Arial" w:hAnsi="Arial"/>
                <w:sz w:val="15"/>
                <w:szCs w:val="15"/>
                <w:color w:val="auto"/>
              </w:rPr>
              <w:t>5,524</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1,031</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3,560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599</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96"/>
        </w:trPr>
        <w:tc>
          <w:tcPr>
            <w:tcW w:w="2640" w:type="dxa"/>
            <w:vAlign w:val="bottom"/>
          </w:tcPr>
          <w:p>
            <w:pPr>
              <w:ind w:left="240"/>
              <w:spacing w:after="0"/>
              <w:rPr>
                <w:sz w:val="20"/>
                <w:szCs w:val="20"/>
                <w:color w:val="auto"/>
              </w:rPr>
            </w:pPr>
            <w:r>
              <w:rPr>
                <w:rFonts w:ascii="Arial" w:cs="Arial" w:eastAsia="Arial" w:hAnsi="Arial"/>
                <w:sz w:val="15"/>
                <w:szCs w:val="15"/>
                <w:color w:val="auto"/>
              </w:rPr>
              <w:t>Revisions</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21</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20</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13</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13</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411</w:t>
            </w: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3</w:t>
            </w:r>
          </w:p>
        </w:tc>
        <w:tc>
          <w:tcPr>
            <w:tcW w:w="580" w:type="dxa"/>
            <w:vAlign w:val="bottom"/>
          </w:tcPr>
          <w:p>
            <w:pPr>
              <w:jc w:val="right"/>
              <w:spacing w:after="0"/>
              <w:rPr>
                <w:sz w:val="20"/>
                <w:szCs w:val="20"/>
                <w:color w:val="auto"/>
              </w:rPr>
            </w:pPr>
            <w:r>
              <w:rPr>
                <w:rFonts w:ascii="Arial" w:cs="Arial" w:eastAsia="Arial" w:hAnsi="Arial"/>
                <w:sz w:val="15"/>
                <w:szCs w:val="15"/>
                <w:color w:val="auto"/>
              </w:rPr>
              <w:t>481</w:t>
            </w:r>
          </w:p>
        </w:tc>
        <w:tc>
          <w:tcPr>
            <w:tcW w:w="1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(1)</w:t>
            </w:r>
          </w:p>
        </w:tc>
        <w:tc>
          <w:tcPr>
            <w:tcW w:w="800" w:type="dxa"/>
            <w:vAlign w:val="bottom"/>
          </w:tcPr>
          <w:p>
            <w:pPr>
              <w:jc w:val="right"/>
              <w:spacing w:after="0"/>
              <w:rPr>
                <w:sz w:val="20"/>
                <w:szCs w:val="20"/>
                <w:color w:val="auto"/>
              </w:rPr>
            </w:pPr>
            <w:r>
              <w:rPr>
                <w:rFonts w:ascii="Arial" w:cs="Arial" w:eastAsia="Arial" w:hAnsi="Arial"/>
                <w:sz w:val="15"/>
                <w:szCs w:val="15"/>
                <w:color w:val="auto"/>
              </w:rPr>
              <w:t>124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3"/>
        </w:trPr>
        <w:tc>
          <w:tcPr>
            <w:tcW w:w="2640" w:type="dxa"/>
            <w:vAlign w:val="bottom"/>
          </w:tcPr>
          <w:p>
            <w:pPr>
              <w:ind w:left="240"/>
              <w:spacing w:after="0"/>
              <w:rPr>
                <w:sz w:val="20"/>
                <w:szCs w:val="20"/>
                <w:color w:val="auto"/>
              </w:rPr>
            </w:pPr>
            <w:r>
              <w:rPr>
                <w:rFonts w:ascii="Arial" w:cs="Arial" w:eastAsia="Arial" w:hAnsi="Arial"/>
                <w:sz w:val="15"/>
                <w:szCs w:val="15"/>
                <w:color w:val="auto"/>
              </w:rPr>
              <w:t>Improved recovery</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Purchases</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15</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15</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30</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27</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Sales</w:t>
            </w:r>
          </w:p>
        </w:tc>
        <w:tc>
          <w:tcPr>
            <w:tcW w:w="740" w:type="dxa"/>
            <w:vAlign w:val="bottom"/>
          </w:tcPr>
          <w:p>
            <w:pPr>
              <w:jc w:val="right"/>
              <w:spacing w:after="0"/>
              <w:rPr>
                <w:sz w:val="20"/>
                <w:szCs w:val="20"/>
                <w:color w:val="auto"/>
              </w:rPr>
            </w:pPr>
            <w:r>
              <w:rPr>
                <w:rFonts w:ascii="Arial" w:cs="Arial" w:eastAsia="Arial" w:hAnsi="Arial"/>
                <w:sz w:val="15"/>
                <w:szCs w:val="15"/>
                <w:color w:val="auto"/>
              </w:rPr>
              <w:t>(18)</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(18)</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(6)</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Extensions/discoveries</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188</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52</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262</w:t>
            </w: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502</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39</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7"/>
        </w:trPr>
        <w:tc>
          <w:tcPr>
            <w:tcW w:w="2640" w:type="dxa"/>
            <w:vAlign w:val="bottom"/>
          </w:tcPr>
          <w:p>
            <w:pPr>
              <w:ind w:left="240"/>
              <w:spacing w:after="0"/>
              <w:rPr>
                <w:sz w:val="20"/>
                <w:szCs w:val="20"/>
                <w:color w:val="auto"/>
              </w:rPr>
            </w:pPr>
            <w:r>
              <w:rPr>
                <w:rFonts w:ascii="Arial" w:cs="Arial" w:eastAsia="Arial" w:hAnsi="Arial"/>
                <w:sz w:val="15"/>
                <w:szCs w:val="15"/>
                <w:color w:val="auto"/>
              </w:rPr>
              <w:t>Production</w:t>
            </w:r>
          </w:p>
        </w:tc>
        <w:tc>
          <w:tcPr>
            <w:tcW w:w="740" w:type="dxa"/>
            <w:vAlign w:val="bottom"/>
          </w:tcPr>
          <w:p>
            <w:pPr>
              <w:jc w:val="right"/>
              <w:spacing w:after="0"/>
              <w:rPr>
                <w:sz w:val="20"/>
                <w:szCs w:val="20"/>
                <w:color w:val="auto"/>
              </w:rPr>
            </w:pPr>
            <w:r>
              <w:rPr>
                <w:rFonts w:ascii="Arial" w:cs="Arial" w:eastAsia="Arial" w:hAnsi="Arial"/>
                <w:sz w:val="15"/>
                <w:szCs w:val="15"/>
                <w:color w:val="auto"/>
              </w:rPr>
              <w:t>(103)</w:t>
            </w: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(21)</w:t>
            </w:r>
          </w:p>
        </w:tc>
        <w:tc>
          <w:tcPr>
            <w:tcW w:w="640" w:type="dxa"/>
            <w:vAlign w:val="bottom"/>
          </w:tcPr>
          <w:p>
            <w:pPr>
              <w:jc w:val="right"/>
              <w:spacing w:after="0"/>
              <w:rPr>
                <w:sz w:val="20"/>
                <w:szCs w:val="20"/>
                <w:color w:val="auto"/>
              </w:rPr>
            </w:pPr>
            <w:r>
              <w:rPr>
                <w:rFonts w:ascii="Arial" w:cs="Arial" w:eastAsia="Arial" w:hAnsi="Arial"/>
                <w:sz w:val="15"/>
                <w:szCs w:val="15"/>
                <w:color w:val="auto"/>
              </w:rPr>
              <w:t>(57)</w:t>
            </w:r>
          </w:p>
        </w:tc>
        <w:tc>
          <w:tcPr>
            <w:tcW w:w="760" w:type="dxa"/>
            <w:vAlign w:val="bottom"/>
          </w:tcPr>
          <w:p>
            <w:pPr>
              <w:jc w:val="right"/>
              <w:ind w:right="47"/>
              <w:spacing w:after="0"/>
              <w:rPr>
                <w:sz w:val="20"/>
                <w:szCs w:val="20"/>
                <w:color w:val="auto"/>
              </w:rPr>
            </w:pPr>
            <w:r>
              <w:rPr>
                <w:rFonts w:ascii="Arial" w:cs="Arial" w:eastAsia="Arial" w:hAnsi="Arial"/>
                <w:sz w:val="15"/>
                <w:szCs w:val="15"/>
                <w:color w:val="auto"/>
              </w:rPr>
              <w:t>(165)</w:t>
            </w:r>
          </w:p>
        </w:tc>
        <w:tc>
          <w:tcPr>
            <w:tcW w:w="620" w:type="dxa"/>
            <w:vAlign w:val="bottom"/>
          </w:tcPr>
          <w:p>
            <w:pPr>
              <w:jc w:val="right"/>
              <w:spacing w:after="0"/>
              <w:rPr>
                <w:sz w:val="20"/>
                <w:szCs w:val="20"/>
                <w:color w:val="auto"/>
              </w:rPr>
            </w:pPr>
            <w:r>
              <w:rPr>
                <w:rFonts w:ascii="Arial" w:cs="Arial" w:eastAsia="Arial" w:hAnsi="Arial"/>
                <w:sz w:val="15"/>
                <w:szCs w:val="15"/>
                <w:color w:val="auto"/>
              </w:rPr>
              <w:t>(114)</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(11)</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(471)</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(67)</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(54)</w:t>
            </w:r>
          </w:p>
        </w:tc>
        <w:tc>
          <w:tcPr>
            <w:tcW w:w="22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(24)</w:t>
            </w:r>
          </w:p>
        </w:tc>
        <w:tc>
          <w:tcPr>
            <w:tcW w:w="300" w:type="dxa"/>
            <w:vAlign w:val="bottom"/>
          </w:tcPr>
          <w:p>
            <w:pPr>
              <w:spacing w:after="0"/>
              <w:rPr>
                <w:sz w:val="16"/>
                <w:szCs w:val="16"/>
                <w:color w:val="auto"/>
              </w:rPr>
            </w:pPr>
          </w:p>
        </w:tc>
      </w:tr>
      <w:tr>
        <w:trPr>
          <w:trHeight w:val="181"/>
        </w:trPr>
        <w:tc>
          <w:tcPr>
            <w:tcW w:w="2640" w:type="dxa"/>
            <w:vAlign w:val="bottom"/>
          </w:tcPr>
          <w:p>
            <w:pPr>
              <w:spacing w:after="0" w:line="167" w:lineRule="exact"/>
              <w:rPr>
                <w:sz w:val="20"/>
                <w:szCs w:val="20"/>
                <w:color w:val="auto"/>
              </w:rPr>
            </w:pPr>
            <w:r>
              <w:rPr>
                <w:rFonts w:ascii="Arial" w:cs="Arial" w:eastAsia="Arial" w:hAnsi="Arial"/>
                <w:sz w:val="15"/>
                <w:szCs w:val="15"/>
                <w:color w:val="auto"/>
              </w:rPr>
              <w:t>December 31, 2013</w:t>
            </w:r>
          </w:p>
        </w:tc>
        <w:tc>
          <w:tcPr>
            <w:tcW w:w="74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rPr>
              <w:t>2,008</w:t>
            </w:r>
          </w:p>
        </w:tc>
        <w:tc>
          <w:tcPr>
            <w:tcW w:w="7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rPr>
              <w:t>284</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245</w:t>
            </w:r>
          </w:p>
        </w:tc>
        <w:tc>
          <w:tcPr>
            <w:tcW w:w="76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rPr>
              <w:t>1,193</w:t>
            </w:r>
          </w:p>
        </w:tc>
        <w:tc>
          <w:tcPr>
            <w:tcW w:w="62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rPr>
              <w:t>2,163</w:t>
            </w:r>
          </w:p>
        </w:tc>
        <w:tc>
          <w:tcPr>
            <w:tcW w:w="7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rPr>
              <w:t>155</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6,048</w:t>
            </w:r>
          </w:p>
        </w:tc>
        <w:tc>
          <w:tcPr>
            <w:tcW w:w="12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1,023</w:t>
            </w:r>
          </w:p>
        </w:tc>
        <w:tc>
          <w:tcPr>
            <w:tcW w:w="12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579</w:t>
            </w:r>
          </w:p>
        </w:tc>
        <w:tc>
          <w:tcPr>
            <w:tcW w:w="22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r>
      <w:tr>
        <w:trPr>
          <w:trHeight w:val="352"/>
        </w:trPr>
        <w:tc>
          <w:tcPr>
            <w:tcW w:w="2640" w:type="dxa"/>
            <w:vAlign w:val="bottom"/>
          </w:tcPr>
          <w:p>
            <w:pPr>
              <w:spacing w:after="0"/>
              <w:rPr>
                <w:sz w:val="20"/>
                <w:szCs w:val="20"/>
                <w:color w:val="auto"/>
              </w:rPr>
            </w:pPr>
            <w:r>
              <w:rPr>
                <w:rFonts w:ascii="Arial" w:cs="Arial" w:eastAsia="Arial" w:hAnsi="Arial"/>
                <w:sz w:val="15"/>
                <w:szCs w:val="15"/>
                <w:color w:val="auto"/>
              </w:rPr>
              <w:t>Proportional interest in proved</w:t>
            </w: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reserves of equity companies</w:t>
            </w: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2640" w:type="dxa"/>
            <w:vAlign w:val="bottom"/>
          </w:tcPr>
          <w:p>
            <w:pPr>
              <w:spacing w:after="0"/>
              <w:rPr>
                <w:sz w:val="20"/>
                <w:szCs w:val="20"/>
                <w:color w:val="auto"/>
              </w:rPr>
            </w:pPr>
            <w:r>
              <w:rPr>
                <w:rFonts w:ascii="Arial" w:cs="Arial" w:eastAsia="Arial" w:hAnsi="Arial"/>
                <w:sz w:val="15"/>
                <w:szCs w:val="15"/>
                <w:color w:val="auto"/>
              </w:rPr>
              <w:t>January 1, 2013</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340</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28</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1,260</w:t>
            </w: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1,628</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474</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Revisions</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12</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2</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21</w:t>
            </w: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35</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Improved recovery</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Purchases</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Sales</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Extensions/discoveries</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7"/>
        </w:trPr>
        <w:tc>
          <w:tcPr>
            <w:tcW w:w="2640" w:type="dxa"/>
            <w:vAlign w:val="bottom"/>
          </w:tcPr>
          <w:p>
            <w:pPr>
              <w:ind w:left="240"/>
              <w:spacing w:after="0"/>
              <w:rPr>
                <w:sz w:val="20"/>
                <w:szCs w:val="20"/>
                <w:color w:val="auto"/>
              </w:rPr>
            </w:pPr>
            <w:r>
              <w:rPr>
                <w:rFonts w:ascii="Arial" w:cs="Arial" w:eastAsia="Arial" w:hAnsi="Arial"/>
                <w:sz w:val="15"/>
                <w:szCs w:val="15"/>
                <w:color w:val="auto"/>
              </w:rPr>
              <w:t>Production</w:t>
            </w:r>
          </w:p>
        </w:tc>
        <w:tc>
          <w:tcPr>
            <w:tcW w:w="740" w:type="dxa"/>
            <w:vAlign w:val="bottom"/>
          </w:tcPr>
          <w:p>
            <w:pPr>
              <w:jc w:val="right"/>
              <w:spacing w:after="0"/>
              <w:rPr>
                <w:sz w:val="20"/>
                <w:szCs w:val="20"/>
                <w:color w:val="auto"/>
              </w:rPr>
            </w:pPr>
            <w:r>
              <w:rPr>
                <w:rFonts w:ascii="Arial" w:cs="Arial" w:eastAsia="Arial" w:hAnsi="Arial"/>
                <w:sz w:val="15"/>
                <w:szCs w:val="15"/>
                <w:color w:val="auto"/>
              </w:rPr>
              <w:t>(22)</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(136)</w:t>
            </w: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(160)</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(26)</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1"/>
        </w:trPr>
        <w:tc>
          <w:tcPr>
            <w:tcW w:w="2640" w:type="dxa"/>
            <w:vAlign w:val="bottom"/>
          </w:tcPr>
          <w:p>
            <w:pPr>
              <w:spacing w:after="0" w:line="167" w:lineRule="exact"/>
              <w:rPr>
                <w:sz w:val="20"/>
                <w:szCs w:val="20"/>
                <w:color w:val="auto"/>
              </w:rPr>
            </w:pPr>
            <w:r>
              <w:rPr>
                <w:rFonts w:ascii="Arial" w:cs="Arial" w:eastAsia="Arial" w:hAnsi="Arial"/>
                <w:sz w:val="15"/>
                <w:szCs w:val="15"/>
                <w:color w:val="auto"/>
              </w:rPr>
              <w:t>December 31, 2013</w:t>
            </w:r>
          </w:p>
        </w:tc>
        <w:tc>
          <w:tcPr>
            <w:tcW w:w="74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rPr>
              <w:t>330</w:t>
            </w:r>
          </w:p>
        </w:tc>
        <w:tc>
          <w:tcPr>
            <w:tcW w:w="7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28</w:t>
            </w:r>
          </w:p>
        </w:tc>
        <w:tc>
          <w:tcPr>
            <w:tcW w:w="76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rPr>
              <w:t>1,145</w:t>
            </w:r>
          </w:p>
        </w:tc>
        <w:tc>
          <w:tcPr>
            <w:tcW w:w="7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1,503</w:t>
            </w:r>
          </w:p>
        </w:tc>
        <w:tc>
          <w:tcPr>
            <w:tcW w:w="12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456</w:t>
            </w:r>
          </w:p>
        </w:tc>
        <w:tc>
          <w:tcPr>
            <w:tcW w:w="12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r>
      <w:tr>
        <w:trPr>
          <w:trHeight w:val="167"/>
        </w:trPr>
        <w:tc>
          <w:tcPr>
            <w:tcW w:w="2640" w:type="dxa"/>
            <w:vAlign w:val="bottom"/>
          </w:tcPr>
          <w:p>
            <w:pPr>
              <w:spacing w:after="0" w:line="167" w:lineRule="exact"/>
              <w:rPr>
                <w:sz w:val="20"/>
                <w:szCs w:val="20"/>
                <w:color w:val="auto"/>
              </w:rPr>
            </w:pPr>
            <w:r>
              <w:rPr>
                <w:rFonts w:ascii="Arial" w:cs="Arial" w:eastAsia="Arial" w:hAnsi="Arial"/>
                <w:sz w:val="15"/>
                <w:szCs w:val="15"/>
                <w:color w:val="auto"/>
              </w:rPr>
              <w:t>Total liquids proved reserves</w:t>
            </w: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90"/>
        </w:trPr>
        <w:tc>
          <w:tcPr>
            <w:tcW w:w="2640" w:type="dxa"/>
            <w:vAlign w:val="bottom"/>
          </w:tcPr>
          <w:p>
            <w:pPr>
              <w:ind w:left="240"/>
              <w:spacing w:after="0"/>
              <w:rPr>
                <w:sz w:val="20"/>
                <w:szCs w:val="20"/>
                <w:color w:val="auto"/>
              </w:rPr>
            </w:pPr>
            <w:r>
              <w:rPr>
                <w:rFonts w:ascii="Arial" w:cs="Arial" w:eastAsia="Arial" w:hAnsi="Arial"/>
                <w:sz w:val="15"/>
                <w:szCs w:val="15"/>
                <w:color w:val="auto"/>
              </w:rPr>
              <w:t>at December 31, 2013</w:t>
            </w:r>
          </w:p>
        </w:tc>
        <w:tc>
          <w:tcPr>
            <w:tcW w:w="7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2,338</w:t>
            </w:r>
          </w:p>
        </w:tc>
        <w:tc>
          <w:tcPr>
            <w:tcW w:w="7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284</w:t>
            </w:r>
          </w:p>
        </w:tc>
        <w:tc>
          <w:tcPr>
            <w:tcW w:w="6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273</w:t>
            </w:r>
          </w:p>
        </w:tc>
        <w:tc>
          <w:tcPr>
            <w:tcW w:w="76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1,193</w:t>
            </w:r>
          </w:p>
        </w:tc>
        <w:tc>
          <w:tcPr>
            <w:tcW w:w="6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3,308</w:t>
            </w:r>
          </w:p>
        </w:tc>
        <w:tc>
          <w:tcPr>
            <w:tcW w:w="7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155</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7,551</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1,479</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579</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4"/>
          <w:szCs w:val="14"/>
          <w:i w:val="1"/>
          <w:iCs w:val="1"/>
          <w:color w:val="auto"/>
        </w:rPr>
        <w:t>See</w:t>
      </w:r>
      <w:r>
        <w:rPr>
          <w:rFonts w:ascii="Arial" w:cs="Arial" w:eastAsia="Arial" w:hAnsi="Arial"/>
          <w:sz w:val="16"/>
          <w:szCs w:val="16"/>
          <w:i w:val="1"/>
          <w:iCs w:val="1"/>
          <w:color w:val="auto"/>
        </w:rPr>
        <w:t xml:space="preserve"> footnote on next page)</w:t>
      </w:r>
    </w:p>
    <w:p>
      <w:pPr>
        <w:spacing w:after="0" w:line="37"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813" w:right="139" w:bottom="1440" w:gutter="0" w:footer="0" w:header="0"/>
        </w:sectPr>
      </w:pPr>
    </w:p>
    <w:bookmarkStart w:id="104" w:name="page105"/>
    <w:bookmarkEnd w:id="104"/>
    <w:p>
      <w:pPr>
        <w:spacing w:after="0"/>
        <w:rPr>
          <w:sz w:val="20"/>
          <w:szCs w:val="20"/>
          <w:color w:val="auto"/>
        </w:rPr>
      </w:pPr>
      <w:r>
        <w:rPr>
          <w:rFonts w:ascii="Arial" w:cs="Arial" w:eastAsia="Arial" w:hAnsi="Arial"/>
          <w:sz w:val="15"/>
          <w:szCs w:val="15"/>
          <w:b w:val="1"/>
          <w:bCs w:val="1"/>
          <w:color w:val="auto"/>
        </w:rPr>
        <w:t>Crude Oil, Natural Gas Liquids, Bitumen and Synthetic Oil Proved Reserves (continued)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3"/>
                <w:szCs w:val="13"/>
                <w:color w:val="auto"/>
                <w:w w:val="89"/>
              </w:rPr>
              <w:t>Natural Gas</w:t>
            </w: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r>
      <w:tr>
        <w:trPr>
          <w:trHeight w:val="189"/>
        </w:trPr>
        <w:tc>
          <w:tcPr>
            <w:tcW w:w="2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jc w:val="right"/>
              <w:ind w:right="127"/>
              <w:spacing w:after="0"/>
              <w:rPr>
                <w:sz w:val="20"/>
                <w:szCs w:val="20"/>
                <w:color w:val="auto"/>
              </w:rPr>
            </w:pPr>
            <w:r>
              <w:rPr>
                <w:rFonts w:ascii="Arial" w:cs="Arial" w:eastAsia="Arial" w:hAnsi="Arial"/>
                <w:sz w:val="13"/>
                <w:szCs w:val="13"/>
                <w:color w:val="auto"/>
                <w:w w:val="98"/>
              </w:rPr>
              <w:t>Crude Oil</w:t>
            </w: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color w:val="auto"/>
                <w:w w:val="95"/>
              </w:rPr>
              <w:t xml:space="preserve">Liquids </w:t>
            </w:r>
            <w:r>
              <w:rPr>
                <w:rFonts w:ascii="Arial" w:cs="Arial" w:eastAsia="Arial" w:hAnsi="Arial"/>
                <w:sz w:val="13"/>
                <w:szCs w:val="13"/>
                <w:i w:val="1"/>
                <w:iCs w:val="1"/>
                <w:color w:val="auto"/>
                <w:w w:val="95"/>
              </w:rPr>
              <w:t>(1)</w:t>
            </w:r>
          </w:p>
        </w:tc>
        <w:tc>
          <w:tcPr>
            <w:tcW w:w="1120" w:type="dxa"/>
            <w:vAlign w:val="bottom"/>
            <w:gridSpan w:val="3"/>
          </w:tcPr>
          <w:p>
            <w:pPr>
              <w:ind w:left="180"/>
              <w:spacing w:after="0"/>
              <w:rPr>
                <w:sz w:val="20"/>
                <w:szCs w:val="20"/>
                <w:color w:val="auto"/>
              </w:rPr>
            </w:pPr>
            <w:r>
              <w:rPr>
                <w:rFonts w:ascii="Arial" w:cs="Arial" w:eastAsia="Arial" w:hAnsi="Arial"/>
                <w:sz w:val="13"/>
                <w:szCs w:val="13"/>
                <w:color w:val="auto"/>
              </w:rPr>
              <w:t>Bitumen</w:t>
            </w:r>
          </w:p>
        </w:tc>
        <w:tc>
          <w:tcPr>
            <w:tcW w:w="1320" w:type="dxa"/>
            <w:vAlign w:val="bottom"/>
            <w:gridSpan w:val="3"/>
          </w:tcPr>
          <w:p>
            <w:pPr>
              <w:jc w:val="center"/>
              <w:ind w:right="520"/>
              <w:spacing w:after="0"/>
              <w:rPr>
                <w:sz w:val="20"/>
                <w:szCs w:val="20"/>
                <w:color w:val="auto"/>
              </w:rPr>
            </w:pPr>
            <w:r>
              <w:rPr>
                <w:rFonts w:ascii="Arial" w:cs="Arial" w:eastAsia="Arial" w:hAnsi="Arial"/>
                <w:sz w:val="13"/>
                <w:szCs w:val="13"/>
                <w:color w:val="auto"/>
                <w:w w:val="93"/>
              </w:rPr>
              <w:t>Synthetic Oil</w:t>
            </w:r>
          </w:p>
        </w:tc>
      </w:tr>
      <w:tr>
        <w:trPr>
          <w:trHeight w:val="162"/>
        </w:trPr>
        <w:tc>
          <w:tcPr>
            <w:tcW w:w="2640" w:type="dxa"/>
            <w:vAlign w:val="bottom"/>
          </w:tcPr>
          <w:p>
            <w:pPr>
              <w:spacing w:after="0"/>
              <w:rPr>
                <w:sz w:val="14"/>
                <w:szCs w:val="14"/>
                <w:color w:val="auto"/>
              </w:rPr>
            </w:pPr>
          </w:p>
        </w:tc>
        <w:tc>
          <w:tcPr>
            <w:tcW w:w="740" w:type="dxa"/>
            <w:vAlign w:val="bottom"/>
            <w:tcBorders>
              <w:top w:val="single" w:sz="8" w:color="auto"/>
            </w:tcBorders>
          </w:tcPr>
          <w:p>
            <w:pPr>
              <w:jc w:val="right"/>
              <w:ind w:right="147"/>
              <w:spacing w:after="0"/>
              <w:rPr>
                <w:sz w:val="20"/>
                <w:szCs w:val="20"/>
                <w:color w:val="auto"/>
              </w:rPr>
            </w:pPr>
            <w:r>
              <w:rPr>
                <w:rFonts w:ascii="Arial" w:cs="Arial" w:eastAsia="Arial" w:hAnsi="Arial"/>
                <w:sz w:val="13"/>
                <w:szCs w:val="13"/>
                <w:color w:val="auto"/>
              </w:rPr>
              <w:t>United</w:t>
            </w:r>
          </w:p>
        </w:tc>
        <w:tc>
          <w:tcPr>
            <w:tcW w:w="720" w:type="dxa"/>
            <w:vAlign w:val="bottom"/>
            <w:tcBorders>
              <w:top w:val="single" w:sz="8" w:color="auto"/>
            </w:tcBorders>
          </w:tcPr>
          <w:p>
            <w:pPr>
              <w:jc w:val="right"/>
              <w:ind w:right="147"/>
              <w:spacing w:after="0"/>
              <w:rPr>
                <w:sz w:val="20"/>
                <w:szCs w:val="20"/>
                <w:color w:val="auto"/>
              </w:rPr>
            </w:pPr>
            <w:r>
              <w:rPr>
                <w:rFonts w:ascii="Arial" w:cs="Arial" w:eastAsia="Arial" w:hAnsi="Arial"/>
                <w:sz w:val="13"/>
                <w:szCs w:val="13"/>
                <w:color w:val="auto"/>
                <w:w w:val="97"/>
              </w:rPr>
              <w:t>Canada/</w:t>
            </w:r>
          </w:p>
        </w:tc>
        <w:tc>
          <w:tcPr>
            <w:tcW w:w="6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08"/>
              <w:spacing w:after="0"/>
              <w:rPr>
                <w:sz w:val="20"/>
                <w:szCs w:val="20"/>
                <w:color w:val="auto"/>
              </w:rPr>
            </w:pPr>
            <w:r>
              <w:rPr>
                <w:rFonts w:ascii="Arial" w:cs="Arial" w:eastAsia="Arial" w:hAnsi="Arial"/>
                <w:sz w:val="13"/>
                <w:szCs w:val="13"/>
                <w:color w:val="auto"/>
                <w:w w:val="99"/>
              </w:rPr>
              <w:t>Australia/</w:t>
            </w: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tcPr>
          <w:p>
            <w:pPr>
              <w:ind w:left="180"/>
              <w:spacing w:after="0"/>
              <w:rPr>
                <w:sz w:val="20"/>
                <w:szCs w:val="20"/>
                <w:color w:val="auto"/>
              </w:rPr>
            </w:pPr>
            <w:r>
              <w:rPr>
                <w:rFonts w:ascii="Arial" w:cs="Arial" w:eastAsia="Arial" w:hAnsi="Arial"/>
                <w:sz w:val="13"/>
                <w:szCs w:val="13"/>
                <w:color w:val="auto"/>
              </w:rPr>
              <w:t>Canada/</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9"/>
              </w:rPr>
              <w:t>Canada/</w:t>
            </w:r>
          </w:p>
        </w:tc>
        <w:tc>
          <w:tcPr>
            <w:tcW w:w="300" w:type="dxa"/>
            <w:vAlign w:val="bottom"/>
          </w:tcPr>
          <w:p>
            <w:pPr>
              <w:spacing w:after="0"/>
              <w:rPr>
                <w:sz w:val="14"/>
                <w:szCs w:val="14"/>
                <w:color w:val="auto"/>
              </w:rPr>
            </w:pPr>
          </w:p>
        </w:tc>
      </w:tr>
      <w:tr>
        <w:trPr>
          <w:trHeight w:val="185"/>
        </w:trPr>
        <w:tc>
          <w:tcPr>
            <w:tcW w:w="26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7"/>
              <w:spacing w:after="0"/>
              <w:rPr>
                <w:sz w:val="20"/>
                <w:szCs w:val="20"/>
                <w:color w:val="auto"/>
              </w:rPr>
            </w:pPr>
            <w:r>
              <w:rPr>
                <w:rFonts w:ascii="Arial" w:cs="Arial" w:eastAsia="Arial" w:hAnsi="Arial"/>
                <w:sz w:val="13"/>
                <w:szCs w:val="13"/>
                <w:color w:val="auto"/>
              </w:rPr>
              <w:t>States</w:t>
            </w:r>
          </w:p>
        </w:tc>
        <w:tc>
          <w:tcPr>
            <w:tcW w:w="720" w:type="dxa"/>
            <w:vAlign w:val="bottom"/>
            <w:tcBorders>
              <w:bottom w:val="single" w:sz="8" w:color="auto"/>
            </w:tcBorders>
          </w:tcPr>
          <w:p>
            <w:pPr>
              <w:jc w:val="right"/>
              <w:ind w:right="127"/>
              <w:spacing w:after="0"/>
              <w:rPr>
                <w:sz w:val="20"/>
                <w:szCs w:val="20"/>
                <w:color w:val="auto"/>
              </w:rPr>
            </w:pPr>
            <w:r>
              <w:rPr>
                <w:rFonts w:ascii="Arial" w:cs="Arial" w:eastAsia="Arial" w:hAnsi="Arial"/>
                <w:sz w:val="13"/>
                <w:szCs w:val="13"/>
                <w:color w:val="auto"/>
                <w:w w:val="98"/>
              </w:rPr>
              <w:t>S. Amer.</w:t>
            </w:r>
          </w:p>
        </w:tc>
        <w:tc>
          <w:tcPr>
            <w:tcW w:w="640" w:type="dxa"/>
            <w:vAlign w:val="bottom"/>
            <w:tcBorders>
              <w:bottom w:val="single" w:sz="8" w:color="auto"/>
            </w:tcBorders>
          </w:tcPr>
          <w:p>
            <w:pPr>
              <w:jc w:val="right"/>
              <w:ind w:right="127"/>
              <w:spacing w:after="0"/>
              <w:rPr>
                <w:sz w:val="20"/>
                <w:szCs w:val="20"/>
                <w:color w:val="auto"/>
              </w:rPr>
            </w:pPr>
            <w:r>
              <w:rPr>
                <w:rFonts w:ascii="Arial" w:cs="Arial" w:eastAsia="Arial" w:hAnsi="Arial"/>
                <w:sz w:val="13"/>
                <w:szCs w:val="13"/>
                <w:color w:val="auto"/>
              </w:rPr>
              <w:t>Europe</w:t>
            </w:r>
          </w:p>
        </w:tc>
        <w:tc>
          <w:tcPr>
            <w:tcW w:w="760" w:type="dxa"/>
            <w:vAlign w:val="bottom"/>
            <w:tcBorders>
              <w:bottom w:val="single" w:sz="8" w:color="auto"/>
            </w:tcBorders>
          </w:tcPr>
          <w:p>
            <w:pPr>
              <w:jc w:val="right"/>
              <w:ind w:right="227"/>
              <w:spacing w:after="0"/>
              <w:rPr>
                <w:sz w:val="20"/>
                <w:szCs w:val="20"/>
                <w:color w:val="auto"/>
              </w:rPr>
            </w:pPr>
            <w:r>
              <w:rPr>
                <w:rFonts w:ascii="Arial" w:cs="Arial" w:eastAsia="Arial" w:hAnsi="Arial"/>
                <w:sz w:val="13"/>
                <w:szCs w:val="13"/>
                <w:color w:val="auto"/>
              </w:rPr>
              <w:t>Africa</w:t>
            </w:r>
          </w:p>
        </w:tc>
        <w:tc>
          <w:tcPr>
            <w:tcW w:w="620" w:type="dxa"/>
            <w:vAlign w:val="bottom"/>
            <w:tcBorders>
              <w:bottom w:val="single" w:sz="8" w:color="auto"/>
            </w:tcBorders>
          </w:tcPr>
          <w:p>
            <w:pPr>
              <w:jc w:val="right"/>
              <w:ind w:right="207"/>
              <w:spacing w:after="0"/>
              <w:rPr>
                <w:sz w:val="20"/>
                <w:szCs w:val="20"/>
                <w:color w:val="auto"/>
              </w:rPr>
            </w:pPr>
            <w:r>
              <w:rPr>
                <w:rFonts w:ascii="Arial" w:cs="Arial" w:eastAsia="Arial" w:hAnsi="Arial"/>
                <w:sz w:val="13"/>
                <w:szCs w:val="13"/>
                <w:color w:val="auto"/>
              </w:rPr>
              <w:t>Asia</w:t>
            </w: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3"/>
                <w:szCs w:val="13"/>
                <w:color w:val="auto"/>
                <w:w w:val="99"/>
              </w:rPr>
              <w:t>Oceania</w:t>
            </w:r>
          </w:p>
        </w:tc>
        <w:tc>
          <w:tcPr>
            <w:tcW w:w="7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3"/>
                <w:szCs w:val="13"/>
                <w:color w:val="auto"/>
              </w:rPr>
              <w:t>Total</w:t>
            </w:r>
          </w:p>
        </w:tc>
        <w:tc>
          <w:tcPr>
            <w:tcW w:w="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color w:val="auto"/>
                <w:w w:val="95"/>
              </w:rPr>
              <w:t>Worldwide</w:t>
            </w:r>
          </w:p>
        </w:tc>
        <w:tc>
          <w:tcPr>
            <w:tcW w:w="112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color w:val="auto"/>
              </w:rPr>
              <w:t>S. Amer.</w:t>
            </w:r>
          </w:p>
        </w:tc>
        <w:tc>
          <w:tcPr>
            <w:tcW w:w="132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3"/>
                <w:szCs w:val="13"/>
                <w:color w:val="auto"/>
                <w:w w:val="90"/>
              </w:rPr>
              <w:t>S. Amer.</w:t>
            </w:r>
          </w:p>
        </w:tc>
      </w:tr>
      <w:tr>
        <w:trPr>
          <w:trHeight w:val="171"/>
        </w:trPr>
        <w:tc>
          <w:tcPr>
            <w:tcW w:w="2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3"/>
                <w:szCs w:val="13"/>
                <w:i w:val="1"/>
                <w:iCs w:val="1"/>
                <w:color w:val="auto"/>
              </w:rPr>
              <w:t>(millions of barrels)</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7"/>
        </w:trPr>
        <w:tc>
          <w:tcPr>
            <w:tcW w:w="2640" w:type="dxa"/>
            <w:vAlign w:val="bottom"/>
          </w:tcPr>
          <w:p>
            <w:pPr>
              <w:spacing w:after="0"/>
              <w:rPr>
                <w:sz w:val="20"/>
                <w:szCs w:val="20"/>
                <w:color w:val="auto"/>
              </w:rPr>
            </w:pPr>
            <w:r>
              <w:rPr>
                <w:rFonts w:ascii="Arial" w:cs="Arial" w:eastAsia="Arial" w:hAnsi="Arial"/>
                <w:sz w:val="15"/>
                <w:szCs w:val="15"/>
                <w:color w:val="auto"/>
              </w:rPr>
              <w:t>Net proved developed and</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undeveloped reserves of</w:t>
            </w: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consolidated subsidiaries</w:t>
            </w: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2640" w:type="dxa"/>
            <w:vAlign w:val="bottom"/>
          </w:tcPr>
          <w:p>
            <w:pPr>
              <w:spacing w:after="0"/>
              <w:rPr>
                <w:sz w:val="20"/>
                <w:szCs w:val="20"/>
                <w:color w:val="auto"/>
              </w:rPr>
            </w:pPr>
            <w:r>
              <w:rPr>
                <w:rFonts w:ascii="Arial" w:cs="Arial" w:eastAsia="Arial" w:hAnsi="Arial"/>
                <w:sz w:val="15"/>
                <w:szCs w:val="15"/>
                <w:color w:val="auto"/>
              </w:rPr>
              <w:t>January 1, 2014</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2,008</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284</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245</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1,193</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2,163</w:t>
            </w:r>
          </w:p>
        </w:tc>
        <w:tc>
          <w:tcPr>
            <w:tcW w:w="740" w:type="dxa"/>
            <w:vAlign w:val="bottom"/>
          </w:tcPr>
          <w:p>
            <w:pPr>
              <w:jc w:val="right"/>
              <w:ind w:right="88"/>
              <w:spacing w:after="0"/>
              <w:rPr>
                <w:sz w:val="20"/>
                <w:szCs w:val="20"/>
                <w:color w:val="auto"/>
              </w:rPr>
            </w:pPr>
            <w:r>
              <w:rPr>
                <w:rFonts w:ascii="Arial" w:cs="Arial" w:eastAsia="Arial" w:hAnsi="Arial"/>
                <w:sz w:val="15"/>
                <w:szCs w:val="15"/>
                <w:color w:val="auto"/>
              </w:rPr>
              <w:t>155</w:t>
            </w:r>
          </w:p>
        </w:tc>
        <w:tc>
          <w:tcPr>
            <w:tcW w:w="580" w:type="dxa"/>
            <w:vAlign w:val="bottom"/>
          </w:tcPr>
          <w:p>
            <w:pPr>
              <w:jc w:val="right"/>
              <w:spacing w:after="0"/>
              <w:rPr>
                <w:sz w:val="20"/>
                <w:szCs w:val="20"/>
                <w:color w:val="auto"/>
              </w:rPr>
            </w:pPr>
            <w:r>
              <w:rPr>
                <w:rFonts w:ascii="Arial" w:cs="Arial" w:eastAsia="Arial" w:hAnsi="Arial"/>
                <w:sz w:val="15"/>
                <w:szCs w:val="15"/>
                <w:color w:val="auto"/>
              </w:rPr>
              <w:t>6,048</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1,023</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3,630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579</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Revisions</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37</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23</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9</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42</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42</w:t>
            </w:r>
          </w:p>
        </w:tc>
        <w:tc>
          <w:tcPr>
            <w:tcW w:w="74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153</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59</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669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(23)</w:t>
            </w:r>
          </w:p>
        </w:tc>
        <w:tc>
          <w:tcPr>
            <w:tcW w:w="300" w:type="dxa"/>
            <w:vAlign w:val="bottom"/>
          </w:tcPr>
          <w:p>
            <w:pPr>
              <w:spacing w:after="0"/>
              <w:rPr>
                <w:sz w:val="15"/>
                <w:szCs w:val="15"/>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Improved recovery</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Purchases</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42</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42</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Sales</w:t>
            </w:r>
          </w:p>
        </w:tc>
        <w:tc>
          <w:tcPr>
            <w:tcW w:w="740" w:type="dxa"/>
            <w:vAlign w:val="bottom"/>
          </w:tcPr>
          <w:p>
            <w:pPr>
              <w:jc w:val="right"/>
              <w:spacing w:after="0"/>
              <w:rPr>
                <w:sz w:val="20"/>
                <w:szCs w:val="20"/>
                <w:color w:val="auto"/>
              </w:rPr>
            </w:pPr>
            <w:r>
              <w:rPr>
                <w:rFonts w:ascii="Arial" w:cs="Arial" w:eastAsia="Arial" w:hAnsi="Arial"/>
                <w:sz w:val="15"/>
                <w:szCs w:val="15"/>
                <w:color w:val="auto"/>
              </w:rPr>
              <w:t>(24)</w:t>
            </w: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(11)</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w:t>
            </w:r>
          </w:p>
        </w:tc>
        <w:tc>
          <w:tcPr>
            <w:tcW w:w="74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(36)</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(14)</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Extensions/discoveries</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156</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5</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38</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35</w:t>
            </w:r>
          </w:p>
        </w:tc>
        <w:tc>
          <w:tcPr>
            <w:tcW w:w="74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234</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79</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7"/>
        </w:trPr>
        <w:tc>
          <w:tcPr>
            <w:tcW w:w="2640" w:type="dxa"/>
            <w:vAlign w:val="bottom"/>
          </w:tcPr>
          <w:p>
            <w:pPr>
              <w:ind w:left="240"/>
              <w:spacing w:after="0"/>
              <w:rPr>
                <w:sz w:val="20"/>
                <w:szCs w:val="20"/>
                <w:color w:val="auto"/>
              </w:rPr>
            </w:pPr>
            <w:r>
              <w:rPr>
                <w:rFonts w:ascii="Arial" w:cs="Arial" w:eastAsia="Arial" w:hAnsi="Arial"/>
                <w:sz w:val="15"/>
                <w:szCs w:val="15"/>
                <w:color w:val="auto"/>
              </w:rPr>
              <w:t>Production</w:t>
            </w:r>
          </w:p>
        </w:tc>
        <w:tc>
          <w:tcPr>
            <w:tcW w:w="740" w:type="dxa"/>
            <w:vAlign w:val="bottom"/>
          </w:tcPr>
          <w:p>
            <w:pPr>
              <w:jc w:val="right"/>
              <w:spacing w:after="0"/>
              <w:rPr>
                <w:sz w:val="20"/>
                <w:szCs w:val="20"/>
                <w:color w:val="auto"/>
              </w:rPr>
            </w:pPr>
            <w:r>
              <w:rPr>
                <w:rFonts w:ascii="Arial" w:cs="Arial" w:eastAsia="Arial" w:hAnsi="Arial"/>
                <w:sz w:val="15"/>
                <w:szCs w:val="15"/>
                <w:color w:val="auto"/>
              </w:rPr>
              <w:t>(111)</w:t>
            </w: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(19)</w:t>
            </w:r>
          </w:p>
        </w:tc>
        <w:tc>
          <w:tcPr>
            <w:tcW w:w="640" w:type="dxa"/>
            <w:vAlign w:val="bottom"/>
          </w:tcPr>
          <w:p>
            <w:pPr>
              <w:jc w:val="right"/>
              <w:spacing w:after="0"/>
              <w:rPr>
                <w:sz w:val="20"/>
                <w:szCs w:val="20"/>
                <w:color w:val="auto"/>
              </w:rPr>
            </w:pPr>
            <w:r>
              <w:rPr>
                <w:rFonts w:ascii="Arial" w:cs="Arial" w:eastAsia="Arial" w:hAnsi="Arial"/>
                <w:sz w:val="15"/>
                <w:szCs w:val="15"/>
                <w:color w:val="auto"/>
              </w:rPr>
              <w:t>(55)</w:t>
            </w:r>
          </w:p>
        </w:tc>
        <w:tc>
          <w:tcPr>
            <w:tcW w:w="760" w:type="dxa"/>
            <w:vAlign w:val="bottom"/>
          </w:tcPr>
          <w:p>
            <w:pPr>
              <w:jc w:val="right"/>
              <w:ind w:right="47"/>
              <w:spacing w:after="0"/>
              <w:rPr>
                <w:sz w:val="20"/>
                <w:szCs w:val="20"/>
                <w:color w:val="auto"/>
              </w:rPr>
            </w:pPr>
            <w:r>
              <w:rPr>
                <w:rFonts w:ascii="Arial" w:cs="Arial" w:eastAsia="Arial" w:hAnsi="Arial"/>
                <w:sz w:val="15"/>
                <w:szCs w:val="15"/>
                <w:color w:val="auto"/>
              </w:rPr>
              <w:t>(171)</w:t>
            </w:r>
          </w:p>
        </w:tc>
        <w:tc>
          <w:tcPr>
            <w:tcW w:w="620" w:type="dxa"/>
            <w:vAlign w:val="bottom"/>
          </w:tcPr>
          <w:p>
            <w:pPr>
              <w:jc w:val="right"/>
              <w:spacing w:after="0"/>
              <w:rPr>
                <w:sz w:val="20"/>
                <w:szCs w:val="20"/>
                <w:color w:val="auto"/>
              </w:rPr>
            </w:pPr>
            <w:r>
              <w:rPr>
                <w:rFonts w:ascii="Arial" w:cs="Arial" w:eastAsia="Arial" w:hAnsi="Arial"/>
                <w:sz w:val="15"/>
                <w:szCs w:val="15"/>
                <w:color w:val="auto"/>
              </w:rPr>
              <w:t>(107)</w:t>
            </w:r>
          </w:p>
        </w:tc>
        <w:tc>
          <w:tcPr>
            <w:tcW w:w="740" w:type="dxa"/>
            <w:vAlign w:val="bottom"/>
          </w:tcPr>
          <w:p>
            <w:pPr>
              <w:jc w:val="right"/>
              <w:ind w:right="28"/>
              <w:spacing w:after="0"/>
              <w:rPr>
                <w:sz w:val="20"/>
                <w:szCs w:val="20"/>
                <w:color w:val="auto"/>
              </w:rPr>
            </w:pPr>
            <w:r>
              <w:rPr>
                <w:rFonts w:ascii="Arial" w:cs="Arial" w:eastAsia="Arial" w:hAnsi="Arial"/>
                <w:sz w:val="15"/>
                <w:szCs w:val="15"/>
                <w:color w:val="auto"/>
              </w:rPr>
              <w:t>(14)</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(477)</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(66)</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(66)</w:t>
            </w:r>
          </w:p>
        </w:tc>
        <w:tc>
          <w:tcPr>
            <w:tcW w:w="22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(22)</w:t>
            </w:r>
          </w:p>
        </w:tc>
        <w:tc>
          <w:tcPr>
            <w:tcW w:w="300" w:type="dxa"/>
            <w:vAlign w:val="bottom"/>
          </w:tcPr>
          <w:p>
            <w:pPr>
              <w:spacing w:after="0"/>
              <w:rPr>
                <w:sz w:val="16"/>
                <w:szCs w:val="16"/>
                <w:color w:val="auto"/>
              </w:rPr>
            </w:pPr>
          </w:p>
        </w:tc>
      </w:tr>
      <w:tr>
        <w:trPr>
          <w:trHeight w:val="181"/>
        </w:trPr>
        <w:tc>
          <w:tcPr>
            <w:tcW w:w="2640" w:type="dxa"/>
            <w:vAlign w:val="bottom"/>
          </w:tcPr>
          <w:p>
            <w:pPr>
              <w:spacing w:after="0" w:line="167" w:lineRule="exact"/>
              <w:rPr>
                <w:sz w:val="20"/>
                <w:szCs w:val="20"/>
                <w:color w:val="auto"/>
              </w:rPr>
            </w:pPr>
            <w:r>
              <w:rPr>
                <w:rFonts w:ascii="Arial" w:cs="Arial" w:eastAsia="Arial" w:hAnsi="Arial"/>
                <w:sz w:val="15"/>
                <w:szCs w:val="15"/>
                <w:color w:val="auto"/>
              </w:rPr>
              <w:t>December 31, 2014</w:t>
            </w:r>
          </w:p>
        </w:tc>
        <w:tc>
          <w:tcPr>
            <w:tcW w:w="74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rPr>
              <w:t>2,108</w:t>
            </w:r>
          </w:p>
        </w:tc>
        <w:tc>
          <w:tcPr>
            <w:tcW w:w="7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rPr>
              <w:t>282</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199</w:t>
            </w:r>
          </w:p>
        </w:tc>
        <w:tc>
          <w:tcPr>
            <w:tcW w:w="76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rPr>
              <w:t>1,102</w:t>
            </w:r>
          </w:p>
        </w:tc>
        <w:tc>
          <w:tcPr>
            <w:tcW w:w="62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rPr>
              <w:t>2,132</w:t>
            </w:r>
          </w:p>
        </w:tc>
        <w:tc>
          <w:tcPr>
            <w:tcW w:w="7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5"/>
                <w:szCs w:val="15"/>
                <w:color w:val="auto"/>
              </w:rPr>
              <w:t>141</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5,964</w:t>
            </w:r>
          </w:p>
        </w:tc>
        <w:tc>
          <w:tcPr>
            <w:tcW w:w="12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1,092</w:t>
            </w:r>
          </w:p>
        </w:tc>
        <w:tc>
          <w:tcPr>
            <w:tcW w:w="12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4,233</w:t>
            </w:r>
          </w:p>
        </w:tc>
        <w:tc>
          <w:tcPr>
            <w:tcW w:w="100" w:type="dxa"/>
            <w:vAlign w:val="bottom"/>
            <w:tcBorders>
              <w:top w:val="single" w:sz="8" w:color="auto"/>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534</w:t>
            </w:r>
          </w:p>
        </w:tc>
        <w:tc>
          <w:tcPr>
            <w:tcW w:w="22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r>
      <w:tr>
        <w:trPr>
          <w:trHeight w:val="352"/>
        </w:trPr>
        <w:tc>
          <w:tcPr>
            <w:tcW w:w="2640" w:type="dxa"/>
            <w:vAlign w:val="bottom"/>
          </w:tcPr>
          <w:p>
            <w:pPr>
              <w:spacing w:after="0"/>
              <w:rPr>
                <w:sz w:val="20"/>
                <w:szCs w:val="20"/>
                <w:color w:val="auto"/>
              </w:rPr>
            </w:pPr>
            <w:r>
              <w:rPr>
                <w:rFonts w:ascii="Arial" w:cs="Arial" w:eastAsia="Arial" w:hAnsi="Arial"/>
                <w:sz w:val="15"/>
                <w:szCs w:val="15"/>
                <w:color w:val="auto"/>
              </w:rPr>
              <w:t>Proportional interest in proved</w:t>
            </w: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reserves of equity companies</w:t>
            </w: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2640" w:type="dxa"/>
            <w:vAlign w:val="bottom"/>
          </w:tcPr>
          <w:p>
            <w:pPr>
              <w:spacing w:after="0"/>
              <w:rPr>
                <w:sz w:val="20"/>
                <w:szCs w:val="20"/>
                <w:color w:val="auto"/>
              </w:rPr>
            </w:pPr>
            <w:r>
              <w:rPr>
                <w:rFonts w:ascii="Arial" w:cs="Arial" w:eastAsia="Arial" w:hAnsi="Arial"/>
                <w:sz w:val="15"/>
                <w:szCs w:val="15"/>
                <w:color w:val="auto"/>
              </w:rPr>
              <w:t>January 1, 2014</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330</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28</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1,145</w:t>
            </w:r>
          </w:p>
        </w:tc>
        <w:tc>
          <w:tcPr>
            <w:tcW w:w="74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1,503</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456</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Revisions</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19</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1</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41</w:t>
            </w:r>
          </w:p>
        </w:tc>
        <w:tc>
          <w:tcPr>
            <w:tcW w:w="74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61</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Improved recovery</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Purchases</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1</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Sales</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2640" w:type="dxa"/>
            <w:vAlign w:val="bottom"/>
          </w:tcPr>
          <w:p>
            <w:pPr>
              <w:ind w:left="240"/>
              <w:spacing w:after="0"/>
              <w:rPr>
                <w:sz w:val="20"/>
                <w:szCs w:val="20"/>
                <w:color w:val="auto"/>
              </w:rPr>
            </w:pPr>
            <w:r>
              <w:rPr>
                <w:rFonts w:ascii="Arial" w:cs="Arial" w:eastAsia="Arial" w:hAnsi="Arial"/>
                <w:sz w:val="15"/>
                <w:szCs w:val="15"/>
                <w:color w:val="auto"/>
              </w:rPr>
              <w:t>Extensions/discoveries</w:t>
            </w:r>
          </w:p>
        </w:tc>
        <w:tc>
          <w:tcPr>
            <w:tcW w:w="740" w:type="dxa"/>
            <w:vAlign w:val="bottom"/>
          </w:tcPr>
          <w:p>
            <w:pPr>
              <w:jc w:val="right"/>
              <w:ind w:right="27"/>
              <w:spacing w:after="0"/>
              <w:rPr>
                <w:sz w:val="20"/>
                <w:szCs w:val="20"/>
                <w:color w:val="auto"/>
              </w:rPr>
            </w:pPr>
            <w:r>
              <w:rPr>
                <w:rFonts w:ascii="Arial" w:cs="Arial" w:eastAsia="Arial" w:hAnsi="Arial"/>
                <w:sz w:val="15"/>
                <w:szCs w:val="15"/>
                <w:color w:val="auto"/>
              </w:rPr>
              <w:t>1</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7"/>
        </w:trPr>
        <w:tc>
          <w:tcPr>
            <w:tcW w:w="2640" w:type="dxa"/>
            <w:vAlign w:val="bottom"/>
          </w:tcPr>
          <w:p>
            <w:pPr>
              <w:ind w:left="240"/>
              <w:spacing w:after="0"/>
              <w:rPr>
                <w:sz w:val="20"/>
                <w:szCs w:val="20"/>
                <w:color w:val="auto"/>
              </w:rPr>
            </w:pPr>
            <w:r>
              <w:rPr>
                <w:rFonts w:ascii="Arial" w:cs="Arial" w:eastAsia="Arial" w:hAnsi="Arial"/>
                <w:sz w:val="15"/>
                <w:szCs w:val="15"/>
                <w:color w:val="auto"/>
              </w:rPr>
              <w:t>Production</w:t>
            </w:r>
          </w:p>
        </w:tc>
        <w:tc>
          <w:tcPr>
            <w:tcW w:w="740" w:type="dxa"/>
            <w:vAlign w:val="bottom"/>
          </w:tcPr>
          <w:p>
            <w:pPr>
              <w:jc w:val="right"/>
              <w:spacing w:after="0"/>
              <w:rPr>
                <w:sz w:val="20"/>
                <w:szCs w:val="20"/>
                <w:color w:val="auto"/>
              </w:rPr>
            </w:pPr>
            <w:r>
              <w:rPr>
                <w:rFonts w:ascii="Arial" w:cs="Arial" w:eastAsia="Arial" w:hAnsi="Arial"/>
                <w:sz w:val="15"/>
                <w:szCs w:val="15"/>
                <w:color w:val="auto"/>
              </w:rPr>
              <w:t>(23)</w:t>
            </w:r>
          </w:p>
        </w:tc>
        <w:tc>
          <w:tcPr>
            <w:tcW w:w="72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(86)</w:t>
            </w:r>
          </w:p>
        </w:tc>
        <w:tc>
          <w:tcPr>
            <w:tcW w:w="74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(111)</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(26)</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1"/>
        </w:trPr>
        <w:tc>
          <w:tcPr>
            <w:tcW w:w="2640" w:type="dxa"/>
            <w:vAlign w:val="bottom"/>
          </w:tcPr>
          <w:p>
            <w:pPr>
              <w:spacing w:after="0" w:line="167" w:lineRule="exact"/>
              <w:rPr>
                <w:sz w:val="20"/>
                <w:szCs w:val="20"/>
                <w:color w:val="auto"/>
              </w:rPr>
            </w:pPr>
            <w:r>
              <w:rPr>
                <w:rFonts w:ascii="Arial" w:cs="Arial" w:eastAsia="Arial" w:hAnsi="Arial"/>
                <w:sz w:val="15"/>
                <w:szCs w:val="15"/>
                <w:color w:val="auto"/>
              </w:rPr>
              <w:t>December 31, 2014</w:t>
            </w:r>
          </w:p>
        </w:tc>
        <w:tc>
          <w:tcPr>
            <w:tcW w:w="74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rPr>
              <w:t>328</w:t>
            </w:r>
          </w:p>
        </w:tc>
        <w:tc>
          <w:tcPr>
            <w:tcW w:w="7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27</w:t>
            </w:r>
          </w:p>
        </w:tc>
        <w:tc>
          <w:tcPr>
            <w:tcW w:w="76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rPr>
              <w:t>1,100</w:t>
            </w:r>
          </w:p>
        </w:tc>
        <w:tc>
          <w:tcPr>
            <w:tcW w:w="7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5"/>
                <w:szCs w:val="15"/>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1,455</w:t>
            </w:r>
          </w:p>
        </w:tc>
        <w:tc>
          <w:tcPr>
            <w:tcW w:w="12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435</w:t>
            </w:r>
          </w:p>
        </w:tc>
        <w:tc>
          <w:tcPr>
            <w:tcW w:w="12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r>
      <w:tr>
        <w:trPr>
          <w:trHeight w:val="167"/>
        </w:trPr>
        <w:tc>
          <w:tcPr>
            <w:tcW w:w="2640" w:type="dxa"/>
            <w:vAlign w:val="bottom"/>
          </w:tcPr>
          <w:p>
            <w:pPr>
              <w:spacing w:after="0" w:line="167" w:lineRule="exact"/>
              <w:rPr>
                <w:sz w:val="20"/>
                <w:szCs w:val="20"/>
                <w:color w:val="auto"/>
              </w:rPr>
            </w:pPr>
            <w:r>
              <w:rPr>
                <w:rFonts w:ascii="Arial" w:cs="Arial" w:eastAsia="Arial" w:hAnsi="Arial"/>
                <w:sz w:val="15"/>
                <w:szCs w:val="15"/>
                <w:color w:val="auto"/>
              </w:rPr>
              <w:t>Total liquids proved reserves</w:t>
            </w: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90"/>
        </w:trPr>
        <w:tc>
          <w:tcPr>
            <w:tcW w:w="2640" w:type="dxa"/>
            <w:vAlign w:val="bottom"/>
          </w:tcPr>
          <w:p>
            <w:pPr>
              <w:ind w:left="240"/>
              <w:spacing w:after="0"/>
              <w:rPr>
                <w:sz w:val="20"/>
                <w:szCs w:val="20"/>
                <w:color w:val="auto"/>
              </w:rPr>
            </w:pPr>
            <w:r>
              <w:rPr>
                <w:rFonts w:ascii="Arial" w:cs="Arial" w:eastAsia="Arial" w:hAnsi="Arial"/>
                <w:sz w:val="15"/>
                <w:szCs w:val="15"/>
                <w:color w:val="auto"/>
              </w:rPr>
              <w:t>at December 31, 2014</w:t>
            </w:r>
          </w:p>
        </w:tc>
        <w:tc>
          <w:tcPr>
            <w:tcW w:w="7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2,436</w:t>
            </w:r>
          </w:p>
        </w:tc>
        <w:tc>
          <w:tcPr>
            <w:tcW w:w="7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282</w:t>
            </w:r>
          </w:p>
        </w:tc>
        <w:tc>
          <w:tcPr>
            <w:tcW w:w="6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226</w:t>
            </w:r>
          </w:p>
        </w:tc>
        <w:tc>
          <w:tcPr>
            <w:tcW w:w="76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1,102</w:t>
            </w:r>
          </w:p>
        </w:tc>
        <w:tc>
          <w:tcPr>
            <w:tcW w:w="6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3,232</w:t>
            </w: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rPr>
              <w:t>141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7,419</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1,527</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534</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r>
    </w:tbl>
    <w:p>
      <w:pPr>
        <w:spacing w:after="0" w:line="237" w:lineRule="exact"/>
        <w:rPr>
          <w:sz w:val="20"/>
          <w:szCs w:val="20"/>
          <w:color w:val="auto"/>
        </w:rPr>
      </w:pPr>
    </w:p>
    <w:p>
      <w:pPr>
        <w:jc w:val="both"/>
        <w:ind w:left="300" w:hanging="294"/>
        <w:spacing w:after="0" w:line="265" w:lineRule="auto"/>
        <w:tabs>
          <w:tab w:leader="none" w:pos="333" w:val="left"/>
        </w:tabs>
        <w:numPr>
          <w:ilvl w:val="0"/>
          <w:numId w:val="39"/>
        </w:numPr>
        <w:rPr>
          <w:rFonts w:ascii="Arial" w:cs="Arial" w:eastAsia="Arial" w:hAnsi="Arial"/>
          <w:sz w:val="15"/>
          <w:szCs w:val="15"/>
          <w:i w:val="1"/>
          <w:iCs w:val="1"/>
          <w:color w:val="auto"/>
        </w:rPr>
      </w:pPr>
      <w:r>
        <w:rPr>
          <w:rFonts w:ascii="Arial" w:cs="Arial" w:eastAsia="Arial" w:hAnsi="Arial"/>
          <w:sz w:val="15"/>
          <w:szCs w:val="15"/>
          <w:i w:val="1"/>
          <w:iCs w:val="1"/>
          <w:color w:val="auto"/>
        </w:rPr>
        <w:t>Includes total proved reserves attributable to Imperial Oil Limited of 9 million barrels in 2012, 11 million barrels in 2013 and 8 million barrels in 2014, as well as proved d reserves of 9 million barrels in 2012, 9 million barrels in 2013 and 5 million barrels in 2014, and in addition, proved undeveloped reserves of 2 million barrels in 2013 and 3 m 2014, in which there is a 30.4 percent noncontrolling interest.</w:t>
      </w:r>
    </w:p>
    <w:p>
      <w:pPr>
        <w:spacing w:after="0" w:line="200" w:lineRule="exact"/>
        <w:rPr>
          <w:sz w:val="20"/>
          <w:szCs w:val="20"/>
          <w:color w:val="auto"/>
        </w:rPr>
      </w:pPr>
    </w:p>
    <w:p>
      <w:pPr>
        <w:spacing w:after="0" w:line="303"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813" w:right="139" w:bottom="1440" w:gutter="0" w:footer="0" w:header="0"/>
        </w:sectPr>
      </w:pPr>
    </w:p>
    <w:bookmarkStart w:id="105" w:name="page106"/>
    <w:bookmarkEnd w:id="105"/>
    <w:p>
      <w:pPr>
        <w:spacing w:after="0"/>
        <w:rPr>
          <w:sz w:val="20"/>
          <w:szCs w:val="20"/>
          <w:color w:val="auto"/>
        </w:rPr>
      </w:pPr>
      <w:r>
        <w:rPr>
          <w:rFonts w:ascii="Arial" w:cs="Arial" w:eastAsia="Arial" w:hAnsi="Arial"/>
          <w:sz w:val="15"/>
          <w:szCs w:val="15"/>
          <w:b w:val="1"/>
          <w:bCs w:val="1"/>
          <w:color w:val="auto"/>
        </w:rPr>
        <w:t>Crude Oil, Natural Gas Liquids, Bitumen and Synthetic Oil Proved Reserves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694309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43090" cy="762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3"/>
                <w:szCs w:val="13"/>
                <w:color w:val="auto"/>
                <w:w w:val="93"/>
              </w:rPr>
              <w:t>Synthetic</w:t>
            </w:r>
          </w:p>
        </w:tc>
        <w:tc>
          <w:tcPr>
            <w:tcW w:w="0" w:type="dxa"/>
            <w:vAlign w:val="bottom"/>
          </w:tcPr>
          <w:p>
            <w:pPr>
              <w:spacing w:after="0"/>
              <w:rPr>
                <w:sz w:val="1"/>
                <w:szCs w:val="1"/>
                <w:color w:val="auto"/>
              </w:rPr>
            </w:pPr>
          </w:p>
        </w:tc>
      </w:tr>
      <w:tr>
        <w:trPr>
          <w:trHeight w:val="170"/>
        </w:trPr>
        <w:tc>
          <w:tcPr>
            <w:tcW w:w="3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80" w:type="dxa"/>
            <w:vAlign w:val="bottom"/>
            <w:gridSpan w:val="3"/>
          </w:tcPr>
          <w:p>
            <w:pPr>
              <w:jc w:val="right"/>
              <w:ind w:right="427"/>
              <w:spacing w:after="0"/>
              <w:rPr>
                <w:sz w:val="20"/>
                <w:szCs w:val="20"/>
                <w:color w:val="auto"/>
              </w:rPr>
            </w:pPr>
            <w:r>
              <w:rPr>
                <w:rFonts w:ascii="Arial" w:cs="Arial" w:eastAsia="Arial" w:hAnsi="Arial"/>
                <w:sz w:val="13"/>
                <w:szCs w:val="13"/>
                <w:color w:val="auto"/>
                <w:w w:val="98"/>
              </w:rPr>
              <w:t>Crude Oil and Natural Gas Liquids</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Bitumen</w:t>
            </w:r>
          </w:p>
        </w:tc>
        <w:tc>
          <w:tcPr>
            <w:tcW w:w="1080" w:type="dxa"/>
            <w:vAlign w:val="bottom"/>
            <w:gridSpan w:val="3"/>
          </w:tcPr>
          <w:p>
            <w:pPr>
              <w:jc w:val="center"/>
              <w:ind w:right="380"/>
              <w:spacing w:after="0"/>
              <w:rPr>
                <w:sz w:val="20"/>
                <w:szCs w:val="20"/>
                <w:color w:val="auto"/>
              </w:rPr>
            </w:pPr>
            <w:r>
              <w:rPr>
                <w:rFonts w:ascii="Arial" w:cs="Arial" w:eastAsia="Arial" w:hAnsi="Arial"/>
                <w:sz w:val="13"/>
                <w:szCs w:val="13"/>
                <w:color w:val="auto"/>
              </w:rPr>
              <w:t>Oil</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Canada/</w:t>
            </w:r>
          </w:p>
        </w:tc>
        <w:tc>
          <w:tcPr>
            <w:tcW w:w="9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3"/>
                <w:szCs w:val="13"/>
                <w:color w:val="auto"/>
              </w:rPr>
              <w:t>Canada/</w:t>
            </w:r>
          </w:p>
        </w:tc>
        <w:tc>
          <w:tcPr>
            <w:tcW w:w="100" w:type="dxa"/>
            <w:vAlign w:val="bottom"/>
          </w:tcPr>
          <w:p>
            <w:pPr>
              <w:spacing w:after="0"/>
              <w:rPr>
                <w:sz w:val="14"/>
                <w:szCs w:val="14"/>
                <w:color w:val="auto"/>
              </w:rPr>
            </w:pPr>
          </w:p>
        </w:tc>
        <w:tc>
          <w:tcPr>
            <w:tcW w:w="90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3"/>
                <w:szCs w:val="13"/>
                <w:color w:val="auto"/>
                <w:w w:val="85"/>
              </w:rPr>
              <w:t>Canada/</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20" w:type="dxa"/>
            <w:vAlign w:val="bottom"/>
          </w:tcPr>
          <w:p>
            <w:pPr>
              <w:spacing w:after="0"/>
              <w:rPr>
                <w:sz w:val="15"/>
                <w:szCs w:val="15"/>
                <w:color w:val="auto"/>
              </w:rPr>
            </w:pPr>
          </w:p>
        </w:tc>
        <w:tc>
          <w:tcPr>
            <w:tcW w:w="880" w:type="dxa"/>
            <w:vAlign w:val="bottom"/>
          </w:tcPr>
          <w:p>
            <w:pPr>
              <w:jc w:val="right"/>
              <w:ind w:right="227"/>
              <w:spacing w:after="0"/>
              <w:rPr>
                <w:sz w:val="20"/>
                <w:szCs w:val="20"/>
                <w:color w:val="auto"/>
              </w:rPr>
            </w:pPr>
            <w:r>
              <w:rPr>
                <w:rFonts w:ascii="Arial" w:cs="Arial" w:eastAsia="Arial" w:hAnsi="Arial"/>
                <w:sz w:val="13"/>
                <w:szCs w:val="13"/>
                <w:color w:val="auto"/>
              </w:rPr>
              <w:t>United</w:t>
            </w:r>
          </w:p>
        </w:tc>
        <w:tc>
          <w:tcPr>
            <w:tcW w:w="820" w:type="dxa"/>
            <w:vAlign w:val="bottom"/>
          </w:tcPr>
          <w:p>
            <w:pPr>
              <w:jc w:val="right"/>
              <w:ind w:right="268"/>
              <w:spacing w:after="0"/>
              <w:rPr>
                <w:sz w:val="20"/>
                <w:szCs w:val="20"/>
                <w:color w:val="auto"/>
              </w:rPr>
            </w:pPr>
            <w:r>
              <w:rPr>
                <w:rFonts w:ascii="Arial" w:cs="Arial" w:eastAsia="Arial" w:hAnsi="Arial"/>
                <w:sz w:val="13"/>
                <w:szCs w:val="13"/>
                <w:color w:val="auto"/>
              </w:rPr>
              <w:t>South</w:t>
            </w: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jc w:val="right"/>
              <w:ind w:right="87"/>
              <w:spacing w:after="0"/>
              <w:rPr>
                <w:sz w:val="20"/>
                <w:szCs w:val="20"/>
                <w:color w:val="auto"/>
              </w:rPr>
            </w:pPr>
            <w:r>
              <w:rPr>
                <w:rFonts w:ascii="Arial" w:cs="Arial" w:eastAsia="Arial" w:hAnsi="Arial"/>
                <w:sz w:val="13"/>
                <w:szCs w:val="13"/>
                <w:color w:val="auto"/>
              </w:rPr>
              <w:t>Australia/</w:t>
            </w: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South</w:t>
            </w:r>
          </w:p>
        </w:tc>
        <w:tc>
          <w:tcPr>
            <w:tcW w:w="1080" w:type="dxa"/>
            <w:vAlign w:val="bottom"/>
            <w:gridSpan w:val="3"/>
          </w:tcPr>
          <w:p>
            <w:pPr>
              <w:jc w:val="center"/>
              <w:ind w:right="380"/>
              <w:spacing w:after="0"/>
              <w:rPr>
                <w:sz w:val="20"/>
                <w:szCs w:val="20"/>
                <w:color w:val="auto"/>
              </w:rPr>
            </w:pPr>
            <w:r>
              <w:rPr>
                <w:rFonts w:ascii="Arial" w:cs="Arial" w:eastAsia="Arial" w:hAnsi="Arial"/>
                <w:sz w:val="13"/>
                <w:szCs w:val="13"/>
                <w:color w:val="auto"/>
                <w:w w:val="88"/>
              </w:rPr>
              <w:t>South</w:t>
            </w:r>
          </w:p>
        </w:tc>
        <w:tc>
          <w:tcPr>
            <w:tcW w:w="0" w:type="dxa"/>
            <w:vAlign w:val="bottom"/>
          </w:tcPr>
          <w:p>
            <w:pPr>
              <w:spacing w:after="0"/>
              <w:rPr>
                <w:sz w:val="1"/>
                <w:szCs w:val="1"/>
                <w:color w:val="auto"/>
              </w:rPr>
            </w:pPr>
          </w:p>
        </w:tc>
      </w:tr>
      <w:tr>
        <w:trPr>
          <w:trHeight w:val="189"/>
        </w:trPr>
        <w:tc>
          <w:tcPr>
            <w:tcW w:w="3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47"/>
              <w:spacing w:after="0"/>
              <w:rPr>
                <w:sz w:val="20"/>
                <w:szCs w:val="20"/>
                <w:color w:val="auto"/>
              </w:rPr>
            </w:pPr>
            <w:r>
              <w:rPr>
                <w:rFonts w:ascii="Arial" w:cs="Arial" w:eastAsia="Arial" w:hAnsi="Arial"/>
                <w:sz w:val="13"/>
                <w:szCs w:val="13"/>
                <w:color w:val="auto"/>
              </w:rPr>
              <w:t>States</w:t>
            </w: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 xml:space="preserve">Amer. </w:t>
            </w:r>
            <w:r>
              <w:rPr>
                <w:rFonts w:ascii="Arial" w:cs="Arial" w:eastAsia="Arial" w:hAnsi="Arial"/>
                <w:sz w:val="13"/>
                <w:szCs w:val="13"/>
                <w:i w:val="1"/>
                <w:iCs w:val="1"/>
                <w:color w:val="auto"/>
              </w:rPr>
              <w:t>(1)</w:t>
            </w:r>
          </w:p>
        </w:tc>
        <w:tc>
          <w:tcPr>
            <w:tcW w:w="940" w:type="dxa"/>
            <w:vAlign w:val="bottom"/>
            <w:tcBorders>
              <w:bottom w:val="single" w:sz="8" w:color="auto"/>
            </w:tcBorders>
          </w:tcPr>
          <w:p>
            <w:pPr>
              <w:jc w:val="right"/>
              <w:ind w:right="247"/>
              <w:spacing w:after="0"/>
              <w:rPr>
                <w:sz w:val="20"/>
                <w:szCs w:val="20"/>
                <w:color w:val="auto"/>
              </w:rPr>
            </w:pPr>
            <w:r>
              <w:rPr>
                <w:rFonts w:ascii="Arial" w:cs="Arial" w:eastAsia="Arial" w:hAnsi="Arial"/>
                <w:sz w:val="13"/>
                <w:szCs w:val="13"/>
                <w:color w:val="auto"/>
              </w:rPr>
              <w:t>Europe</w:t>
            </w:r>
          </w:p>
        </w:tc>
        <w:tc>
          <w:tcPr>
            <w:tcW w:w="800" w:type="dxa"/>
            <w:vAlign w:val="bottom"/>
            <w:tcBorders>
              <w:bottom w:val="single" w:sz="8" w:color="auto"/>
            </w:tcBorders>
          </w:tcPr>
          <w:p>
            <w:pPr>
              <w:jc w:val="right"/>
              <w:ind w:right="247"/>
              <w:spacing w:after="0"/>
              <w:rPr>
                <w:sz w:val="20"/>
                <w:szCs w:val="20"/>
                <w:color w:val="auto"/>
              </w:rPr>
            </w:pPr>
            <w:r>
              <w:rPr>
                <w:rFonts w:ascii="Arial" w:cs="Arial" w:eastAsia="Arial" w:hAnsi="Arial"/>
                <w:sz w:val="13"/>
                <w:szCs w:val="13"/>
                <w:color w:val="auto"/>
              </w:rPr>
              <w:t>Africa</w:t>
            </w:r>
          </w:p>
        </w:tc>
        <w:tc>
          <w:tcPr>
            <w:tcW w:w="740" w:type="dxa"/>
            <w:vAlign w:val="bottom"/>
            <w:tcBorders>
              <w:bottom w:val="single" w:sz="8" w:color="auto"/>
            </w:tcBorders>
          </w:tcPr>
          <w:p>
            <w:pPr>
              <w:jc w:val="right"/>
              <w:ind w:right="227"/>
              <w:spacing w:after="0"/>
              <w:rPr>
                <w:sz w:val="20"/>
                <w:szCs w:val="20"/>
                <w:color w:val="auto"/>
              </w:rPr>
            </w:pPr>
            <w:r>
              <w:rPr>
                <w:rFonts w:ascii="Arial" w:cs="Arial" w:eastAsia="Arial" w:hAnsi="Arial"/>
                <w:sz w:val="13"/>
                <w:szCs w:val="13"/>
                <w:color w:val="auto"/>
              </w:rPr>
              <w:t>Asia</w:t>
            </w:r>
          </w:p>
        </w:tc>
        <w:tc>
          <w:tcPr>
            <w:tcW w:w="740" w:type="dxa"/>
            <w:vAlign w:val="bottom"/>
            <w:tcBorders>
              <w:bottom w:val="single" w:sz="8" w:color="auto"/>
            </w:tcBorders>
          </w:tcPr>
          <w:p>
            <w:pPr>
              <w:jc w:val="right"/>
              <w:ind w:right="127"/>
              <w:spacing w:after="0"/>
              <w:rPr>
                <w:sz w:val="20"/>
                <w:szCs w:val="20"/>
                <w:color w:val="auto"/>
              </w:rPr>
            </w:pPr>
            <w:r>
              <w:rPr>
                <w:rFonts w:ascii="Arial" w:cs="Arial" w:eastAsia="Arial" w:hAnsi="Arial"/>
                <w:sz w:val="13"/>
                <w:szCs w:val="13"/>
                <w:color w:val="auto"/>
              </w:rPr>
              <w:t>Oceania</w:t>
            </w:r>
          </w:p>
        </w:tc>
        <w:tc>
          <w:tcPr>
            <w:tcW w:w="620" w:type="dxa"/>
            <w:vAlign w:val="bottom"/>
            <w:tcBorders>
              <w:bottom w:val="single" w:sz="8" w:color="auto"/>
            </w:tcBorders>
          </w:tcPr>
          <w:p>
            <w:pPr>
              <w:jc w:val="right"/>
              <w:ind w:right="147"/>
              <w:spacing w:after="0"/>
              <w:rPr>
                <w:sz w:val="20"/>
                <w:szCs w:val="20"/>
                <w:color w:val="auto"/>
              </w:rPr>
            </w:pPr>
            <w:r>
              <w:rPr>
                <w:rFonts w:ascii="Arial" w:cs="Arial" w:eastAsia="Arial" w:hAnsi="Arial"/>
                <w:sz w:val="13"/>
                <w:szCs w:val="13"/>
                <w:color w:val="auto"/>
              </w:rPr>
              <w:t>Total</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color w:val="auto"/>
                <w:w w:val="95"/>
              </w:rPr>
              <w:t xml:space="preserve">Amer. </w:t>
            </w:r>
            <w:r>
              <w:rPr>
                <w:rFonts w:ascii="Arial" w:cs="Arial" w:eastAsia="Arial" w:hAnsi="Arial"/>
                <w:sz w:val="13"/>
                <w:szCs w:val="13"/>
                <w:i w:val="1"/>
                <w:iCs w:val="1"/>
                <w:color w:val="auto"/>
                <w:w w:val="95"/>
              </w:rPr>
              <w:t>(2)</w:t>
            </w:r>
          </w:p>
        </w:tc>
        <w:tc>
          <w:tcPr>
            <w:tcW w:w="108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color w:val="auto"/>
              </w:rPr>
              <w:t xml:space="preserve">Amer. </w:t>
            </w:r>
            <w:r>
              <w:rPr>
                <w:rFonts w:ascii="Arial" w:cs="Arial" w:eastAsia="Arial" w:hAnsi="Arial"/>
                <w:sz w:val="13"/>
                <w:szCs w:val="13"/>
                <w:i w:val="1"/>
                <w:iCs w:val="1"/>
                <w:color w:val="auto"/>
              </w:rPr>
              <w:t>(3)</w:t>
            </w: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gridSpan w:val="2"/>
          </w:tcPr>
          <w:p>
            <w:pPr>
              <w:jc w:val="right"/>
              <w:ind w:right="207"/>
              <w:spacing w:after="0"/>
              <w:rPr>
                <w:sz w:val="20"/>
                <w:szCs w:val="20"/>
                <w:color w:val="auto"/>
              </w:rPr>
            </w:pPr>
            <w:r>
              <w:rPr>
                <w:rFonts w:ascii="Arial" w:cs="Arial" w:eastAsia="Arial" w:hAnsi="Arial"/>
                <w:sz w:val="13"/>
                <w:szCs w:val="13"/>
                <w:i w:val="1"/>
                <w:iCs w:val="1"/>
                <w:color w:val="auto"/>
              </w:rPr>
              <w:t>(millions of barrels)</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220" w:type="dxa"/>
            <w:vAlign w:val="bottom"/>
          </w:tcPr>
          <w:p>
            <w:pPr>
              <w:spacing w:after="0"/>
              <w:rPr>
                <w:sz w:val="20"/>
                <w:szCs w:val="20"/>
                <w:color w:val="auto"/>
              </w:rPr>
            </w:pPr>
            <w:r>
              <w:rPr>
                <w:rFonts w:ascii="Arial" w:cs="Arial" w:eastAsia="Arial" w:hAnsi="Arial"/>
                <w:sz w:val="15"/>
                <w:szCs w:val="15"/>
                <w:color w:val="auto"/>
              </w:rPr>
              <w:t>Proved developed reserves, as of</w:t>
            </w: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20" w:type="dxa"/>
            <w:vAlign w:val="bottom"/>
          </w:tcPr>
          <w:p>
            <w:pPr>
              <w:ind w:left="240"/>
              <w:spacing w:after="0"/>
              <w:rPr>
                <w:sz w:val="20"/>
                <w:szCs w:val="20"/>
                <w:color w:val="auto"/>
              </w:rPr>
            </w:pPr>
            <w:r>
              <w:rPr>
                <w:rFonts w:ascii="Arial" w:cs="Arial" w:eastAsia="Arial" w:hAnsi="Arial"/>
                <w:sz w:val="15"/>
                <w:szCs w:val="15"/>
                <w:color w:val="auto"/>
              </w:rPr>
              <w:t>December 31, 2012</w:t>
            </w: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20" w:type="dxa"/>
            <w:vAlign w:val="bottom"/>
          </w:tcPr>
          <w:p>
            <w:pPr>
              <w:ind w:left="480"/>
              <w:spacing w:after="0"/>
              <w:rPr>
                <w:sz w:val="20"/>
                <w:szCs w:val="20"/>
                <w:color w:val="auto"/>
              </w:rPr>
            </w:pPr>
            <w:r>
              <w:rPr>
                <w:rFonts w:ascii="Arial" w:cs="Arial" w:eastAsia="Arial" w:hAnsi="Arial"/>
                <w:sz w:val="15"/>
                <w:szCs w:val="15"/>
                <w:color w:val="auto"/>
              </w:rPr>
              <w:t>Consolidated subsidiaries</w:t>
            </w: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1,489</w:t>
            </w:r>
          </w:p>
        </w:tc>
        <w:tc>
          <w:tcPr>
            <w:tcW w:w="820" w:type="dxa"/>
            <w:vAlign w:val="bottom"/>
          </w:tcPr>
          <w:p>
            <w:pPr>
              <w:jc w:val="right"/>
              <w:ind w:right="68"/>
              <w:spacing w:after="0"/>
              <w:rPr>
                <w:sz w:val="20"/>
                <w:szCs w:val="20"/>
                <w:color w:val="auto"/>
              </w:rPr>
            </w:pPr>
            <w:r>
              <w:rPr>
                <w:rFonts w:ascii="Arial" w:cs="Arial" w:eastAsia="Arial" w:hAnsi="Arial"/>
                <w:sz w:val="15"/>
                <w:szCs w:val="15"/>
                <w:color w:val="auto"/>
              </w:rPr>
              <w:t>124</w:t>
            </w:r>
          </w:p>
        </w:tc>
        <w:tc>
          <w:tcPr>
            <w:tcW w:w="940" w:type="dxa"/>
            <w:vAlign w:val="bottom"/>
          </w:tcPr>
          <w:p>
            <w:pPr>
              <w:jc w:val="right"/>
              <w:ind w:right="67"/>
              <w:spacing w:after="0"/>
              <w:rPr>
                <w:sz w:val="20"/>
                <w:szCs w:val="20"/>
                <w:color w:val="auto"/>
              </w:rPr>
            </w:pPr>
            <w:r>
              <w:rPr>
                <w:rFonts w:ascii="Arial" w:cs="Arial" w:eastAsia="Arial" w:hAnsi="Arial"/>
                <w:sz w:val="15"/>
                <w:szCs w:val="15"/>
                <w:color w:val="auto"/>
              </w:rPr>
              <w:t>268</w:t>
            </w:r>
          </w:p>
        </w:tc>
        <w:tc>
          <w:tcPr>
            <w:tcW w:w="800" w:type="dxa"/>
            <w:vAlign w:val="bottom"/>
          </w:tcPr>
          <w:p>
            <w:pPr>
              <w:jc w:val="right"/>
              <w:ind w:right="67"/>
              <w:spacing w:after="0"/>
              <w:rPr>
                <w:sz w:val="20"/>
                <w:szCs w:val="20"/>
                <w:color w:val="auto"/>
              </w:rPr>
            </w:pPr>
            <w:r>
              <w:rPr>
                <w:rFonts w:ascii="Arial" w:cs="Arial" w:eastAsia="Arial" w:hAnsi="Arial"/>
                <w:sz w:val="15"/>
                <w:szCs w:val="15"/>
                <w:color w:val="auto"/>
              </w:rPr>
              <w:t>1,004</w:t>
            </w:r>
          </w:p>
        </w:tc>
        <w:tc>
          <w:tcPr>
            <w:tcW w:w="740" w:type="dxa"/>
            <w:vAlign w:val="bottom"/>
          </w:tcPr>
          <w:p>
            <w:pPr>
              <w:jc w:val="right"/>
              <w:spacing w:after="0"/>
              <w:rPr>
                <w:sz w:val="20"/>
                <w:szCs w:val="20"/>
                <w:color w:val="auto"/>
              </w:rPr>
            </w:pPr>
            <w:r>
              <w:rPr>
                <w:rFonts w:ascii="Arial" w:cs="Arial" w:eastAsia="Arial" w:hAnsi="Arial"/>
                <w:sz w:val="15"/>
                <w:szCs w:val="15"/>
                <w:color w:val="auto"/>
              </w:rPr>
              <w:t>1,080</w:t>
            </w: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116</w:t>
            </w:r>
          </w:p>
        </w:tc>
        <w:tc>
          <w:tcPr>
            <w:tcW w:w="620" w:type="dxa"/>
            <w:vAlign w:val="bottom"/>
          </w:tcPr>
          <w:p>
            <w:pPr>
              <w:jc w:val="right"/>
              <w:spacing w:after="0"/>
              <w:rPr>
                <w:sz w:val="20"/>
                <w:szCs w:val="20"/>
                <w:color w:val="auto"/>
              </w:rPr>
            </w:pPr>
            <w:r>
              <w:rPr>
                <w:rFonts w:ascii="Arial" w:cs="Arial" w:eastAsia="Arial" w:hAnsi="Arial"/>
                <w:sz w:val="15"/>
                <w:szCs w:val="15"/>
                <w:color w:val="auto"/>
              </w:rPr>
              <w:t>4,081</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543</w:t>
            </w:r>
          </w:p>
        </w:tc>
        <w:tc>
          <w:tcPr>
            <w:tcW w:w="100" w:type="dxa"/>
            <w:vAlign w:val="bottom"/>
          </w:tcPr>
          <w:p>
            <w:pPr>
              <w:spacing w:after="0"/>
              <w:rPr>
                <w:sz w:val="15"/>
                <w:szCs w:val="15"/>
                <w:color w:val="auto"/>
              </w:rPr>
            </w:pPr>
          </w:p>
        </w:tc>
        <w:tc>
          <w:tcPr>
            <w:tcW w:w="680" w:type="dxa"/>
            <w:vAlign w:val="bottom"/>
          </w:tcPr>
          <w:p>
            <w:pPr>
              <w:jc w:val="center"/>
              <w:ind w:left="309"/>
              <w:spacing w:after="0"/>
              <w:rPr>
                <w:sz w:val="20"/>
                <w:szCs w:val="20"/>
                <w:color w:val="auto"/>
              </w:rPr>
            </w:pPr>
            <w:r>
              <w:rPr>
                <w:rFonts w:ascii="Arial" w:cs="Arial" w:eastAsia="Arial" w:hAnsi="Arial"/>
                <w:sz w:val="15"/>
                <w:szCs w:val="15"/>
                <w:color w:val="auto"/>
                <w:w w:val="87"/>
              </w:rPr>
              <w:t>599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220" w:type="dxa"/>
            <w:vAlign w:val="bottom"/>
          </w:tcPr>
          <w:p>
            <w:pPr>
              <w:ind w:left="480"/>
              <w:spacing w:after="0"/>
              <w:rPr>
                <w:sz w:val="20"/>
                <w:szCs w:val="20"/>
                <w:color w:val="auto"/>
              </w:rPr>
            </w:pPr>
            <w:r>
              <w:rPr>
                <w:rFonts w:ascii="Arial" w:cs="Arial" w:eastAsia="Arial" w:hAnsi="Arial"/>
                <w:sz w:val="15"/>
                <w:szCs w:val="15"/>
                <w:color w:val="auto"/>
              </w:rPr>
              <w:t>Equity companies</w:t>
            </w: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264</w:t>
            </w:r>
          </w:p>
        </w:tc>
        <w:tc>
          <w:tcPr>
            <w:tcW w:w="820" w:type="dxa"/>
            <w:vAlign w:val="bottom"/>
          </w:tcPr>
          <w:p>
            <w:pPr>
              <w:jc w:val="right"/>
              <w:ind w:right="128"/>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67"/>
              <w:spacing w:after="0"/>
              <w:rPr>
                <w:sz w:val="20"/>
                <w:szCs w:val="20"/>
                <w:color w:val="auto"/>
              </w:rPr>
            </w:pPr>
            <w:r>
              <w:rPr>
                <w:rFonts w:ascii="Arial" w:cs="Arial" w:eastAsia="Arial" w:hAnsi="Arial"/>
                <w:sz w:val="15"/>
                <w:szCs w:val="15"/>
                <w:color w:val="auto"/>
              </w:rPr>
              <w:t>28</w:t>
            </w:r>
          </w:p>
        </w:tc>
        <w:tc>
          <w:tcPr>
            <w:tcW w:w="800" w:type="dxa"/>
            <w:vAlign w:val="bottom"/>
          </w:tcPr>
          <w:p>
            <w:pPr>
              <w:jc w:val="right"/>
              <w:ind w:right="127"/>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1,423</w:t>
            </w:r>
          </w:p>
        </w:tc>
        <w:tc>
          <w:tcPr>
            <w:tcW w:w="740" w:type="dxa"/>
            <w:vAlign w:val="bottom"/>
          </w:tcPr>
          <w:p>
            <w:pPr>
              <w:jc w:val="right"/>
              <w:ind w:right="127"/>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1,715</w:t>
            </w:r>
          </w:p>
        </w:tc>
        <w:tc>
          <w:tcPr>
            <w:tcW w:w="3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80" w:type="dxa"/>
            <w:vAlign w:val="bottom"/>
          </w:tcPr>
          <w:p>
            <w:pPr>
              <w:jc w:val="center"/>
              <w:ind w:left="329"/>
              <w:spacing w:after="0"/>
              <w:rPr>
                <w:sz w:val="20"/>
                <w:szCs w:val="20"/>
                <w:color w:val="auto"/>
              </w:rPr>
            </w:pPr>
            <w:r>
              <w:rPr>
                <w:rFonts w:ascii="Arial" w:cs="Arial" w:eastAsia="Arial" w:hAnsi="Arial"/>
                <w:sz w:val="15"/>
                <w:szCs w:val="15"/>
                <w:color w:val="auto"/>
                <w:w w:val="79"/>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3220" w:type="dxa"/>
            <w:vAlign w:val="bottom"/>
          </w:tcPr>
          <w:p>
            <w:pPr>
              <w:spacing w:after="0"/>
              <w:rPr>
                <w:sz w:val="20"/>
                <w:szCs w:val="20"/>
                <w:color w:val="auto"/>
              </w:rPr>
            </w:pPr>
            <w:r>
              <w:rPr>
                <w:rFonts w:ascii="Arial" w:cs="Arial" w:eastAsia="Arial" w:hAnsi="Arial"/>
                <w:sz w:val="15"/>
                <w:szCs w:val="15"/>
                <w:color w:val="auto"/>
              </w:rPr>
              <w:t>Proved undeveloped reserves, as of</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220" w:type="dxa"/>
            <w:vAlign w:val="bottom"/>
          </w:tcPr>
          <w:p>
            <w:pPr>
              <w:ind w:left="240"/>
              <w:spacing w:after="0"/>
              <w:rPr>
                <w:sz w:val="20"/>
                <w:szCs w:val="20"/>
                <w:color w:val="auto"/>
              </w:rPr>
            </w:pPr>
            <w:r>
              <w:rPr>
                <w:rFonts w:ascii="Arial" w:cs="Arial" w:eastAsia="Arial" w:hAnsi="Arial"/>
                <w:sz w:val="15"/>
                <w:szCs w:val="15"/>
                <w:color w:val="auto"/>
              </w:rPr>
              <w:t>December 31, 2012</w:t>
            </w: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20" w:type="dxa"/>
            <w:vAlign w:val="bottom"/>
          </w:tcPr>
          <w:p>
            <w:pPr>
              <w:ind w:left="480"/>
              <w:spacing w:after="0"/>
              <w:rPr>
                <w:sz w:val="20"/>
                <w:szCs w:val="20"/>
                <w:color w:val="auto"/>
              </w:rPr>
            </w:pPr>
            <w:r>
              <w:rPr>
                <w:rFonts w:ascii="Arial" w:cs="Arial" w:eastAsia="Arial" w:hAnsi="Arial"/>
                <w:sz w:val="15"/>
                <w:szCs w:val="15"/>
                <w:color w:val="auto"/>
              </w:rPr>
              <w:t>Consolidated subsidiaries</w:t>
            </w: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921</w:t>
            </w:r>
          </w:p>
        </w:tc>
        <w:tc>
          <w:tcPr>
            <w:tcW w:w="820" w:type="dxa"/>
            <w:vAlign w:val="bottom"/>
          </w:tcPr>
          <w:p>
            <w:pPr>
              <w:jc w:val="right"/>
              <w:ind w:right="68"/>
              <w:spacing w:after="0"/>
              <w:rPr>
                <w:sz w:val="20"/>
                <w:szCs w:val="20"/>
                <w:color w:val="auto"/>
              </w:rPr>
            </w:pPr>
            <w:r>
              <w:rPr>
                <w:rFonts w:ascii="Arial" w:cs="Arial" w:eastAsia="Arial" w:hAnsi="Arial"/>
                <w:sz w:val="15"/>
                <w:szCs w:val="15"/>
                <w:color w:val="auto"/>
              </w:rPr>
              <w:t>163</w:t>
            </w:r>
          </w:p>
        </w:tc>
        <w:tc>
          <w:tcPr>
            <w:tcW w:w="940" w:type="dxa"/>
            <w:vAlign w:val="bottom"/>
          </w:tcPr>
          <w:p>
            <w:pPr>
              <w:jc w:val="right"/>
              <w:ind w:right="67"/>
              <w:spacing w:after="0"/>
              <w:rPr>
                <w:sz w:val="20"/>
                <w:szCs w:val="20"/>
                <w:color w:val="auto"/>
              </w:rPr>
            </w:pPr>
            <w:r>
              <w:rPr>
                <w:rFonts w:ascii="Arial" w:cs="Arial" w:eastAsia="Arial" w:hAnsi="Arial"/>
                <w:sz w:val="15"/>
                <w:szCs w:val="15"/>
                <w:color w:val="auto"/>
              </w:rPr>
              <w:t>77</w:t>
            </w:r>
          </w:p>
        </w:tc>
        <w:tc>
          <w:tcPr>
            <w:tcW w:w="800" w:type="dxa"/>
            <w:vAlign w:val="bottom"/>
          </w:tcPr>
          <w:p>
            <w:pPr>
              <w:jc w:val="right"/>
              <w:ind w:right="67"/>
              <w:spacing w:after="0"/>
              <w:rPr>
                <w:sz w:val="20"/>
                <w:szCs w:val="20"/>
                <w:color w:val="auto"/>
              </w:rPr>
            </w:pPr>
            <w:r>
              <w:rPr>
                <w:rFonts w:ascii="Arial" w:cs="Arial" w:eastAsia="Arial" w:hAnsi="Arial"/>
                <w:sz w:val="15"/>
                <w:szCs w:val="15"/>
                <w:color w:val="auto"/>
              </w:rPr>
              <w:t>497</w:t>
            </w:r>
          </w:p>
        </w:tc>
        <w:tc>
          <w:tcPr>
            <w:tcW w:w="740" w:type="dxa"/>
            <w:vAlign w:val="bottom"/>
          </w:tcPr>
          <w:p>
            <w:pPr>
              <w:jc w:val="right"/>
              <w:spacing w:after="0"/>
              <w:rPr>
                <w:sz w:val="20"/>
                <w:szCs w:val="20"/>
                <w:color w:val="auto"/>
              </w:rPr>
            </w:pPr>
            <w:r>
              <w:rPr>
                <w:rFonts w:ascii="Arial" w:cs="Arial" w:eastAsia="Arial" w:hAnsi="Arial"/>
                <w:sz w:val="15"/>
                <w:szCs w:val="15"/>
                <w:color w:val="auto"/>
              </w:rPr>
              <w:t>682</w:t>
            </w: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134</w:t>
            </w:r>
          </w:p>
        </w:tc>
        <w:tc>
          <w:tcPr>
            <w:tcW w:w="620" w:type="dxa"/>
            <w:vAlign w:val="bottom"/>
          </w:tcPr>
          <w:p>
            <w:pPr>
              <w:jc w:val="right"/>
              <w:spacing w:after="0"/>
              <w:rPr>
                <w:sz w:val="20"/>
                <w:szCs w:val="20"/>
                <w:color w:val="auto"/>
              </w:rPr>
            </w:pPr>
            <w:r>
              <w:rPr>
                <w:rFonts w:ascii="Arial" w:cs="Arial" w:eastAsia="Arial" w:hAnsi="Arial"/>
                <w:sz w:val="15"/>
                <w:szCs w:val="15"/>
                <w:color w:val="auto"/>
              </w:rPr>
              <w:t>2,474</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3,017</w:t>
            </w:r>
          </w:p>
        </w:tc>
        <w:tc>
          <w:tcPr>
            <w:tcW w:w="100" w:type="dxa"/>
            <w:vAlign w:val="bottom"/>
          </w:tcPr>
          <w:p>
            <w:pPr>
              <w:spacing w:after="0"/>
              <w:rPr>
                <w:sz w:val="15"/>
                <w:szCs w:val="15"/>
                <w:color w:val="auto"/>
              </w:rPr>
            </w:pPr>
          </w:p>
        </w:tc>
        <w:tc>
          <w:tcPr>
            <w:tcW w:w="680" w:type="dxa"/>
            <w:vAlign w:val="bottom"/>
          </w:tcPr>
          <w:p>
            <w:pPr>
              <w:jc w:val="center"/>
              <w:ind w:left="329"/>
              <w:spacing w:after="0"/>
              <w:rPr>
                <w:sz w:val="20"/>
                <w:szCs w:val="20"/>
                <w:color w:val="auto"/>
              </w:rPr>
            </w:pPr>
            <w:r>
              <w:rPr>
                <w:rFonts w:ascii="Arial" w:cs="Arial" w:eastAsia="Arial" w:hAnsi="Arial"/>
                <w:sz w:val="15"/>
                <w:szCs w:val="15"/>
                <w:color w:val="auto"/>
                <w:w w:val="79"/>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220" w:type="dxa"/>
            <w:vAlign w:val="bottom"/>
          </w:tcPr>
          <w:p>
            <w:pPr>
              <w:ind w:left="480"/>
              <w:spacing w:after="0"/>
              <w:rPr>
                <w:sz w:val="20"/>
                <w:szCs w:val="20"/>
                <w:color w:val="auto"/>
              </w:rPr>
            </w:pPr>
            <w:r>
              <w:rPr>
                <w:rFonts w:ascii="Arial" w:cs="Arial" w:eastAsia="Arial" w:hAnsi="Arial"/>
                <w:sz w:val="15"/>
                <w:szCs w:val="15"/>
                <w:color w:val="auto"/>
              </w:rPr>
              <w:t>Equity companies</w:t>
            </w: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84</w:t>
            </w: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303</w:t>
            </w:r>
          </w:p>
        </w:tc>
        <w:tc>
          <w:tcPr>
            <w:tcW w:w="74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387</w:t>
            </w:r>
          </w:p>
        </w:tc>
        <w:tc>
          <w:tcPr>
            <w:tcW w:w="320" w:type="dxa"/>
            <w:vAlign w:val="bottom"/>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center"/>
              <w:ind w:left="329"/>
              <w:spacing w:after="0"/>
              <w:rPr>
                <w:sz w:val="20"/>
                <w:szCs w:val="20"/>
                <w:color w:val="auto"/>
              </w:rPr>
            </w:pPr>
            <w:r>
              <w:rPr>
                <w:rFonts w:ascii="Arial" w:cs="Arial" w:eastAsia="Arial" w:hAnsi="Arial"/>
                <w:sz w:val="15"/>
                <w:szCs w:val="15"/>
                <w:color w:val="auto"/>
                <w:w w:val="79"/>
              </w:rPr>
              <w:t>-</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220" w:type="dxa"/>
            <w:vAlign w:val="bottom"/>
          </w:tcPr>
          <w:p>
            <w:pPr>
              <w:spacing w:after="0" w:line="167" w:lineRule="exact"/>
              <w:rPr>
                <w:sz w:val="20"/>
                <w:szCs w:val="20"/>
                <w:color w:val="auto"/>
              </w:rPr>
            </w:pPr>
            <w:r>
              <w:rPr>
                <w:rFonts w:ascii="Arial" w:cs="Arial" w:eastAsia="Arial" w:hAnsi="Arial"/>
                <w:sz w:val="15"/>
                <w:szCs w:val="15"/>
                <w:color w:val="auto"/>
              </w:rPr>
              <w:t>Total liquids proved reserves at</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220" w:type="dxa"/>
            <w:vAlign w:val="bottom"/>
          </w:tcPr>
          <w:p>
            <w:pPr>
              <w:ind w:left="240"/>
              <w:spacing w:after="0"/>
              <w:rPr>
                <w:sz w:val="20"/>
                <w:szCs w:val="20"/>
                <w:color w:val="auto"/>
              </w:rPr>
            </w:pPr>
            <w:r>
              <w:rPr>
                <w:rFonts w:ascii="Arial" w:cs="Arial" w:eastAsia="Arial" w:hAnsi="Arial"/>
                <w:sz w:val="15"/>
                <w:szCs w:val="15"/>
                <w:color w:val="auto"/>
              </w:rPr>
              <w:t>December 31, 2012</w:t>
            </w: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2,758</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287</w:t>
            </w:r>
          </w:p>
        </w:tc>
        <w:tc>
          <w:tcPr>
            <w:tcW w:w="9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373</w:t>
            </w:r>
          </w:p>
        </w:tc>
        <w:tc>
          <w:tcPr>
            <w:tcW w:w="8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1,501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3,488</w:t>
            </w: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250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8,657</w:t>
            </w:r>
          </w:p>
        </w:tc>
        <w:tc>
          <w:tcPr>
            <w:tcW w:w="32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3,560</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center"/>
              <w:ind w:left="309"/>
              <w:spacing w:after="0"/>
              <w:rPr>
                <w:sz w:val="20"/>
                <w:szCs w:val="20"/>
                <w:color w:val="auto"/>
              </w:rPr>
            </w:pPr>
            <w:r>
              <w:rPr>
                <w:rFonts w:ascii="Arial" w:cs="Arial" w:eastAsia="Arial" w:hAnsi="Arial"/>
                <w:sz w:val="15"/>
                <w:szCs w:val="15"/>
                <w:color w:val="auto"/>
                <w:w w:val="87"/>
              </w:rPr>
              <w:t>599</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3220" w:type="dxa"/>
            <w:vAlign w:val="bottom"/>
          </w:tcPr>
          <w:p>
            <w:pPr>
              <w:spacing w:after="0"/>
              <w:rPr>
                <w:sz w:val="20"/>
                <w:szCs w:val="20"/>
                <w:color w:val="auto"/>
              </w:rPr>
            </w:pPr>
            <w:r>
              <w:rPr>
                <w:rFonts w:ascii="Arial" w:cs="Arial" w:eastAsia="Arial" w:hAnsi="Arial"/>
                <w:sz w:val="15"/>
                <w:szCs w:val="15"/>
                <w:color w:val="auto"/>
              </w:rPr>
              <w:t>Proved developed reserves, as of</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220" w:type="dxa"/>
            <w:vAlign w:val="bottom"/>
          </w:tcPr>
          <w:p>
            <w:pPr>
              <w:ind w:left="240"/>
              <w:spacing w:after="0"/>
              <w:rPr>
                <w:sz w:val="20"/>
                <w:szCs w:val="20"/>
                <w:color w:val="auto"/>
              </w:rPr>
            </w:pPr>
            <w:r>
              <w:rPr>
                <w:rFonts w:ascii="Arial" w:cs="Arial" w:eastAsia="Arial" w:hAnsi="Arial"/>
                <w:sz w:val="15"/>
                <w:szCs w:val="15"/>
                <w:color w:val="auto"/>
              </w:rPr>
              <w:t>December 31, 2013</w:t>
            </w: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20" w:type="dxa"/>
            <w:vAlign w:val="bottom"/>
          </w:tcPr>
          <w:p>
            <w:pPr>
              <w:ind w:left="480"/>
              <w:spacing w:after="0"/>
              <w:rPr>
                <w:sz w:val="20"/>
                <w:szCs w:val="20"/>
                <w:color w:val="auto"/>
              </w:rPr>
            </w:pPr>
            <w:r>
              <w:rPr>
                <w:rFonts w:ascii="Arial" w:cs="Arial" w:eastAsia="Arial" w:hAnsi="Arial"/>
                <w:sz w:val="15"/>
                <w:szCs w:val="15"/>
                <w:color w:val="auto"/>
              </w:rPr>
              <w:t>Consolidated subsidiaries</w:t>
            </w: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1,469</w:t>
            </w:r>
          </w:p>
        </w:tc>
        <w:tc>
          <w:tcPr>
            <w:tcW w:w="820" w:type="dxa"/>
            <w:vAlign w:val="bottom"/>
          </w:tcPr>
          <w:p>
            <w:pPr>
              <w:jc w:val="right"/>
              <w:ind w:right="68"/>
              <w:spacing w:after="0"/>
              <w:rPr>
                <w:sz w:val="20"/>
                <w:szCs w:val="20"/>
                <w:color w:val="auto"/>
              </w:rPr>
            </w:pPr>
            <w:r>
              <w:rPr>
                <w:rFonts w:ascii="Arial" w:cs="Arial" w:eastAsia="Arial" w:hAnsi="Arial"/>
                <w:sz w:val="15"/>
                <w:szCs w:val="15"/>
                <w:color w:val="auto"/>
              </w:rPr>
              <w:t>126</w:t>
            </w:r>
          </w:p>
        </w:tc>
        <w:tc>
          <w:tcPr>
            <w:tcW w:w="940" w:type="dxa"/>
            <w:vAlign w:val="bottom"/>
          </w:tcPr>
          <w:p>
            <w:pPr>
              <w:jc w:val="right"/>
              <w:ind w:right="67"/>
              <w:spacing w:after="0"/>
              <w:rPr>
                <w:sz w:val="20"/>
                <w:szCs w:val="20"/>
                <w:color w:val="auto"/>
              </w:rPr>
            </w:pPr>
            <w:r>
              <w:rPr>
                <w:rFonts w:ascii="Arial" w:cs="Arial" w:eastAsia="Arial" w:hAnsi="Arial"/>
                <w:sz w:val="15"/>
                <w:szCs w:val="15"/>
                <w:color w:val="auto"/>
              </w:rPr>
              <w:t>249</w:t>
            </w:r>
          </w:p>
        </w:tc>
        <w:tc>
          <w:tcPr>
            <w:tcW w:w="800" w:type="dxa"/>
            <w:vAlign w:val="bottom"/>
          </w:tcPr>
          <w:p>
            <w:pPr>
              <w:jc w:val="right"/>
              <w:ind w:right="67"/>
              <w:spacing w:after="0"/>
              <w:rPr>
                <w:sz w:val="20"/>
                <w:szCs w:val="20"/>
                <w:color w:val="auto"/>
              </w:rPr>
            </w:pPr>
            <w:r>
              <w:rPr>
                <w:rFonts w:ascii="Arial" w:cs="Arial" w:eastAsia="Arial" w:hAnsi="Arial"/>
                <w:sz w:val="15"/>
                <w:szCs w:val="15"/>
                <w:color w:val="auto"/>
              </w:rPr>
              <w:t>945</w:t>
            </w:r>
          </w:p>
        </w:tc>
        <w:tc>
          <w:tcPr>
            <w:tcW w:w="740" w:type="dxa"/>
            <w:vAlign w:val="bottom"/>
          </w:tcPr>
          <w:p>
            <w:pPr>
              <w:jc w:val="right"/>
              <w:spacing w:after="0"/>
              <w:rPr>
                <w:sz w:val="20"/>
                <w:szCs w:val="20"/>
                <w:color w:val="auto"/>
              </w:rPr>
            </w:pPr>
            <w:r>
              <w:rPr>
                <w:rFonts w:ascii="Arial" w:cs="Arial" w:eastAsia="Arial" w:hAnsi="Arial"/>
                <w:sz w:val="15"/>
                <w:szCs w:val="15"/>
                <w:color w:val="auto"/>
              </w:rPr>
              <w:t>1,663</w:t>
            </w: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105</w:t>
            </w:r>
          </w:p>
        </w:tc>
        <w:tc>
          <w:tcPr>
            <w:tcW w:w="620" w:type="dxa"/>
            <w:vAlign w:val="bottom"/>
          </w:tcPr>
          <w:p>
            <w:pPr>
              <w:jc w:val="right"/>
              <w:spacing w:after="0"/>
              <w:rPr>
                <w:sz w:val="20"/>
                <w:szCs w:val="20"/>
                <w:color w:val="auto"/>
              </w:rPr>
            </w:pPr>
            <w:r>
              <w:rPr>
                <w:rFonts w:ascii="Arial" w:cs="Arial" w:eastAsia="Arial" w:hAnsi="Arial"/>
                <w:sz w:val="15"/>
                <w:szCs w:val="15"/>
                <w:color w:val="auto"/>
              </w:rPr>
              <w:t>4,557</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1,810</w:t>
            </w:r>
          </w:p>
        </w:tc>
        <w:tc>
          <w:tcPr>
            <w:tcW w:w="100" w:type="dxa"/>
            <w:vAlign w:val="bottom"/>
          </w:tcPr>
          <w:p>
            <w:pPr>
              <w:spacing w:after="0"/>
              <w:rPr>
                <w:sz w:val="15"/>
                <w:szCs w:val="15"/>
                <w:color w:val="auto"/>
              </w:rPr>
            </w:pPr>
          </w:p>
        </w:tc>
        <w:tc>
          <w:tcPr>
            <w:tcW w:w="680" w:type="dxa"/>
            <w:vAlign w:val="bottom"/>
          </w:tcPr>
          <w:p>
            <w:pPr>
              <w:jc w:val="center"/>
              <w:ind w:left="309"/>
              <w:spacing w:after="0"/>
              <w:rPr>
                <w:sz w:val="20"/>
                <w:szCs w:val="20"/>
                <w:color w:val="auto"/>
              </w:rPr>
            </w:pPr>
            <w:r>
              <w:rPr>
                <w:rFonts w:ascii="Arial" w:cs="Arial" w:eastAsia="Arial" w:hAnsi="Arial"/>
                <w:sz w:val="15"/>
                <w:szCs w:val="15"/>
                <w:color w:val="auto"/>
                <w:w w:val="87"/>
              </w:rPr>
              <w:t>579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220" w:type="dxa"/>
            <w:vAlign w:val="bottom"/>
          </w:tcPr>
          <w:p>
            <w:pPr>
              <w:ind w:left="480"/>
              <w:spacing w:after="0"/>
              <w:rPr>
                <w:sz w:val="20"/>
                <w:szCs w:val="20"/>
                <w:color w:val="auto"/>
              </w:rPr>
            </w:pPr>
            <w:r>
              <w:rPr>
                <w:rFonts w:ascii="Arial" w:cs="Arial" w:eastAsia="Arial" w:hAnsi="Arial"/>
                <w:sz w:val="15"/>
                <w:szCs w:val="15"/>
                <w:color w:val="auto"/>
              </w:rPr>
              <w:t>Equity companies</w:t>
            </w: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268</w:t>
            </w:r>
          </w:p>
        </w:tc>
        <w:tc>
          <w:tcPr>
            <w:tcW w:w="820" w:type="dxa"/>
            <w:vAlign w:val="bottom"/>
          </w:tcPr>
          <w:p>
            <w:pPr>
              <w:jc w:val="right"/>
              <w:ind w:right="128"/>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67"/>
              <w:spacing w:after="0"/>
              <w:rPr>
                <w:sz w:val="20"/>
                <w:szCs w:val="20"/>
                <w:color w:val="auto"/>
              </w:rPr>
            </w:pPr>
            <w:r>
              <w:rPr>
                <w:rFonts w:ascii="Arial" w:cs="Arial" w:eastAsia="Arial" w:hAnsi="Arial"/>
                <w:sz w:val="15"/>
                <w:szCs w:val="15"/>
                <w:color w:val="auto"/>
              </w:rPr>
              <w:t>27</w:t>
            </w:r>
          </w:p>
        </w:tc>
        <w:tc>
          <w:tcPr>
            <w:tcW w:w="800" w:type="dxa"/>
            <w:vAlign w:val="bottom"/>
          </w:tcPr>
          <w:p>
            <w:pPr>
              <w:jc w:val="right"/>
              <w:ind w:right="127"/>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1,292</w:t>
            </w:r>
          </w:p>
        </w:tc>
        <w:tc>
          <w:tcPr>
            <w:tcW w:w="740" w:type="dxa"/>
            <w:vAlign w:val="bottom"/>
          </w:tcPr>
          <w:p>
            <w:pPr>
              <w:jc w:val="right"/>
              <w:ind w:right="127"/>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1,587</w:t>
            </w:r>
          </w:p>
        </w:tc>
        <w:tc>
          <w:tcPr>
            <w:tcW w:w="3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80" w:type="dxa"/>
            <w:vAlign w:val="bottom"/>
          </w:tcPr>
          <w:p>
            <w:pPr>
              <w:jc w:val="center"/>
              <w:ind w:left="329"/>
              <w:spacing w:after="0"/>
              <w:rPr>
                <w:sz w:val="20"/>
                <w:szCs w:val="20"/>
                <w:color w:val="auto"/>
              </w:rPr>
            </w:pPr>
            <w:r>
              <w:rPr>
                <w:rFonts w:ascii="Arial" w:cs="Arial" w:eastAsia="Arial" w:hAnsi="Arial"/>
                <w:sz w:val="15"/>
                <w:szCs w:val="15"/>
                <w:color w:val="auto"/>
                <w:w w:val="79"/>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3220" w:type="dxa"/>
            <w:vAlign w:val="bottom"/>
          </w:tcPr>
          <w:p>
            <w:pPr>
              <w:spacing w:after="0"/>
              <w:rPr>
                <w:sz w:val="20"/>
                <w:szCs w:val="20"/>
                <w:color w:val="auto"/>
              </w:rPr>
            </w:pPr>
            <w:r>
              <w:rPr>
                <w:rFonts w:ascii="Arial" w:cs="Arial" w:eastAsia="Arial" w:hAnsi="Arial"/>
                <w:sz w:val="15"/>
                <w:szCs w:val="15"/>
                <w:color w:val="auto"/>
              </w:rPr>
              <w:t>Proved undeveloped reserves, as of</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220" w:type="dxa"/>
            <w:vAlign w:val="bottom"/>
          </w:tcPr>
          <w:p>
            <w:pPr>
              <w:ind w:left="240"/>
              <w:spacing w:after="0"/>
              <w:rPr>
                <w:sz w:val="20"/>
                <w:szCs w:val="20"/>
                <w:color w:val="auto"/>
              </w:rPr>
            </w:pPr>
            <w:r>
              <w:rPr>
                <w:rFonts w:ascii="Arial" w:cs="Arial" w:eastAsia="Arial" w:hAnsi="Arial"/>
                <w:sz w:val="15"/>
                <w:szCs w:val="15"/>
                <w:color w:val="auto"/>
              </w:rPr>
              <w:t>December 31, 2013</w:t>
            </w: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20" w:type="dxa"/>
            <w:vAlign w:val="bottom"/>
          </w:tcPr>
          <w:p>
            <w:pPr>
              <w:ind w:left="480"/>
              <w:spacing w:after="0"/>
              <w:rPr>
                <w:sz w:val="20"/>
                <w:szCs w:val="20"/>
                <w:color w:val="auto"/>
              </w:rPr>
            </w:pPr>
            <w:r>
              <w:rPr>
                <w:rFonts w:ascii="Arial" w:cs="Arial" w:eastAsia="Arial" w:hAnsi="Arial"/>
                <w:sz w:val="15"/>
                <w:szCs w:val="15"/>
                <w:color w:val="auto"/>
              </w:rPr>
              <w:t>Consolidated subsidiaries</w:t>
            </w: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1,068</w:t>
            </w:r>
          </w:p>
        </w:tc>
        <w:tc>
          <w:tcPr>
            <w:tcW w:w="820" w:type="dxa"/>
            <w:vAlign w:val="bottom"/>
          </w:tcPr>
          <w:p>
            <w:pPr>
              <w:jc w:val="right"/>
              <w:ind w:right="68"/>
              <w:spacing w:after="0"/>
              <w:rPr>
                <w:sz w:val="20"/>
                <w:szCs w:val="20"/>
                <w:color w:val="auto"/>
              </w:rPr>
            </w:pPr>
            <w:r>
              <w:rPr>
                <w:rFonts w:ascii="Arial" w:cs="Arial" w:eastAsia="Arial" w:hAnsi="Arial"/>
                <w:sz w:val="15"/>
                <w:szCs w:val="15"/>
                <w:color w:val="auto"/>
              </w:rPr>
              <w:t>177</w:t>
            </w:r>
          </w:p>
        </w:tc>
        <w:tc>
          <w:tcPr>
            <w:tcW w:w="940" w:type="dxa"/>
            <w:vAlign w:val="bottom"/>
          </w:tcPr>
          <w:p>
            <w:pPr>
              <w:jc w:val="right"/>
              <w:ind w:right="67"/>
              <w:spacing w:after="0"/>
              <w:rPr>
                <w:sz w:val="20"/>
                <w:szCs w:val="20"/>
                <w:color w:val="auto"/>
              </w:rPr>
            </w:pPr>
            <w:r>
              <w:rPr>
                <w:rFonts w:ascii="Arial" w:cs="Arial" w:eastAsia="Arial" w:hAnsi="Arial"/>
                <w:sz w:val="15"/>
                <w:szCs w:val="15"/>
                <w:color w:val="auto"/>
              </w:rPr>
              <w:t>51</w:t>
            </w:r>
          </w:p>
        </w:tc>
        <w:tc>
          <w:tcPr>
            <w:tcW w:w="800" w:type="dxa"/>
            <w:vAlign w:val="bottom"/>
          </w:tcPr>
          <w:p>
            <w:pPr>
              <w:jc w:val="right"/>
              <w:ind w:right="67"/>
              <w:spacing w:after="0"/>
              <w:rPr>
                <w:sz w:val="20"/>
                <w:szCs w:val="20"/>
                <w:color w:val="auto"/>
              </w:rPr>
            </w:pPr>
            <w:r>
              <w:rPr>
                <w:rFonts w:ascii="Arial" w:cs="Arial" w:eastAsia="Arial" w:hAnsi="Arial"/>
                <w:sz w:val="15"/>
                <w:szCs w:val="15"/>
                <w:color w:val="auto"/>
              </w:rPr>
              <w:t>449</w:t>
            </w:r>
          </w:p>
        </w:tc>
        <w:tc>
          <w:tcPr>
            <w:tcW w:w="740" w:type="dxa"/>
            <w:vAlign w:val="bottom"/>
          </w:tcPr>
          <w:p>
            <w:pPr>
              <w:jc w:val="right"/>
              <w:spacing w:after="0"/>
              <w:rPr>
                <w:sz w:val="20"/>
                <w:szCs w:val="20"/>
                <w:color w:val="auto"/>
              </w:rPr>
            </w:pPr>
            <w:r>
              <w:rPr>
                <w:rFonts w:ascii="Arial" w:cs="Arial" w:eastAsia="Arial" w:hAnsi="Arial"/>
                <w:sz w:val="15"/>
                <w:szCs w:val="15"/>
                <w:color w:val="auto"/>
              </w:rPr>
              <w:t>638</w:t>
            </w: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131</w:t>
            </w:r>
          </w:p>
        </w:tc>
        <w:tc>
          <w:tcPr>
            <w:tcW w:w="620" w:type="dxa"/>
            <w:vAlign w:val="bottom"/>
          </w:tcPr>
          <w:p>
            <w:pPr>
              <w:jc w:val="right"/>
              <w:spacing w:after="0"/>
              <w:rPr>
                <w:sz w:val="20"/>
                <w:szCs w:val="20"/>
                <w:color w:val="auto"/>
              </w:rPr>
            </w:pPr>
            <w:r>
              <w:rPr>
                <w:rFonts w:ascii="Arial" w:cs="Arial" w:eastAsia="Arial" w:hAnsi="Arial"/>
                <w:sz w:val="15"/>
                <w:szCs w:val="15"/>
                <w:color w:val="auto"/>
              </w:rPr>
              <w:t>2,514</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1,820</w:t>
            </w:r>
          </w:p>
        </w:tc>
        <w:tc>
          <w:tcPr>
            <w:tcW w:w="100" w:type="dxa"/>
            <w:vAlign w:val="bottom"/>
          </w:tcPr>
          <w:p>
            <w:pPr>
              <w:spacing w:after="0"/>
              <w:rPr>
                <w:sz w:val="15"/>
                <w:szCs w:val="15"/>
                <w:color w:val="auto"/>
              </w:rPr>
            </w:pPr>
          </w:p>
        </w:tc>
        <w:tc>
          <w:tcPr>
            <w:tcW w:w="680" w:type="dxa"/>
            <w:vAlign w:val="bottom"/>
          </w:tcPr>
          <w:p>
            <w:pPr>
              <w:jc w:val="center"/>
              <w:ind w:left="329"/>
              <w:spacing w:after="0"/>
              <w:rPr>
                <w:sz w:val="20"/>
                <w:szCs w:val="20"/>
                <w:color w:val="auto"/>
              </w:rPr>
            </w:pPr>
            <w:r>
              <w:rPr>
                <w:rFonts w:ascii="Arial" w:cs="Arial" w:eastAsia="Arial" w:hAnsi="Arial"/>
                <w:sz w:val="15"/>
                <w:szCs w:val="15"/>
                <w:color w:val="auto"/>
                <w:w w:val="79"/>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220" w:type="dxa"/>
            <w:vAlign w:val="bottom"/>
          </w:tcPr>
          <w:p>
            <w:pPr>
              <w:ind w:left="480"/>
              <w:spacing w:after="0"/>
              <w:rPr>
                <w:sz w:val="20"/>
                <w:szCs w:val="20"/>
                <w:color w:val="auto"/>
              </w:rPr>
            </w:pPr>
            <w:r>
              <w:rPr>
                <w:rFonts w:ascii="Arial" w:cs="Arial" w:eastAsia="Arial" w:hAnsi="Arial"/>
                <w:sz w:val="15"/>
                <w:szCs w:val="15"/>
                <w:color w:val="auto"/>
              </w:rPr>
              <w:t>Equity companies</w:t>
            </w: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77</w:t>
            </w: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w:t>
            </w:r>
          </w:p>
        </w:tc>
        <w:tc>
          <w:tcPr>
            <w:tcW w:w="80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294</w:t>
            </w:r>
          </w:p>
        </w:tc>
        <w:tc>
          <w:tcPr>
            <w:tcW w:w="74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372</w:t>
            </w:r>
          </w:p>
        </w:tc>
        <w:tc>
          <w:tcPr>
            <w:tcW w:w="320" w:type="dxa"/>
            <w:vAlign w:val="bottom"/>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center"/>
              <w:ind w:left="329"/>
              <w:spacing w:after="0"/>
              <w:rPr>
                <w:sz w:val="20"/>
                <w:szCs w:val="20"/>
                <w:color w:val="auto"/>
              </w:rPr>
            </w:pPr>
            <w:r>
              <w:rPr>
                <w:rFonts w:ascii="Arial" w:cs="Arial" w:eastAsia="Arial" w:hAnsi="Arial"/>
                <w:sz w:val="15"/>
                <w:szCs w:val="15"/>
                <w:color w:val="auto"/>
                <w:w w:val="79"/>
              </w:rPr>
              <w:t>-</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220" w:type="dxa"/>
            <w:vAlign w:val="bottom"/>
          </w:tcPr>
          <w:p>
            <w:pPr>
              <w:spacing w:after="0" w:line="167" w:lineRule="exact"/>
              <w:rPr>
                <w:sz w:val="20"/>
                <w:szCs w:val="20"/>
                <w:color w:val="auto"/>
              </w:rPr>
            </w:pPr>
            <w:r>
              <w:rPr>
                <w:rFonts w:ascii="Arial" w:cs="Arial" w:eastAsia="Arial" w:hAnsi="Arial"/>
                <w:sz w:val="15"/>
                <w:szCs w:val="15"/>
                <w:color w:val="auto"/>
              </w:rPr>
              <w:t>Total liquids proved reserves at</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220" w:type="dxa"/>
            <w:vAlign w:val="bottom"/>
          </w:tcPr>
          <w:p>
            <w:pPr>
              <w:ind w:left="240"/>
              <w:spacing w:after="0"/>
              <w:rPr>
                <w:sz w:val="20"/>
                <w:szCs w:val="20"/>
                <w:color w:val="auto"/>
              </w:rPr>
            </w:pPr>
            <w:r>
              <w:rPr>
                <w:rFonts w:ascii="Arial" w:cs="Arial" w:eastAsia="Arial" w:hAnsi="Arial"/>
                <w:sz w:val="15"/>
                <w:szCs w:val="15"/>
                <w:color w:val="auto"/>
              </w:rPr>
              <w:t>December 31, 2013</w:t>
            </w: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2,882</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303</w:t>
            </w:r>
          </w:p>
        </w:tc>
        <w:tc>
          <w:tcPr>
            <w:tcW w:w="9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328</w:t>
            </w:r>
          </w:p>
        </w:tc>
        <w:tc>
          <w:tcPr>
            <w:tcW w:w="8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1,394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3,887</w:t>
            </w: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236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9,030</w:t>
            </w:r>
          </w:p>
        </w:tc>
        <w:tc>
          <w:tcPr>
            <w:tcW w:w="3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3,630</w:t>
            </w:r>
          </w:p>
        </w:tc>
        <w:tc>
          <w:tcPr>
            <w:tcW w:w="100" w:type="dxa"/>
            <w:vAlign w:val="bottom"/>
          </w:tcPr>
          <w:p>
            <w:pPr>
              <w:spacing w:after="0"/>
              <w:rPr>
                <w:sz w:val="18"/>
                <w:szCs w:val="18"/>
                <w:color w:val="auto"/>
              </w:rPr>
            </w:pPr>
          </w:p>
        </w:tc>
        <w:tc>
          <w:tcPr>
            <w:tcW w:w="680" w:type="dxa"/>
            <w:vAlign w:val="bottom"/>
            <w:tcBorders>
              <w:bottom w:val="single" w:sz="8" w:color="auto"/>
            </w:tcBorders>
          </w:tcPr>
          <w:p>
            <w:pPr>
              <w:jc w:val="center"/>
              <w:ind w:left="309"/>
              <w:spacing w:after="0"/>
              <w:rPr>
                <w:sz w:val="20"/>
                <w:szCs w:val="20"/>
                <w:color w:val="auto"/>
              </w:rPr>
            </w:pPr>
            <w:r>
              <w:rPr>
                <w:rFonts w:ascii="Arial" w:cs="Arial" w:eastAsia="Arial" w:hAnsi="Arial"/>
                <w:sz w:val="15"/>
                <w:szCs w:val="15"/>
                <w:color w:val="auto"/>
                <w:w w:val="87"/>
              </w:rPr>
              <w:t>579</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9"/>
        </w:trPr>
        <w:tc>
          <w:tcPr>
            <w:tcW w:w="3220" w:type="dxa"/>
            <w:vAlign w:val="bottom"/>
          </w:tcPr>
          <w:p>
            <w:pPr>
              <w:spacing w:after="0"/>
              <w:rPr>
                <w:sz w:val="20"/>
                <w:szCs w:val="20"/>
                <w:color w:val="auto"/>
              </w:rPr>
            </w:pPr>
            <w:r>
              <w:rPr>
                <w:rFonts w:ascii="Arial" w:cs="Arial" w:eastAsia="Arial" w:hAnsi="Arial"/>
                <w:sz w:val="15"/>
                <w:szCs w:val="15"/>
                <w:color w:val="auto"/>
              </w:rPr>
              <w:t>Proved developed reserves, as of</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220" w:type="dxa"/>
            <w:vAlign w:val="bottom"/>
          </w:tcPr>
          <w:p>
            <w:pPr>
              <w:ind w:left="240"/>
              <w:spacing w:after="0"/>
              <w:rPr>
                <w:sz w:val="20"/>
                <w:szCs w:val="20"/>
                <w:color w:val="auto"/>
              </w:rPr>
            </w:pPr>
            <w:r>
              <w:rPr>
                <w:rFonts w:ascii="Arial" w:cs="Arial" w:eastAsia="Arial" w:hAnsi="Arial"/>
                <w:sz w:val="15"/>
                <w:szCs w:val="15"/>
                <w:color w:val="auto"/>
              </w:rPr>
              <w:t>December 31, 2014</w:t>
            </w: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20" w:type="dxa"/>
            <w:vAlign w:val="bottom"/>
          </w:tcPr>
          <w:p>
            <w:pPr>
              <w:ind w:left="480"/>
              <w:spacing w:after="0"/>
              <w:rPr>
                <w:sz w:val="20"/>
                <w:szCs w:val="20"/>
                <w:color w:val="auto"/>
              </w:rPr>
            </w:pPr>
            <w:r>
              <w:rPr>
                <w:rFonts w:ascii="Arial" w:cs="Arial" w:eastAsia="Arial" w:hAnsi="Arial"/>
                <w:sz w:val="15"/>
                <w:szCs w:val="15"/>
                <w:color w:val="auto"/>
              </w:rPr>
              <w:t>Consolidated subsidiaries</w:t>
            </w: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1,502</w:t>
            </w:r>
          </w:p>
        </w:tc>
        <w:tc>
          <w:tcPr>
            <w:tcW w:w="820" w:type="dxa"/>
            <w:vAlign w:val="bottom"/>
          </w:tcPr>
          <w:p>
            <w:pPr>
              <w:jc w:val="right"/>
              <w:ind w:right="68"/>
              <w:spacing w:after="0"/>
              <w:rPr>
                <w:sz w:val="20"/>
                <w:szCs w:val="20"/>
                <w:color w:val="auto"/>
              </w:rPr>
            </w:pPr>
            <w:r>
              <w:rPr>
                <w:rFonts w:ascii="Arial" w:cs="Arial" w:eastAsia="Arial" w:hAnsi="Arial"/>
                <w:sz w:val="15"/>
                <w:szCs w:val="15"/>
                <w:color w:val="auto"/>
              </w:rPr>
              <w:t>111</w:t>
            </w:r>
          </w:p>
        </w:tc>
        <w:tc>
          <w:tcPr>
            <w:tcW w:w="940" w:type="dxa"/>
            <w:vAlign w:val="bottom"/>
          </w:tcPr>
          <w:p>
            <w:pPr>
              <w:jc w:val="right"/>
              <w:ind w:right="67"/>
              <w:spacing w:after="0"/>
              <w:rPr>
                <w:sz w:val="20"/>
                <w:szCs w:val="20"/>
                <w:color w:val="auto"/>
              </w:rPr>
            </w:pPr>
            <w:r>
              <w:rPr>
                <w:rFonts w:ascii="Arial" w:cs="Arial" w:eastAsia="Arial" w:hAnsi="Arial"/>
                <w:sz w:val="15"/>
                <w:szCs w:val="15"/>
                <w:color w:val="auto"/>
              </w:rPr>
              <w:t>205</w:t>
            </w:r>
          </w:p>
        </w:tc>
        <w:tc>
          <w:tcPr>
            <w:tcW w:w="800" w:type="dxa"/>
            <w:vAlign w:val="bottom"/>
          </w:tcPr>
          <w:p>
            <w:pPr>
              <w:jc w:val="right"/>
              <w:ind w:right="67"/>
              <w:spacing w:after="0"/>
              <w:rPr>
                <w:sz w:val="20"/>
                <w:szCs w:val="20"/>
                <w:color w:val="auto"/>
              </w:rPr>
            </w:pPr>
            <w:r>
              <w:rPr>
                <w:rFonts w:ascii="Arial" w:cs="Arial" w:eastAsia="Arial" w:hAnsi="Arial"/>
                <w:sz w:val="15"/>
                <w:szCs w:val="15"/>
                <w:color w:val="auto"/>
              </w:rPr>
              <w:t>894</w:t>
            </w:r>
          </w:p>
        </w:tc>
        <w:tc>
          <w:tcPr>
            <w:tcW w:w="740" w:type="dxa"/>
            <w:vAlign w:val="bottom"/>
          </w:tcPr>
          <w:p>
            <w:pPr>
              <w:jc w:val="right"/>
              <w:spacing w:after="0"/>
              <w:rPr>
                <w:sz w:val="20"/>
                <w:szCs w:val="20"/>
                <w:color w:val="auto"/>
              </w:rPr>
            </w:pPr>
            <w:r>
              <w:rPr>
                <w:rFonts w:ascii="Arial" w:cs="Arial" w:eastAsia="Arial" w:hAnsi="Arial"/>
                <w:sz w:val="15"/>
                <w:szCs w:val="15"/>
                <w:color w:val="auto"/>
              </w:rPr>
              <w:t>1,615</w:t>
            </w: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112</w:t>
            </w:r>
          </w:p>
        </w:tc>
        <w:tc>
          <w:tcPr>
            <w:tcW w:w="620" w:type="dxa"/>
            <w:vAlign w:val="bottom"/>
          </w:tcPr>
          <w:p>
            <w:pPr>
              <w:jc w:val="right"/>
              <w:spacing w:after="0"/>
              <w:rPr>
                <w:sz w:val="20"/>
                <w:szCs w:val="20"/>
                <w:color w:val="auto"/>
              </w:rPr>
            </w:pPr>
            <w:r>
              <w:rPr>
                <w:rFonts w:ascii="Arial" w:cs="Arial" w:eastAsia="Arial" w:hAnsi="Arial"/>
                <w:sz w:val="15"/>
                <w:szCs w:val="15"/>
                <w:color w:val="auto"/>
              </w:rPr>
              <w:t>4,439</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2,122</w:t>
            </w:r>
          </w:p>
        </w:tc>
        <w:tc>
          <w:tcPr>
            <w:tcW w:w="100" w:type="dxa"/>
            <w:vAlign w:val="bottom"/>
          </w:tcPr>
          <w:p>
            <w:pPr>
              <w:spacing w:after="0"/>
              <w:rPr>
                <w:sz w:val="15"/>
                <w:szCs w:val="15"/>
                <w:color w:val="auto"/>
              </w:rPr>
            </w:pPr>
          </w:p>
        </w:tc>
        <w:tc>
          <w:tcPr>
            <w:tcW w:w="680" w:type="dxa"/>
            <w:vAlign w:val="bottom"/>
          </w:tcPr>
          <w:p>
            <w:pPr>
              <w:jc w:val="center"/>
              <w:ind w:left="309"/>
              <w:spacing w:after="0"/>
              <w:rPr>
                <w:sz w:val="20"/>
                <w:szCs w:val="20"/>
                <w:color w:val="auto"/>
              </w:rPr>
            </w:pPr>
            <w:r>
              <w:rPr>
                <w:rFonts w:ascii="Arial" w:cs="Arial" w:eastAsia="Arial" w:hAnsi="Arial"/>
                <w:sz w:val="15"/>
                <w:szCs w:val="15"/>
                <w:color w:val="auto"/>
                <w:w w:val="87"/>
              </w:rPr>
              <w:t>534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220" w:type="dxa"/>
            <w:vAlign w:val="bottom"/>
          </w:tcPr>
          <w:p>
            <w:pPr>
              <w:ind w:left="480"/>
              <w:spacing w:after="0"/>
              <w:rPr>
                <w:sz w:val="20"/>
                <w:szCs w:val="20"/>
                <w:color w:val="auto"/>
              </w:rPr>
            </w:pPr>
            <w:r>
              <w:rPr>
                <w:rFonts w:ascii="Arial" w:cs="Arial" w:eastAsia="Arial" w:hAnsi="Arial"/>
                <w:sz w:val="15"/>
                <w:szCs w:val="15"/>
                <w:color w:val="auto"/>
              </w:rPr>
              <w:t>Equity companies</w:t>
            </w: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269</w:t>
            </w:r>
          </w:p>
        </w:tc>
        <w:tc>
          <w:tcPr>
            <w:tcW w:w="820" w:type="dxa"/>
            <w:vAlign w:val="bottom"/>
          </w:tcPr>
          <w:p>
            <w:pPr>
              <w:jc w:val="right"/>
              <w:ind w:right="128"/>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67"/>
              <w:spacing w:after="0"/>
              <w:rPr>
                <w:sz w:val="20"/>
                <w:szCs w:val="20"/>
                <w:color w:val="auto"/>
              </w:rPr>
            </w:pPr>
            <w:r>
              <w:rPr>
                <w:rFonts w:ascii="Arial" w:cs="Arial" w:eastAsia="Arial" w:hAnsi="Arial"/>
                <w:sz w:val="15"/>
                <w:szCs w:val="15"/>
                <w:color w:val="auto"/>
              </w:rPr>
              <w:t>26</w:t>
            </w:r>
          </w:p>
        </w:tc>
        <w:tc>
          <w:tcPr>
            <w:tcW w:w="800" w:type="dxa"/>
            <w:vAlign w:val="bottom"/>
          </w:tcPr>
          <w:p>
            <w:pPr>
              <w:jc w:val="right"/>
              <w:ind w:right="127"/>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1,188</w:t>
            </w:r>
          </w:p>
        </w:tc>
        <w:tc>
          <w:tcPr>
            <w:tcW w:w="740" w:type="dxa"/>
            <w:vAlign w:val="bottom"/>
          </w:tcPr>
          <w:p>
            <w:pPr>
              <w:jc w:val="right"/>
              <w:ind w:right="127"/>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1,483</w:t>
            </w:r>
          </w:p>
        </w:tc>
        <w:tc>
          <w:tcPr>
            <w:tcW w:w="3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80" w:type="dxa"/>
            <w:vAlign w:val="bottom"/>
          </w:tcPr>
          <w:p>
            <w:pPr>
              <w:jc w:val="center"/>
              <w:ind w:left="329"/>
              <w:spacing w:after="0"/>
              <w:rPr>
                <w:sz w:val="20"/>
                <w:szCs w:val="20"/>
                <w:color w:val="auto"/>
              </w:rPr>
            </w:pPr>
            <w:r>
              <w:rPr>
                <w:rFonts w:ascii="Arial" w:cs="Arial" w:eastAsia="Arial" w:hAnsi="Arial"/>
                <w:sz w:val="15"/>
                <w:szCs w:val="15"/>
                <w:color w:val="auto"/>
                <w:w w:val="79"/>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3220" w:type="dxa"/>
            <w:vAlign w:val="bottom"/>
          </w:tcPr>
          <w:p>
            <w:pPr>
              <w:spacing w:after="0"/>
              <w:rPr>
                <w:sz w:val="20"/>
                <w:szCs w:val="20"/>
                <w:color w:val="auto"/>
              </w:rPr>
            </w:pPr>
            <w:r>
              <w:rPr>
                <w:rFonts w:ascii="Arial" w:cs="Arial" w:eastAsia="Arial" w:hAnsi="Arial"/>
                <w:sz w:val="15"/>
                <w:szCs w:val="15"/>
                <w:color w:val="auto"/>
              </w:rPr>
              <w:t>Proved undeveloped reserves, as of</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220" w:type="dxa"/>
            <w:vAlign w:val="bottom"/>
          </w:tcPr>
          <w:p>
            <w:pPr>
              <w:ind w:left="240"/>
              <w:spacing w:after="0"/>
              <w:rPr>
                <w:sz w:val="20"/>
                <w:szCs w:val="20"/>
                <w:color w:val="auto"/>
              </w:rPr>
            </w:pPr>
            <w:r>
              <w:rPr>
                <w:rFonts w:ascii="Arial" w:cs="Arial" w:eastAsia="Arial" w:hAnsi="Arial"/>
                <w:sz w:val="15"/>
                <w:szCs w:val="15"/>
                <w:color w:val="auto"/>
              </w:rPr>
              <w:t>December 31, 2014</w:t>
            </w: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20" w:type="dxa"/>
            <w:vAlign w:val="bottom"/>
          </w:tcPr>
          <w:p>
            <w:pPr>
              <w:ind w:left="480"/>
              <w:spacing w:after="0"/>
              <w:rPr>
                <w:sz w:val="20"/>
                <w:szCs w:val="20"/>
                <w:color w:val="auto"/>
              </w:rPr>
            </w:pPr>
            <w:r>
              <w:rPr>
                <w:rFonts w:ascii="Arial" w:cs="Arial" w:eastAsia="Arial" w:hAnsi="Arial"/>
                <w:sz w:val="15"/>
                <w:szCs w:val="15"/>
                <w:color w:val="auto"/>
              </w:rPr>
              <w:t>Consolidated subsidiaries</w:t>
            </w: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1,234</w:t>
            </w:r>
          </w:p>
        </w:tc>
        <w:tc>
          <w:tcPr>
            <w:tcW w:w="820" w:type="dxa"/>
            <w:vAlign w:val="bottom"/>
          </w:tcPr>
          <w:p>
            <w:pPr>
              <w:jc w:val="right"/>
              <w:ind w:right="68"/>
              <w:spacing w:after="0"/>
              <w:rPr>
                <w:sz w:val="20"/>
                <w:szCs w:val="20"/>
                <w:color w:val="auto"/>
              </w:rPr>
            </w:pPr>
            <w:r>
              <w:rPr>
                <w:rFonts w:ascii="Arial" w:cs="Arial" w:eastAsia="Arial" w:hAnsi="Arial"/>
                <w:sz w:val="15"/>
                <w:szCs w:val="15"/>
                <w:color w:val="auto"/>
              </w:rPr>
              <w:t>190</w:t>
            </w:r>
          </w:p>
        </w:tc>
        <w:tc>
          <w:tcPr>
            <w:tcW w:w="940" w:type="dxa"/>
            <w:vAlign w:val="bottom"/>
          </w:tcPr>
          <w:p>
            <w:pPr>
              <w:jc w:val="right"/>
              <w:ind w:right="67"/>
              <w:spacing w:after="0"/>
              <w:rPr>
                <w:sz w:val="20"/>
                <w:szCs w:val="20"/>
                <w:color w:val="auto"/>
              </w:rPr>
            </w:pPr>
            <w:r>
              <w:rPr>
                <w:rFonts w:ascii="Arial" w:cs="Arial" w:eastAsia="Arial" w:hAnsi="Arial"/>
                <w:sz w:val="15"/>
                <w:szCs w:val="15"/>
                <w:color w:val="auto"/>
              </w:rPr>
              <w:t>42</w:t>
            </w:r>
          </w:p>
        </w:tc>
        <w:tc>
          <w:tcPr>
            <w:tcW w:w="800" w:type="dxa"/>
            <w:vAlign w:val="bottom"/>
          </w:tcPr>
          <w:p>
            <w:pPr>
              <w:jc w:val="right"/>
              <w:ind w:right="67"/>
              <w:spacing w:after="0"/>
              <w:rPr>
                <w:sz w:val="20"/>
                <w:szCs w:val="20"/>
                <w:color w:val="auto"/>
              </w:rPr>
            </w:pPr>
            <w:r>
              <w:rPr>
                <w:rFonts w:ascii="Arial" w:cs="Arial" w:eastAsia="Arial" w:hAnsi="Arial"/>
                <w:sz w:val="15"/>
                <w:szCs w:val="15"/>
                <w:color w:val="auto"/>
              </w:rPr>
              <w:t>401</w:t>
            </w:r>
          </w:p>
        </w:tc>
        <w:tc>
          <w:tcPr>
            <w:tcW w:w="740" w:type="dxa"/>
            <w:vAlign w:val="bottom"/>
          </w:tcPr>
          <w:p>
            <w:pPr>
              <w:jc w:val="right"/>
              <w:spacing w:after="0"/>
              <w:rPr>
                <w:sz w:val="20"/>
                <w:szCs w:val="20"/>
                <w:color w:val="auto"/>
              </w:rPr>
            </w:pPr>
            <w:r>
              <w:rPr>
                <w:rFonts w:ascii="Arial" w:cs="Arial" w:eastAsia="Arial" w:hAnsi="Arial"/>
                <w:sz w:val="15"/>
                <w:szCs w:val="15"/>
                <w:color w:val="auto"/>
              </w:rPr>
              <w:t>651</w:t>
            </w: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99</w:t>
            </w:r>
          </w:p>
        </w:tc>
        <w:tc>
          <w:tcPr>
            <w:tcW w:w="620" w:type="dxa"/>
            <w:vAlign w:val="bottom"/>
          </w:tcPr>
          <w:p>
            <w:pPr>
              <w:jc w:val="right"/>
              <w:spacing w:after="0"/>
              <w:rPr>
                <w:sz w:val="20"/>
                <w:szCs w:val="20"/>
                <w:color w:val="auto"/>
              </w:rPr>
            </w:pPr>
            <w:r>
              <w:rPr>
                <w:rFonts w:ascii="Arial" w:cs="Arial" w:eastAsia="Arial" w:hAnsi="Arial"/>
                <w:sz w:val="15"/>
                <w:szCs w:val="15"/>
                <w:color w:val="auto"/>
              </w:rPr>
              <w:t>2,617</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2,111</w:t>
            </w:r>
          </w:p>
        </w:tc>
        <w:tc>
          <w:tcPr>
            <w:tcW w:w="100" w:type="dxa"/>
            <w:vAlign w:val="bottom"/>
          </w:tcPr>
          <w:p>
            <w:pPr>
              <w:spacing w:after="0"/>
              <w:rPr>
                <w:sz w:val="15"/>
                <w:szCs w:val="15"/>
                <w:color w:val="auto"/>
              </w:rPr>
            </w:pPr>
          </w:p>
        </w:tc>
        <w:tc>
          <w:tcPr>
            <w:tcW w:w="680" w:type="dxa"/>
            <w:vAlign w:val="bottom"/>
          </w:tcPr>
          <w:p>
            <w:pPr>
              <w:jc w:val="center"/>
              <w:ind w:left="329"/>
              <w:spacing w:after="0"/>
              <w:rPr>
                <w:sz w:val="20"/>
                <w:szCs w:val="20"/>
                <w:color w:val="auto"/>
              </w:rPr>
            </w:pPr>
            <w:r>
              <w:rPr>
                <w:rFonts w:ascii="Arial" w:cs="Arial" w:eastAsia="Arial" w:hAnsi="Arial"/>
                <w:sz w:val="15"/>
                <w:szCs w:val="15"/>
                <w:color w:val="auto"/>
                <w:w w:val="79"/>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220" w:type="dxa"/>
            <w:vAlign w:val="bottom"/>
          </w:tcPr>
          <w:p>
            <w:pPr>
              <w:ind w:left="480"/>
              <w:spacing w:after="0"/>
              <w:rPr>
                <w:sz w:val="20"/>
                <w:szCs w:val="20"/>
                <w:color w:val="auto"/>
              </w:rPr>
            </w:pPr>
            <w:r>
              <w:rPr>
                <w:rFonts w:ascii="Arial" w:cs="Arial" w:eastAsia="Arial" w:hAnsi="Arial"/>
                <w:sz w:val="15"/>
                <w:szCs w:val="15"/>
                <w:color w:val="auto"/>
              </w:rPr>
              <w:t>Equity companies</w:t>
            </w: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75</w:t>
            </w: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w:t>
            </w:r>
          </w:p>
        </w:tc>
        <w:tc>
          <w:tcPr>
            <w:tcW w:w="80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331</w:t>
            </w:r>
          </w:p>
        </w:tc>
        <w:tc>
          <w:tcPr>
            <w:tcW w:w="74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407</w:t>
            </w:r>
          </w:p>
        </w:tc>
        <w:tc>
          <w:tcPr>
            <w:tcW w:w="320" w:type="dxa"/>
            <w:vAlign w:val="bottom"/>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center"/>
              <w:ind w:left="329"/>
              <w:spacing w:after="0"/>
              <w:rPr>
                <w:sz w:val="20"/>
                <w:szCs w:val="20"/>
                <w:color w:val="auto"/>
              </w:rPr>
            </w:pPr>
            <w:r>
              <w:rPr>
                <w:rFonts w:ascii="Arial" w:cs="Arial" w:eastAsia="Arial" w:hAnsi="Arial"/>
                <w:sz w:val="15"/>
                <w:szCs w:val="15"/>
                <w:color w:val="auto"/>
                <w:w w:val="79"/>
              </w:rPr>
              <w:t>-</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220" w:type="dxa"/>
            <w:vAlign w:val="bottom"/>
          </w:tcPr>
          <w:p>
            <w:pPr>
              <w:spacing w:after="0" w:line="167" w:lineRule="exact"/>
              <w:rPr>
                <w:sz w:val="20"/>
                <w:szCs w:val="20"/>
                <w:color w:val="auto"/>
              </w:rPr>
            </w:pPr>
            <w:r>
              <w:rPr>
                <w:rFonts w:ascii="Arial" w:cs="Arial" w:eastAsia="Arial" w:hAnsi="Arial"/>
                <w:sz w:val="15"/>
                <w:szCs w:val="15"/>
                <w:color w:val="auto"/>
              </w:rPr>
              <w:t>Total liquids proved reserves at</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vMerge w:val="restart"/>
          </w:tcPr>
          <w:p>
            <w:pPr>
              <w:jc w:val="right"/>
              <w:ind w:right="86"/>
              <w:spacing w:after="0"/>
              <w:rPr>
                <w:sz w:val="20"/>
                <w:szCs w:val="20"/>
                <w:color w:val="auto"/>
              </w:rPr>
            </w:pPr>
            <w:r>
              <w:rPr>
                <w:rFonts w:ascii="Arial" w:cs="Arial" w:eastAsia="Arial" w:hAnsi="Arial"/>
                <w:sz w:val="15"/>
                <w:szCs w:val="15"/>
                <w:i w:val="1"/>
                <w:iCs w:val="1"/>
                <w:color w:val="auto"/>
                <w:w w:val="76"/>
              </w:rPr>
              <w:t>(4)</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220" w:type="dxa"/>
            <w:vAlign w:val="bottom"/>
          </w:tcPr>
          <w:p>
            <w:pPr>
              <w:ind w:left="240"/>
              <w:spacing w:after="0"/>
              <w:rPr>
                <w:sz w:val="20"/>
                <w:szCs w:val="20"/>
                <w:color w:val="auto"/>
              </w:rPr>
            </w:pPr>
            <w:r>
              <w:rPr>
                <w:rFonts w:ascii="Arial" w:cs="Arial" w:eastAsia="Arial" w:hAnsi="Arial"/>
                <w:sz w:val="15"/>
                <w:szCs w:val="15"/>
                <w:color w:val="auto"/>
              </w:rPr>
              <w:t>December 31, 2014</w:t>
            </w: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3,080</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301</w:t>
            </w:r>
          </w:p>
        </w:tc>
        <w:tc>
          <w:tcPr>
            <w:tcW w:w="9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274</w:t>
            </w:r>
          </w:p>
        </w:tc>
        <w:tc>
          <w:tcPr>
            <w:tcW w:w="8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1,295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3,785</w:t>
            </w: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211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8,946</w:t>
            </w:r>
          </w:p>
        </w:tc>
        <w:tc>
          <w:tcPr>
            <w:tcW w:w="320" w:type="dxa"/>
            <w:vAlign w:val="bottom"/>
            <w:vMerge w:val="continue"/>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4,233</w:t>
            </w:r>
          </w:p>
        </w:tc>
        <w:tc>
          <w:tcPr>
            <w:tcW w:w="100" w:type="dxa"/>
            <w:vAlign w:val="bottom"/>
          </w:tcPr>
          <w:p>
            <w:pPr>
              <w:spacing w:after="0"/>
              <w:rPr>
                <w:sz w:val="18"/>
                <w:szCs w:val="18"/>
                <w:color w:val="auto"/>
              </w:rPr>
            </w:pPr>
          </w:p>
        </w:tc>
        <w:tc>
          <w:tcPr>
            <w:tcW w:w="680" w:type="dxa"/>
            <w:vAlign w:val="bottom"/>
            <w:tcBorders>
              <w:bottom w:val="single" w:sz="8" w:color="auto"/>
            </w:tcBorders>
          </w:tcPr>
          <w:p>
            <w:pPr>
              <w:jc w:val="center"/>
              <w:ind w:left="309"/>
              <w:spacing w:after="0"/>
              <w:rPr>
                <w:sz w:val="20"/>
                <w:szCs w:val="20"/>
                <w:color w:val="auto"/>
              </w:rPr>
            </w:pPr>
            <w:r>
              <w:rPr>
                <w:rFonts w:ascii="Arial" w:cs="Arial" w:eastAsia="Arial" w:hAnsi="Arial"/>
                <w:sz w:val="15"/>
                <w:szCs w:val="15"/>
                <w:color w:val="auto"/>
                <w:w w:val="87"/>
              </w:rPr>
              <w:t>534</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ind w:left="300" w:hanging="294"/>
        <w:spacing w:after="0" w:line="265" w:lineRule="auto"/>
        <w:tabs>
          <w:tab w:leader="none" w:pos="319" w:val="left"/>
        </w:tabs>
        <w:numPr>
          <w:ilvl w:val="0"/>
          <w:numId w:val="40"/>
        </w:numPr>
        <w:rPr>
          <w:rFonts w:ascii="Arial" w:cs="Arial" w:eastAsia="Arial" w:hAnsi="Arial"/>
          <w:sz w:val="15"/>
          <w:szCs w:val="15"/>
          <w:i w:val="1"/>
          <w:iCs w:val="1"/>
          <w:color w:val="auto"/>
        </w:rPr>
      </w:pPr>
      <w:r>
        <w:rPr>
          <w:rFonts w:ascii="Arial" w:cs="Arial" w:eastAsia="Arial" w:hAnsi="Arial"/>
          <w:sz w:val="15"/>
          <w:szCs w:val="15"/>
          <w:i w:val="1"/>
          <w:iCs w:val="1"/>
          <w:color w:val="auto"/>
        </w:rPr>
        <w:t>Includes total proved reserves attributable to Imperial Oil Limited of 53 million barrels in 2012, 62 million barrels in 2013 and 46 million barrels in 2014, as well as proved de reserves of 52 million barrels in 2012, 55 million barrels in 2013 and 36 million barrels in 2014, and in addition, proved undeveloped reserves of 1 million barrels in 2012, 7 million in 2013 and 10 million barrels in 2014, in which there is a 30.4 percent noncontrolling interest.</w:t>
      </w:r>
    </w:p>
    <w:p>
      <w:pPr>
        <w:spacing w:after="0" w:line="29" w:lineRule="exact"/>
        <w:rPr>
          <w:rFonts w:ascii="Arial" w:cs="Arial" w:eastAsia="Arial" w:hAnsi="Arial"/>
          <w:sz w:val="15"/>
          <w:szCs w:val="15"/>
          <w:i w:val="1"/>
          <w:iCs w:val="1"/>
          <w:color w:val="auto"/>
        </w:rPr>
      </w:pPr>
    </w:p>
    <w:p>
      <w:pPr>
        <w:jc w:val="both"/>
        <w:ind w:left="300" w:hanging="294"/>
        <w:spacing w:after="0" w:line="265" w:lineRule="auto"/>
        <w:tabs>
          <w:tab w:leader="none" w:pos="328" w:val="left"/>
        </w:tabs>
        <w:numPr>
          <w:ilvl w:val="0"/>
          <w:numId w:val="40"/>
        </w:numPr>
        <w:rPr>
          <w:rFonts w:ascii="Arial" w:cs="Arial" w:eastAsia="Arial" w:hAnsi="Arial"/>
          <w:sz w:val="15"/>
          <w:szCs w:val="15"/>
          <w:i w:val="1"/>
          <w:iCs w:val="1"/>
          <w:color w:val="auto"/>
        </w:rPr>
      </w:pPr>
      <w:r>
        <w:rPr>
          <w:rFonts w:ascii="Arial" w:cs="Arial" w:eastAsia="Arial" w:hAnsi="Arial"/>
          <w:sz w:val="15"/>
          <w:szCs w:val="15"/>
          <w:i w:val="1"/>
          <w:iCs w:val="1"/>
          <w:color w:val="auto"/>
        </w:rPr>
        <w:t>Includes total proved reserves attributable to Imperial Oil Limited of 2,841 million barrels in 2012, 2,867 million barrels in 2013 and 3,274 million barrels in 2014, as well a developed reserves of 543 million barrels in 2012, 1,417 million barrels in 2013 and 1,635 million barrels in 2014, and in addition, proved undeveloped reserves of 2,298 million b 2012, 1,450 million barrels in 2013 and 1,639 million barrels in 2014, in which there is a 30.4 percent noncontrolling interest.</w:t>
      </w:r>
    </w:p>
    <w:p>
      <w:pPr>
        <w:spacing w:after="0" w:line="29" w:lineRule="exact"/>
        <w:rPr>
          <w:rFonts w:ascii="Arial" w:cs="Arial" w:eastAsia="Arial" w:hAnsi="Arial"/>
          <w:sz w:val="15"/>
          <w:szCs w:val="15"/>
          <w:i w:val="1"/>
          <w:iCs w:val="1"/>
          <w:color w:val="auto"/>
        </w:rPr>
      </w:pPr>
    </w:p>
    <w:p>
      <w:pPr>
        <w:ind w:left="300" w:hanging="294"/>
        <w:spacing w:after="0" w:line="310" w:lineRule="auto"/>
        <w:tabs>
          <w:tab w:leader="none" w:pos="299"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Includes total proved reserves attributable to Imperial Oil Limited of 599 million barrels in 2012, 579 million barrels in 2013 and 534 million barrels in 2014, as well as proved de reserves of 599 million barrels in 2012, 579 million barrels in 2013 and 534 million barrels in 2014, in which there is a 30.4 percent noncontrolling interest.</w:t>
      </w:r>
    </w:p>
    <w:p>
      <w:pPr>
        <w:ind w:left="300" w:right="20" w:hanging="294"/>
        <w:spacing w:after="0" w:line="269" w:lineRule="auto"/>
        <w:tabs>
          <w:tab w:leader="none" w:pos="289" w:val="left"/>
        </w:tabs>
        <w:numPr>
          <w:ilvl w:val="0"/>
          <w:numId w:val="40"/>
        </w:numPr>
        <w:rPr>
          <w:rFonts w:ascii="Arial" w:cs="Arial" w:eastAsia="Arial" w:hAnsi="Arial"/>
          <w:sz w:val="15"/>
          <w:szCs w:val="15"/>
          <w:i w:val="1"/>
          <w:iCs w:val="1"/>
          <w:color w:val="auto"/>
        </w:rPr>
      </w:pPr>
      <w:r>
        <w:rPr>
          <w:rFonts w:ascii="Arial" w:cs="Arial" w:eastAsia="Arial" w:hAnsi="Arial"/>
          <w:sz w:val="15"/>
          <w:szCs w:val="15"/>
          <w:i w:val="1"/>
          <w:iCs w:val="1"/>
          <w:color w:val="auto"/>
        </w:rPr>
        <w:t>See previous pages for natural gas liquids proved reserves attributable to consolidated subsidiaries and equity companies. For additional information on natural gas liquids proved see Item 2. Properties in ExxonMobil’s 2014 Form 10-K.</w:t>
      </w:r>
    </w:p>
    <w:p>
      <w:pPr>
        <w:spacing w:after="0" w:line="1"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813" w:right="1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b w:val="1"/>
          <w:bCs w:val="1"/>
          <w:color w:val="auto"/>
        </w:rPr>
        <w:t>Natural Gas and Oil-Equivalent Proved Reserves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40" w:type="dxa"/>
            <w:vAlign w:val="bottom"/>
            <w:tcBorders>
              <w:top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center"/>
              <w:ind w:right="219"/>
              <w:spacing w:after="0"/>
              <w:rPr>
                <w:sz w:val="20"/>
                <w:szCs w:val="20"/>
                <w:color w:val="auto"/>
              </w:rPr>
            </w:pPr>
            <w:r>
              <w:rPr>
                <w:rFonts w:ascii="Arial" w:cs="Arial" w:eastAsia="Arial" w:hAnsi="Arial"/>
                <w:sz w:val="13"/>
                <w:szCs w:val="13"/>
                <w:color w:val="auto"/>
                <w:w w:val="92"/>
              </w:rPr>
              <w:t>Natural Gas</w:t>
            </w:r>
          </w:p>
        </w:tc>
        <w:tc>
          <w:tcPr>
            <w:tcW w:w="6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jc w:val="center"/>
              <w:ind w:right="100"/>
              <w:spacing w:after="0"/>
              <w:rPr>
                <w:sz w:val="20"/>
                <w:szCs w:val="20"/>
                <w:color w:val="auto"/>
              </w:rPr>
            </w:pPr>
            <w:r>
              <w:rPr>
                <w:rFonts w:ascii="Arial" w:cs="Arial" w:eastAsia="Arial" w:hAnsi="Arial"/>
                <w:sz w:val="13"/>
                <w:szCs w:val="13"/>
                <w:color w:val="auto"/>
                <w:w w:val="85"/>
              </w:rPr>
              <w:t>Canada/</w:t>
            </w: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Oil-Equival</w:t>
            </w:r>
          </w:p>
        </w:tc>
        <w:tc>
          <w:tcPr>
            <w:tcW w:w="0" w:type="dxa"/>
            <w:vAlign w:val="bottom"/>
          </w:tcPr>
          <w:p>
            <w:pPr>
              <w:spacing w:after="0"/>
              <w:rPr>
                <w:sz w:val="1"/>
                <w:szCs w:val="1"/>
                <w:color w:val="auto"/>
              </w:rPr>
            </w:pPr>
          </w:p>
        </w:tc>
      </w:tr>
      <w:tr>
        <w:trPr>
          <w:trHeight w:val="168"/>
        </w:trPr>
        <w:tc>
          <w:tcPr>
            <w:tcW w:w="4140" w:type="dxa"/>
            <w:vAlign w:val="bottom"/>
          </w:tcPr>
          <w:p>
            <w:pPr>
              <w:spacing w:after="0"/>
              <w:rPr>
                <w:sz w:val="14"/>
                <w:szCs w:val="14"/>
                <w:color w:val="auto"/>
              </w:rPr>
            </w:pPr>
          </w:p>
        </w:tc>
        <w:tc>
          <w:tcPr>
            <w:tcW w:w="880" w:type="dxa"/>
            <w:vAlign w:val="bottom"/>
          </w:tcPr>
          <w:p>
            <w:pPr>
              <w:jc w:val="right"/>
              <w:ind w:right="219"/>
              <w:spacing w:after="0"/>
              <w:rPr>
                <w:sz w:val="20"/>
                <w:szCs w:val="20"/>
                <w:color w:val="auto"/>
              </w:rPr>
            </w:pPr>
            <w:r>
              <w:rPr>
                <w:rFonts w:ascii="Arial" w:cs="Arial" w:eastAsia="Arial" w:hAnsi="Arial"/>
                <w:sz w:val="13"/>
                <w:szCs w:val="13"/>
                <w:color w:val="auto"/>
              </w:rPr>
              <w:t>United</w:t>
            </w:r>
          </w:p>
        </w:tc>
        <w:tc>
          <w:tcPr>
            <w:tcW w:w="840" w:type="dxa"/>
            <w:vAlign w:val="bottom"/>
          </w:tcPr>
          <w:p>
            <w:pPr>
              <w:jc w:val="center"/>
              <w:ind w:right="100"/>
              <w:spacing w:after="0"/>
              <w:rPr>
                <w:sz w:val="20"/>
                <w:szCs w:val="20"/>
                <w:color w:val="auto"/>
              </w:rPr>
            </w:pPr>
            <w:r>
              <w:rPr>
                <w:rFonts w:ascii="Arial" w:cs="Arial" w:eastAsia="Arial" w:hAnsi="Arial"/>
                <w:sz w:val="13"/>
                <w:szCs w:val="13"/>
                <w:color w:val="auto"/>
                <w:w w:val="88"/>
              </w:rPr>
              <w:t>South</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jc w:val="right"/>
              <w:ind w:right="179"/>
              <w:spacing w:after="0"/>
              <w:rPr>
                <w:sz w:val="20"/>
                <w:szCs w:val="20"/>
                <w:color w:val="auto"/>
              </w:rPr>
            </w:pPr>
            <w:r>
              <w:rPr>
                <w:rFonts w:ascii="Arial" w:cs="Arial" w:eastAsia="Arial" w:hAnsi="Arial"/>
                <w:sz w:val="13"/>
                <w:szCs w:val="13"/>
                <w:color w:val="auto"/>
              </w:rPr>
              <w:t>Australia/</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880" w:type="dxa"/>
            <w:vAlign w:val="bottom"/>
          </w:tcPr>
          <w:p>
            <w:pPr>
              <w:jc w:val="right"/>
              <w:ind w:right="239"/>
              <w:spacing w:after="0"/>
              <w:rPr>
                <w:sz w:val="20"/>
                <w:szCs w:val="20"/>
                <w:color w:val="auto"/>
              </w:rPr>
            </w:pPr>
            <w:r>
              <w:rPr>
                <w:rFonts w:ascii="Arial" w:cs="Arial" w:eastAsia="Arial" w:hAnsi="Arial"/>
                <w:sz w:val="13"/>
                <w:szCs w:val="13"/>
                <w:color w:val="auto"/>
              </w:rPr>
              <w:t>States</w:t>
            </w:r>
          </w:p>
        </w:tc>
        <w:tc>
          <w:tcPr>
            <w:tcW w:w="840" w:type="dxa"/>
            <w:vAlign w:val="bottom"/>
          </w:tcPr>
          <w:p>
            <w:pPr>
              <w:jc w:val="center"/>
              <w:ind w:right="100"/>
              <w:spacing w:after="0"/>
              <w:rPr>
                <w:sz w:val="20"/>
                <w:szCs w:val="20"/>
                <w:color w:val="auto"/>
              </w:rPr>
            </w:pPr>
            <w:r>
              <w:rPr>
                <w:rFonts w:ascii="Arial" w:cs="Arial" w:eastAsia="Arial" w:hAnsi="Arial"/>
                <w:sz w:val="13"/>
                <w:szCs w:val="13"/>
                <w:color w:val="auto"/>
                <w:w w:val="92"/>
              </w:rPr>
              <w:t xml:space="preserve">Amer. </w:t>
            </w:r>
            <w:r>
              <w:rPr>
                <w:rFonts w:ascii="Arial" w:cs="Arial" w:eastAsia="Arial" w:hAnsi="Arial"/>
                <w:sz w:val="13"/>
                <w:szCs w:val="13"/>
                <w:i w:val="1"/>
                <w:iCs w:val="1"/>
                <w:color w:val="auto"/>
                <w:w w:val="92"/>
              </w:rPr>
              <w:t>(1)</w:t>
            </w:r>
          </w:p>
        </w:tc>
        <w:tc>
          <w:tcPr>
            <w:tcW w:w="740" w:type="dxa"/>
            <w:vAlign w:val="bottom"/>
          </w:tcPr>
          <w:p>
            <w:pPr>
              <w:jc w:val="right"/>
              <w:ind w:right="179"/>
              <w:spacing w:after="0"/>
              <w:rPr>
                <w:sz w:val="20"/>
                <w:szCs w:val="20"/>
                <w:color w:val="auto"/>
              </w:rPr>
            </w:pPr>
            <w:r>
              <w:rPr>
                <w:rFonts w:ascii="Arial" w:cs="Arial" w:eastAsia="Arial" w:hAnsi="Arial"/>
                <w:sz w:val="13"/>
                <w:szCs w:val="13"/>
                <w:color w:val="auto"/>
              </w:rPr>
              <w:t>Europe</w:t>
            </w:r>
          </w:p>
        </w:tc>
        <w:tc>
          <w:tcPr>
            <w:tcW w:w="980" w:type="dxa"/>
            <w:vAlign w:val="bottom"/>
          </w:tcPr>
          <w:p>
            <w:pPr>
              <w:jc w:val="center"/>
              <w:ind w:right="179"/>
              <w:spacing w:after="0"/>
              <w:rPr>
                <w:sz w:val="20"/>
                <w:szCs w:val="20"/>
                <w:color w:val="auto"/>
              </w:rPr>
            </w:pPr>
            <w:r>
              <w:rPr>
                <w:rFonts w:ascii="Arial" w:cs="Arial" w:eastAsia="Arial" w:hAnsi="Arial"/>
                <w:sz w:val="13"/>
                <w:szCs w:val="13"/>
                <w:color w:val="auto"/>
                <w:w w:val="96"/>
              </w:rPr>
              <w:t>Africa</w:t>
            </w:r>
          </w:p>
        </w:tc>
        <w:tc>
          <w:tcPr>
            <w:tcW w:w="640" w:type="dxa"/>
            <w:vAlign w:val="bottom"/>
          </w:tcPr>
          <w:p>
            <w:pPr>
              <w:jc w:val="right"/>
              <w:ind w:right="259"/>
              <w:spacing w:after="0"/>
              <w:rPr>
                <w:sz w:val="20"/>
                <w:szCs w:val="20"/>
                <w:color w:val="auto"/>
              </w:rPr>
            </w:pPr>
            <w:r>
              <w:rPr>
                <w:rFonts w:ascii="Arial" w:cs="Arial" w:eastAsia="Arial" w:hAnsi="Arial"/>
                <w:sz w:val="13"/>
                <w:szCs w:val="13"/>
                <w:color w:val="auto"/>
              </w:rPr>
              <w:t>Asia</w:t>
            </w:r>
          </w:p>
        </w:tc>
        <w:tc>
          <w:tcPr>
            <w:tcW w:w="860" w:type="dxa"/>
            <w:vAlign w:val="bottom"/>
          </w:tcPr>
          <w:p>
            <w:pPr>
              <w:jc w:val="right"/>
              <w:ind w:right="239"/>
              <w:spacing w:after="0"/>
              <w:rPr>
                <w:sz w:val="20"/>
                <w:szCs w:val="20"/>
                <w:color w:val="auto"/>
              </w:rPr>
            </w:pPr>
            <w:r>
              <w:rPr>
                <w:rFonts w:ascii="Arial" w:cs="Arial" w:eastAsia="Arial" w:hAnsi="Arial"/>
                <w:sz w:val="13"/>
                <w:szCs w:val="13"/>
                <w:color w:val="auto"/>
              </w:rPr>
              <w:t>Oceania</w:t>
            </w:r>
          </w:p>
        </w:tc>
        <w:tc>
          <w:tcPr>
            <w:tcW w:w="880" w:type="dxa"/>
            <w:vAlign w:val="bottom"/>
            <w:gridSpan w:val="2"/>
          </w:tcPr>
          <w:p>
            <w:pPr>
              <w:jc w:val="right"/>
              <w:ind w:right="480"/>
              <w:spacing w:after="0"/>
              <w:rPr>
                <w:sz w:val="20"/>
                <w:szCs w:val="20"/>
                <w:color w:val="auto"/>
              </w:rPr>
            </w:pPr>
            <w:r>
              <w:rPr>
                <w:rFonts w:ascii="Arial" w:cs="Arial" w:eastAsia="Arial" w:hAnsi="Arial"/>
                <w:sz w:val="13"/>
                <w:szCs w:val="13"/>
                <w:color w:val="auto"/>
              </w:rPr>
              <w:t>Total</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All Products</w:t>
            </w:r>
          </w:p>
        </w:tc>
        <w:tc>
          <w:tcPr>
            <w:tcW w:w="0" w:type="dxa"/>
            <w:vAlign w:val="bottom"/>
          </w:tcPr>
          <w:p>
            <w:pPr>
              <w:spacing w:after="0"/>
              <w:rPr>
                <w:sz w:val="1"/>
                <w:szCs w:val="1"/>
                <w:color w:val="auto"/>
              </w:rPr>
            </w:pPr>
          </w:p>
        </w:tc>
      </w:tr>
      <w:tr>
        <w:trPr>
          <w:trHeight w:val="171"/>
        </w:trPr>
        <w:tc>
          <w:tcPr>
            <w:tcW w:w="4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gridSpan w:val="2"/>
          </w:tcPr>
          <w:p>
            <w:pPr>
              <w:jc w:val="center"/>
              <w:ind w:left="359"/>
              <w:spacing w:after="0"/>
              <w:rPr>
                <w:sz w:val="20"/>
                <w:szCs w:val="20"/>
                <w:color w:val="auto"/>
              </w:rPr>
            </w:pPr>
            <w:r>
              <w:rPr>
                <w:rFonts w:ascii="Arial" w:cs="Arial" w:eastAsia="Arial" w:hAnsi="Arial"/>
                <w:sz w:val="13"/>
                <w:szCs w:val="13"/>
                <w:i w:val="1"/>
                <w:iCs w:val="1"/>
                <w:color w:val="auto"/>
                <w:w w:val="94"/>
              </w:rPr>
              <w:t>(billions of cubic feet)</w:t>
            </w:r>
          </w:p>
        </w:tc>
        <w:tc>
          <w:tcPr>
            <w:tcW w:w="6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i w:val="1"/>
                <w:iCs w:val="1"/>
                <w:color w:val="auto"/>
              </w:rPr>
              <w:t>(millions of</w:t>
            </w:r>
          </w:p>
        </w:tc>
        <w:tc>
          <w:tcPr>
            <w:tcW w:w="0" w:type="dxa"/>
            <w:vAlign w:val="bottom"/>
          </w:tcPr>
          <w:p>
            <w:pPr>
              <w:spacing w:after="0"/>
              <w:rPr>
                <w:sz w:val="1"/>
                <w:szCs w:val="1"/>
                <w:color w:val="auto"/>
              </w:rPr>
            </w:pPr>
          </w:p>
        </w:tc>
      </w:tr>
      <w:tr>
        <w:trPr>
          <w:trHeight w:val="184"/>
        </w:trPr>
        <w:tc>
          <w:tcPr>
            <w:tcW w:w="4140" w:type="dxa"/>
            <w:vAlign w:val="bottom"/>
            <w:vMerge w:val="restart"/>
          </w:tcPr>
          <w:p>
            <w:pPr>
              <w:spacing w:after="0"/>
              <w:rPr>
                <w:sz w:val="20"/>
                <w:szCs w:val="20"/>
                <w:color w:val="auto"/>
              </w:rPr>
            </w:pPr>
            <w:r>
              <w:rPr>
                <w:rFonts w:ascii="Arial" w:cs="Arial" w:eastAsia="Arial" w:hAnsi="Arial"/>
                <w:sz w:val="16"/>
                <w:szCs w:val="16"/>
                <w:color w:val="auto"/>
              </w:rPr>
              <w:t>Net proved developed and undeveloped</w:t>
            </w: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i w:val="1"/>
                <w:iCs w:val="1"/>
                <w:color w:val="auto"/>
              </w:rPr>
              <w:t>equivalen</w:t>
            </w:r>
          </w:p>
        </w:tc>
        <w:tc>
          <w:tcPr>
            <w:tcW w:w="0" w:type="dxa"/>
            <w:vAlign w:val="bottom"/>
          </w:tcPr>
          <w:p>
            <w:pPr>
              <w:spacing w:after="0"/>
              <w:rPr>
                <w:sz w:val="1"/>
                <w:szCs w:val="1"/>
                <w:color w:val="auto"/>
              </w:rPr>
            </w:pPr>
          </w:p>
        </w:tc>
      </w:tr>
      <w:tr>
        <w:trPr>
          <w:trHeight w:val="195"/>
        </w:trPr>
        <w:tc>
          <w:tcPr>
            <w:tcW w:w="414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reserves of consolidated subsidiaries</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tcPr>
          <w:p>
            <w:pPr>
              <w:spacing w:after="0"/>
              <w:rPr>
                <w:sz w:val="20"/>
                <w:szCs w:val="20"/>
                <w:color w:val="auto"/>
              </w:rPr>
            </w:pPr>
            <w:r>
              <w:rPr>
                <w:rFonts w:ascii="Arial" w:cs="Arial" w:eastAsia="Arial" w:hAnsi="Arial"/>
                <w:sz w:val="16"/>
                <w:szCs w:val="16"/>
                <w:color w:val="auto"/>
              </w:rPr>
              <w:t>January 1, 2012</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26,254</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835</w:t>
            </w:r>
          </w:p>
        </w:tc>
        <w:tc>
          <w:tcPr>
            <w:tcW w:w="740" w:type="dxa"/>
            <w:vAlign w:val="bottom"/>
          </w:tcPr>
          <w:p>
            <w:pPr>
              <w:jc w:val="right"/>
              <w:spacing w:after="0"/>
              <w:rPr>
                <w:sz w:val="20"/>
                <w:szCs w:val="20"/>
                <w:color w:val="auto"/>
              </w:rPr>
            </w:pPr>
            <w:r>
              <w:rPr>
                <w:rFonts w:ascii="Arial" w:cs="Arial" w:eastAsia="Arial" w:hAnsi="Arial"/>
                <w:sz w:val="16"/>
                <w:szCs w:val="16"/>
                <w:color w:val="auto"/>
              </w:rPr>
              <w:t>3,586</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982</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6,471</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7,247</w:t>
            </w:r>
          </w:p>
        </w:tc>
        <w:tc>
          <w:tcPr>
            <w:tcW w:w="660" w:type="dxa"/>
            <w:vAlign w:val="bottom"/>
          </w:tcPr>
          <w:p>
            <w:pPr>
              <w:jc w:val="right"/>
              <w:spacing w:after="0"/>
              <w:rPr>
                <w:sz w:val="20"/>
                <w:szCs w:val="20"/>
                <w:color w:val="auto"/>
              </w:rPr>
            </w:pPr>
            <w:r>
              <w:rPr>
                <w:rFonts w:ascii="Arial" w:cs="Arial" w:eastAsia="Arial" w:hAnsi="Arial"/>
                <w:sz w:val="16"/>
                <w:szCs w:val="16"/>
                <w:color w:val="auto"/>
              </w:rPr>
              <w:t>45,375</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17,67</w:t>
            </w: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Revisions</w:t>
            </w:r>
          </w:p>
        </w:tc>
        <w:tc>
          <w:tcPr>
            <w:tcW w:w="880" w:type="dxa"/>
            <w:vAlign w:val="bottom"/>
          </w:tcPr>
          <w:p>
            <w:pPr>
              <w:jc w:val="right"/>
              <w:spacing w:after="0"/>
              <w:rPr>
                <w:sz w:val="20"/>
                <w:szCs w:val="20"/>
                <w:color w:val="auto"/>
              </w:rPr>
            </w:pPr>
            <w:r>
              <w:rPr>
                <w:rFonts w:ascii="Arial" w:cs="Arial" w:eastAsia="Arial" w:hAnsi="Arial"/>
                <w:sz w:val="16"/>
                <w:szCs w:val="16"/>
                <w:color w:val="auto"/>
              </w:rPr>
              <w:t>(2,888)</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168</w:t>
            </w:r>
          </w:p>
        </w:tc>
        <w:tc>
          <w:tcPr>
            <w:tcW w:w="740" w:type="dxa"/>
            <w:vAlign w:val="bottom"/>
          </w:tcPr>
          <w:p>
            <w:pPr>
              <w:jc w:val="right"/>
              <w:spacing w:after="0"/>
              <w:rPr>
                <w:sz w:val="20"/>
                <w:szCs w:val="20"/>
                <w:color w:val="auto"/>
              </w:rPr>
            </w:pPr>
            <w:r>
              <w:rPr>
                <w:rFonts w:ascii="Arial" w:cs="Arial" w:eastAsia="Arial" w:hAnsi="Arial"/>
                <w:sz w:val="16"/>
                <w:szCs w:val="16"/>
                <w:color w:val="auto"/>
              </w:rPr>
              <w:t>168</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640" w:type="dxa"/>
            <w:vAlign w:val="bottom"/>
          </w:tcPr>
          <w:p>
            <w:pPr>
              <w:jc w:val="right"/>
              <w:spacing w:after="0"/>
              <w:rPr>
                <w:sz w:val="20"/>
                <w:szCs w:val="20"/>
                <w:color w:val="auto"/>
              </w:rPr>
            </w:pPr>
            <w:r>
              <w:rPr>
                <w:rFonts w:ascii="Arial" w:cs="Arial" w:eastAsia="Arial" w:hAnsi="Arial"/>
                <w:sz w:val="16"/>
                <w:szCs w:val="16"/>
                <w:color w:val="auto"/>
              </w:rPr>
              <w:t>(106)</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465</w:t>
            </w:r>
          </w:p>
        </w:tc>
        <w:tc>
          <w:tcPr>
            <w:tcW w:w="660" w:type="dxa"/>
            <w:vAlign w:val="bottom"/>
          </w:tcPr>
          <w:p>
            <w:pPr>
              <w:jc w:val="right"/>
              <w:spacing w:after="0"/>
              <w:rPr>
                <w:sz w:val="20"/>
                <w:szCs w:val="20"/>
                <w:color w:val="auto"/>
              </w:rPr>
            </w:pPr>
            <w:r>
              <w:rPr>
                <w:rFonts w:ascii="Arial" w:cs="Arial" w:eastAsia="Arial" w:hAnsi="Arial"/>
                <w:sz w:val="16"/>
                <w:szCs w:val="16"/>
                <w:color w:val="auto"/>
              </w:rPr>
              <w:t>(2,191)</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Improved recovery</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ind w:left="5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Purchases</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503</w:t>
            </w:r>
          </w:p>
        </w:tc>
        <w:tc>
          <w:tcPr>
            <w:tcW w:w="840" w:type="dxa"/>
            <w:vAlign w:val="bottom"/>
          </w:tcPr>
          <w:p>
            <w:pPr>
              <w:ind w:left="5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9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509</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Sales</w:t>
            </w:r>
          </w:p>
        </w:tc>
        <w:tc>
          <w:tcPr>
            <w:tcW w:w="880" w:type="dxa"/>
            <w:vAlign w:val="bottom"/>
          </w:tcPr>
          <w:p>
            <w:pPr>
              <w:jc w:val="right"/>
              <w:spacing w:after="0"/>
              <w:rPr>
                <w:sz w:val="20"/>
                <w:szCs w:val="20"/>
                <w:color w:val="auto"/>
              </w:rPr>
            </w:pPr>
            <w:r>
              <w:rPr>
                <w:rFonts w:ascii="Arial" w:cs="Arial" w:eastAsia="Arial" w:hAnsi="Arial"/>
                <w:sz w:val="16"/>
                <w:szCs w:val="16"/>
                <w:color w:val="auto"/>
              </w:rPr>
              <w:t>(181)</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740" w:type="dxa"/>
            <w:vAlign w:val="bottom"/>
          </w:tcPr>
          <w:p>
            <w:pPr>
              <w:jc w:val="right"/>
              <w:spacing w:after="0"/>
              <w:rPr>
                <w:sz w:val="20"/>
                <w:szCs w:val="20"/>
                <w:color w:val="auto"/>
              </w:rPr>
            </w:pPr>
            <w:r>
              <w:rPr>
                <w:rFonts w:ascii="Arial" w:cs="Arial" w:eastAsia="Arial" w:hAnsi="Arial"/>
                <w:sz w:val="16"/>
                <w:szCs w:val="16"/>
                <w:color w:val="auto"/>
              </w:rPr>
              <w:t>(140)</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(12)</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(353)</w:t>
            </w:r>
          </w:p>
        </w:tc>
        <w:tc>
          <w:tcPr>
            <w:tcW w:w="9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Extensions/discoveries</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4,045</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95</w:t>
            </w:r>
          </w:p>
        </w:tc>
        <w:tc>
          <w:tcPr>
            <w:tcW w:w="740" w:type="dxa"/>
            <w:vAlign w:val="bottom"/>
          </w:tcPr>
          <w:p>
            <w:pPr>
              <w:jc w:val="right"/>
              <w:spacing w:after="0"/>
              <w:rPr>
                <w:sz w:val="20"/>
                <w:szCs w:val="20"/>
                <w:color w:val="auto"/>
              </w:rPr>
            </w:pPr>
            <w:r>
              <w:rPr>
                <w:rFonts w:ascii="Arial" w:cs="Arial" w:eastAsia="Arial" w:hAnsi="Arial"/>
                <w:sz w:val="16"/>
                <w:szCs w:val="16"/>
                <w:color w:val="auto"/>
              </w:rPr>
              <w:t>184</w:t>
            </w:r>
          </w:p>
        </w:tc>
        <w:tc>
          <w:tcPr>
            <w:tcW w:w="9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4,383</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08"/>
        </w:trPr>
        <w:tc>
          <w:tcPr>
            <w:tcW w:w="4140" w:type="dxa"/>
            <w:vAlign w:val="bottom"/>
          </w:tcPr>
          <w:p>
            <w:pPr>
              <w:ind w:left="240"/>
              <w:spacing w:after="0"/>
              <w:rPr>
                <w:sz w:val="20"/>
                <w:szCs w:val="20"/>
                <w:color w:val="auto"/>
              </w:rPr>
            </w:pPr>
            <w:r>
              <w:rPr>
                <w:rFonts w:ascii="Arial" w:cs="Arial" w:eastAsia="Arial" w:hAnsi="Arial"/>
                <w:sz w:val="16"/>
                <w:szCs w:val="16"/>
                <w:color w:val="auto"/>
              </w:rPr>
              <w:t>Production</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(2,992)</w:t>
            </w:r>
          </w:p>
        </w:tc>
        <w:tc>
          <w:tcPr>
            <w:tcW w:w="2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20"/>
                <w:szCs w:val="20"/>
                <w:color w:val="auto"/>
              </w:rPr>
            </w:pPr>
            <w:r>
              <w:rPr>
                <w:rFonts w:ascii="Arial" w:cs="Arial" w:eastAsia="Arial" w:hAnsi="Arial"/>
                <w:sz w:val="16"/>
                <w:szCs w:val="16"/>
                <w:color w:val="auto"/>
              </w:rPr>
              <w:t>December 31, 2012</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26,215</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925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3,249</w:t>
            </w: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929</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5,845</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7,568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44,731</w:t>
            </w:r>
          </w:p>
        </w:tc>
        <w:tc>
          <w:tcPr>
            <w:tcW w:w="2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18,16</w:t>
            </w:r>
          </w:p>
        </w:tc>
        <w:tc>
          <w:tcPr>
            <w:tcW w:w="0" w:type="dxa"/>
            <w:vAlign w:val="bottom"/>
          </w:tcPr>
          <w:p>
            <w:pPr>
              <w:spacing w:after="0"/>
              <w:rPr>
                <w:sz w:val="1"/>
                <w:szCs w:val="1"/>
                <w:color w:val="auto"/>
              </w:rPr>
            </w:pPr>
          </w:p>
        </w:tc>
      </w:tr>
      <w:tr>
        <w:trPr>
          <w:trHeight w:val="372"/>
        </w:trPr>
        <w:tc>
          <w:tcPr>
            <w:tcW w:w="4140" w:type="dxa"/>
            <w:vAlign w:val="bottom"/>
          </w:tcPr>
          <w:p>
            <w:pPr>
              <w:spacing w:after="0"/>
              <w:rPr>
                <w:sz w:val="20"/>
                <w:szCs w:val="20"/>
                <w:color w:val="auto"/>
              </w:rPr>
            </w:pPr>
            <w:r>
              <w:rPr>
                <w:rFonts w:ascii="Arial" w:cs="Arial" w:eastAsia="Arial" w:hAnsi="Arial"/>
                <w:sz w:val="16"/>
                <w:szCs w:val="16"/>
                <w:color w:val="auto"/>
              </w:rPr>
              <w:t>Proportional interest in proved reserves</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of equity companies</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tcPr>
          <w:p>
            <w:pPr>
              <w:spacing w:after="0"/>
              <w:rPr>
                <w:sz w:val="20"/>
                <w:szCs w:val="20"/>
                <w:color w:val="auto"/>
              </w:rPr>
            </w:pPr>
            <w:r>
              <w:rPr>
                <w:rFonts w:ascii="Arial" w:cs="Arial" w:eastAsia="Arial" w:hAnsi="Arial"/>
                <w:sz w:val="16"/>
                <w:szCs w:val="16"/>
                <w:color w:val="auto"/>
              </w:rPr>
              <w:t>January 1, 2012</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840" w:type="dxa"/>
            <w:vAlign w:val="bottom"/>
          </w:tcPr>
          <w:p>
            <w:pPr>
              <w:ind w:left="5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10,169</w:t>
            </w:r>
          </w:p>
        </w:tc>
        <w:tc>
          <w:tcPr>
            <w:tcW w:w="9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20,566</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30,847</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Revisions</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840" w:type="dxa"/>
            <w:vAlign w:val="bottom"/>
          </w:tcPr>
          <w:p>
            <w:pPr>
              <w:ind w:left="5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w:t>
            </w:r>
          </w:p>
        </w:tc>
        <w:tc>
          <w:tcPr>
            <w:tcW w:w="9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252</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318</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Improved recovery</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ind w:left="5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Purchases</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ind w:left="5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Sales</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ind w:left="5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Extensions/discoveries</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ind w:left="5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40" w:type="dxa"/>
            <w:vAlign w:val="bottom"/>
          </w:tcPr>
          <w:p>
            <w:pPr>
              <w:ind w:left="240"/>
              <w:spacing w:after="0"/>
              <w:rPr>
                <w:sz w:val="20"/>
                <w:szCs w:val="20"/>
                <w:color w:val="auto"/>
              </w:rPr>
            </w:pPr>
            <w:r>
              <w:rPr>
                <w:rFonts w:ascii="Arial" w:cs="Arial" w:eastAsia="Arial" w:hAnsi="Arial"/>
                <w:sz w:val="16"/>
                <w:szCs w:val="16"/>
                <w:color w:val="auto"/>
              </w:rPr>
              <w:t>Production</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4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w:t>
            </w: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w:t>
            </w: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(1,805)</w:t>
            </w:r>
          </w:p>
        </w:tc>
        <w:tc>
          <w:tcPr>
            <w:tcW w:w="2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20"/>
                <w:szCs w:val="20"/>
                <w:color w:val="auto"/>
              </w:rPr>
            </w:pPr>
            <w:r>
              <w:rPr>
                <w:rFonts w:ascii="Arial" w:cs="Arial" w:eastAsia="Arial" w:hAnsi="Arial"/>
                <w:sz w:val="16"/>
                <w:szCs w:val="16"/>
                <w:color w:val="auto"/>
              </w:rPr>
              <w:t>December 31, 2012</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155</w:t>
            </w:r>
          </w:p>
        </w:tc>
        <w:tc>
          <w:tcPr>
            <w:tcW w:w="84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9,535</w:t>
            </w: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19,670</w:t>
            </w: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29,360</w:t>
            </w:r>
          </w:p>
        </w:tc>
        <w:tc>
          <w:tcPr>
            <w:tcW w:w="2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Arial" w:cs="Arial" w:eastAsia="Arial" w:hAnsi="Arial"/>
                <w:sz w:val="16"/>
                <w:szCs w:val="16"/>
                <w:color w:val="auto"/>
              </w:rPr>
              <w:t>Total proved reserves at December 31, 2012</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26,370</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925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12,784</w:t>
            </w: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929</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25,515</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7,568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74,091</w:t>
            </w:r>
          </w:p>
        </w:tc>
        <w:tc>
          <w:tcPr>
            <w:tcW w:w="2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25,16</w:t>
            </w:r>
          </w:p>
        </w:tc>
        <w:tc>
          <w:tcPr>
            <w:tcW w:w="0" w:type="dxa"/>
            <w:vAlign w:val="bottom"/>
          </w:tcPr>
          <w:p>
            <w:pPr>
              <w:spacing w:after="0"/>
              <w:rPr>
                <w:sz w:val="1"/>
                <w:szCs w:val="1"/>
                <w:color w:val="auto"/>
              </w:rPr>
            </w:pPr>
          </w:p>
        </w:tc>
      </w:tr>
      <w:tr>
        <w:trPr>
          <w:trHeight w:val="372"/>
        </w:trPr>
        <w:tc>
          <w:tcPr>
            <w:tcW w:w="4140" w:type="dxa"/>
            <w:vAlign w:val="bottom"/>
          </w:tcPr>
          <w:p>
            <w:pPr>
              <w:spacing w:after="0"/>
              <w:rPr>
                <w:sz w:val="20"/>
                <w:szCs w:val="20"/>
                <w:color w:val="auto"/>
              </w:rPr>
            </w:pPr>
            <w:r>
              <w:rPr>
                <w:rFonts w:ascii="Arial" w:cs="Arial" w:eastAsia="Arial" w:hAnsi="Arial"/>
                <w:sz w:val="16"/>
                <w:szCs w:val="16"/>
                <w:color w:val="auto"/>
              </w:rPr>
              <w:t>Net proved developed and undeveloped</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reserves of consolidated subsidiaries</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tcPr>
          <w:p>
            <w:pPr>
              <w:spacing w:after="0"/>
              <w:rPr>
                <w:sz w:val="20"/>
                <w:szCs w:val="20"/>
                <w:color w:val="auto"/>
              </w:rPr>
            </w:pPr>
            <w:r>
              <w:rPr>
                <w:rFonts w:ascii="Arial" w:cs="Arial" w:eastAsia="Arial" w:hAnsi="Arial"/>
                <w:sz w:val="16"/>
                <w:szCs w:val="16"/>
                <w:color w:val="auto"/>
              </w:rPr>
              <w:t>January 1, 2013</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26,215</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925</w:t>
            </w:r>
          </w:p>
        </w:tc>
        <w:tc>
          <w:tcPr>
            <w:tcW w:w="740" w:type="dxa"/>
            <w:vAlign w:val="bottom"/>
          </w:tcPr>
          <w:p>
            <w:pPr>
              <w:jc w:val="right"/>
              <w:spacing w:after="0"/>
              <w:rPr>
                <w:sz w:val="20"/>
                <w:szCs w:val="20"/>
                <w:color w:val="auto"/>
              </w:rPr>
            </w:pPr>
            <w:r>
              <w:rPr>
                <w:rFonts w:ascii="Arial" w:cs="Arial" w:eastAsia="Arial" w:hAnsi="Arial"/>
                <w:sz w:val="16"/>
                <w:szCs w:val="16"/>
                <w:color w:val="auto"/>
              </w:rPr>
              <w:t>3,249</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929</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5,845</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7,568</w:t>
            </w:r>
          </w:p>
        </w:tc>
        <w:tc>
          <w:tcPr>
            <w:tcW w:w="660" w:type="dxa"/>
            <w:vAlign w:val="bottom"/>
          </w:tcPr>
          <w:p>
            <w:pPr>
              <w:jc w:val="right"/>
              <w:spacing w:after="0"/>
              <w:rPr>
                <w:sz w:val="20"/>
                <w:szCs w:val="20"/>
                <w:color w:val="auto"/>
              </w:rPr>
            </w:pPr>
            <w:r>
              <w:rPr>
                <w:rFonts w:ascii="Arial" w:cs="Arial" w:eastAsia="Arial" w:hAnsi="Arial"/>
                <w:sz w:val="16"/>
                <w:szCs w:val="16"/>
                <w:color w:val="auto"/>
              </w:rPr>
              <w:t>44,731</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18,16</w:t>
            </w: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Revisions</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(56)</w:t>
            </w:r>
          </w:p>
        </w:tc>
        <w:tc>
          <w:tcPr>
            <w:tcW w:w="740" w:type="dxa"/>
            <w:vAlign w:val="bottom"/>
          </w:tcPr>
          <w:p>
            <w:pPr>
              <w:jc w:val="right"/>
              <w:spacing w:after="0"/>
              <w:rPr>
                <w:sz w:val="20"/>
                <w:szCs w:val="20"/>
                <w:color w:val="auto"/>
              </w:rPr>
            </w:pPr>
            <w:r>
              <w:rPr>
                <w:rFonts w:ascii="Arial" w:cs="Arial" w:eastAsia="Arial" w:hAnsi="Arial"/>
                <w:sz w:val="16"/>
                <w:szCs w:val="16"/>
                <w:color w:val="auto"/>
              </w:rPr>
              <w:t>61</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(22)</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364</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86</w:t>
            </w:r>
          </w:p>
        </w:tc>
        <w:tc>
          <w:tcPr>
            <w:tcW w:w="660" w:type="dxa"/>
            <w:vAlign w:val="bottom"/>
          </w:tcPr>
          <w:p>
            <w:pPr>
              <w:jc w:val="right"/>
              <w:spacing w:after="0"/>
              <w:rPr>
                <w:sz w:val="20"/>
                <w:szCs w:val="20"/>
                <w:color w:val="auto"/>
              </w:rPr>
            </w:pPr>
            <w:r>
              <w:rPr>
                <w:rFonts w:ascii="Arial" w:cs="Arial" w:eastAsia="Arial" w:hAnsi="Arial"/>
                <w:sz w:val="16"/>
                <w:szCs w:val="16"/>
                <w:color w:val="auto"/>
              </w:rPr>
              <w:t>512</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Improved recovery</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ind w:left="5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Purchases</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153</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522</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675</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Sales</w:t>
            </w:r>
          </w:p>
        </w:tc>
        <w:tc>
          <w:tcPr>
            <w:tcW w:w="880" w:type="dxa"/>
            <w:vAlign w:val="bottom"/>
          </w:tcPr>
          <w:p>
            <w:pPr>
              <w:jc w:val="right"/>
              <w:spacing w:after="0"/>
              <w:rPr>
                <w:sz w:val="20"/>
                <w:szCs w:val="20"/>
                <w:color w:val="auto"/>
              </w:rPr>
            </w:pPr>
            <w:r>
              <w:rPr>
                <w:rFonts w:ascii="Arial" w:cs="Arial" w:eastAsia="Arial" w:hAnsi="Arial"/>
                <w:sz w:val="16"/>
                <w:szCs w:val="16"/>
                <w:color w:val="auto"/>
              </w:rPr>
              <w:t>(106)</w:t>
            </w:r>
          </w:p>
        </w:tc>
        <w:tc>
          <w:tcPr>
            <w:tcW w:w="840" w:type="dxa"/>
            <w:vAlign w:val="bottom"/>
          </w:tcPr>
          <w:p>
            <w:pPr>
              <w:ind w:left="540"/>
              <w:spacing w:after="0"/>
              <w:rPr>
                <w:sz w:val="20"/>
                <w:szCs w:val="20"/>
                <w:color w:val="auto"/>
              </w:rPr>
            </w:pPr>
            <w:r>
              <w:rPr>
                <w:rFonts w:ascii="Arial" w:cs="Arial" w:eastAsia="Arial" w:hAnsi="Arial"/>
                <w:sz w:val="16"/>
                <w:szCs w:val="16"/>
                <w:color w:val="auto"/>
              </w:rPr>
              <w:t>(8)</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(114)</w:t>
            </w: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Extensions/discoveries</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1,083</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1,099</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8"/>
        </w:trPr>
        <w:tc>
          <w:tcPr>
            <w:tcW w:w="4140" w:type="dxa"/>
            <w:vAlign w:val="bottom"/>
          </w:tcPr>
          <w:p>
            <w:pPr>
              <w:ind w:left="240"/>
              <w:spacing w:after="0"/>
              <w:rPr>
                <w:sz w:val="20"/>
                <w:szCs w:val="20"/>
                <w:color w:val="auto"/>
              </w:rPr>
            </w:pPr>
            <w:r>
              <w:rPr>
                <w:rFonts w:ascii="Arial" w:cs="Arial" w:eastAsia="Arial" w:hAnsi="Arial"/>
                <w:sz w:val="16"/>
                <w:szCs w:val="16"/>
                <w:color w:val="auto"/>
              </w:rPr>
              <w:t>Production</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(1,404)</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(2,722)</w:t>
            </w:r>
          </w:p>
        </w:tc>
        <w:tc>
          <w:tcPr>
            <w:tcW w:w="2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20"/>
                <w:szCs w:val="20"/>
                <w:color w:val="auto"/>
              </w:rPr>
            </w:pPr>
            <w:r>
              <w:rPr>
                <w:rFonts w:ascii="Arial" w:cs="Arial" w:eastAsia="Arial" w:hAnsi="Arial"/>
                <w:sz w:val="16"/>
                <w:szCs w:val="16"/>
                <w:color w:val="auto"/>
              </w:rPr>
              <w:t>December 31, 2013</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26,020</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1,235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2,810</w:t>
            </w: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867</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5,734</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7,515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44,181</w:t>
            </w:r>
          </w:p>
        </w:tc>
        <w:tc>
          <w:tcPr>
            <w:tcW w:w="2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18,64</w:t>
            </w:r>
          </w:p>
        </w:tc>
        <w:tc>
          <w:tcPr>
            <w:tcW w:w="0" w:type="dxa"/>
            <w:vAlign w:val="bottom"/>
          </w:tcPr>
          <w:p>
            <w:pPr>
              <w:spacing w:after="0"/>
              <w:rPr>
                <w:sz w:val="1"/>
                <w:szCs w:val="1"/>
                <w:color w:val="auto"/>
              </w:rPr>
            </w:pPr>
          </w:p>
        </w:tc>
      </w:tr>
      <w:tr>
        <w:trPr>
          <w:trHeight w:val="372"/>
        </w:trPr>
        <w:tc>
          <w:tcPr>
            <w:tcW w:w="4140" w:type="dxa"/>
            <w:vAlign w:val="bottom"/>
          </w:tcPr>
          <w:p>
            <w:pPr>
              <w:spacing w:after="0"/>
              <w:rPr>
                <w:sz w:val="20"/>
                <w:szCs w:val="20"/>
                <w:color w:val="auto"/>
              </w:rPr>
            </w:pPr>
            <w:r>
              <w:rPr>
                <w:rFonts w:ascii="Arial" w:cs="Arial" w:eastAsia="Arial" w:hAnsi="Arial"/>
                <w:sz w:val="16"/>
                <w:szCs w:val="16"/>
                <w:color w:val="auto"/>
              </w:rPr>
              <w:t>Proportional interest in proved reserves</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of equity companies</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tcPr>
          <w:p>
            <w:pPr>
              <w:spacing w:after="0"/>
              <w:rPr>
                <w:sz w:val="20"/>
                <w:szCs w:val="20"/>
                <w:color w:val="auto"/>
              </w:rPr>
            </w:pPr>
            <w:r>
              <w:rPr>
                <w:rFonts w:ascii="Arial" w:cs="Arial" w:eastAsia="Arial" w:hAnsi="Arial"/>
                <w:sz w:val="16"/>
                <w:szCs w:val="16"/>
                <w:color w:val="auto"/>
              </w:rPr>
              <w:t>January 1, 2013</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155</w:t>
            </w:r>
          </w:p>
        </w:tc>
        <w:tc>
          <w:tcPr>
            <w:tcW w:w="840" w:type="dxa"/>
            <w:vAlign w:val="bottom"/>
          </w:tcPr>
          <w:p>
            <w:pPr>
              <w:ind w:left="5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9,535</w:t>
            </w:r>
          </w:p>
        </w:tc>
        <w:tc>
          <w:tcPr>
            <w:tcW w:w="9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19,670</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29,360</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6,99</w:t>
            </w: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Revisions</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840" w:type="dxa"/>
            <w:vAlign w:val="bottom"/>
          </w:tcPr>
          <w:p>
            <w:pPr>
              <w:ind w:left="5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58</w:t>
            </w:r>
          </w:p>
        </w:tc>
        <w:tc>
          <w:tcPr>
            <w:tcW w:w="9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202</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Improved recovery</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ind w:left="5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Purchases</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ind w:left="5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Sales</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ind w:left="5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Extensions/discoveries</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840" w:type="dxa"/>
            <w:vAlign w:val="bottom"/>
          </w:tcPr>
          <w:p>
            <w:pPr>
              <w:ind w:left="5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w:t>
            </w:r>
          </w:p>
        </w:tc>
        <w:tc>
          <w:tcPr>
            <w:tcW w:w="9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40" w:type="dxa"/>
            <w:vAlign w:val="bottom"/>
          </w:tcPr>
          <w:p>
            <w:pPr>
              <w:ind w:left="240"/>
              <w:spacing w:after="0"/>
              <w:rPr>
                <w:sz w:val="20"/>
                <w:szCs w:val="20"/>
                <w:color w:val="auto"/>
              </w:rPr>
            </w:pPr>
            <w:r>
              <w:rPr>
                <w:rFonts w:ascii="Arial" w:cs="Arial" w:eastAsia="Arial" w:hAnsi="Arial"/>
                <w:sz w:val="16"/>
                <w:szCs w:val="16"/>
                <w:color w:val="auto"/>
              </w:rPr>
              <w:t>Production</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4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w:t>
            </w: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w:t>
            </w: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(1,892)</w:t>
            </w:r>
          </w:p>
        </w:tc>
        <w:tc>
          <w:tcPr>
            <w:tcW w:w="2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20"/>
                <w:szCs w:val="20"/>
                <w:color w:val="auto"/>
              </w:rPr>
            </w:pPr>
            <w:r>
              <w:rPr>
                <w:rFonts w:ascii="Arial" w:cs="Arial" w:eastAsia="Arial" w:hAnsi="Arial"/>
                <w:sz w:val="16"/>
                <w:szCs w:val="16"/>
                <w:color w:val="auto"/>
              </w:rPr>
              <w:t>December 31, 2013</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281</w:t>
            </w:r>
          </w:p>
        </w:tc>
        <w:tc>
          <w:tcPr>
            <w:tcW w:w="84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8,884</w:t>
            </w: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18,514</w:t>
            </w: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27,679</w:t>
            </w:r>
          </w:p>
        </w:tc>
        <w:tc>
          <w:tcPr>
            <w:tcW w:w="2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Arial" w:cs="Arial" w:eastAsia="Arial" w:hAnsi="Arial"/>
                <w:sz w:val="16"/>
                <w:szCs w:val="16"/>
                <w:color w:val="auto"/>
              </w:rPr>
              <w:t>Total proved reserves at December 31, 2013</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26,301</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1,235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11,694</w:t>
            </w: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867</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24,248</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7,515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71,860</w:t>
            </w:r>
          </w:p>
        </w:tc>
        <w:tc>
          <w:tcPr>
            <w:tcW w:w="2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25,21</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footnotes on next page)</w:t>
      </w:r>
    </w:p>
    <w:p>
      <w:pPr>
        <w:spacing w:after="0" w:line="37"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809" w:right="13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color w:val="auto"/>
        </w:rPr>
        <w:t>Natural Gas and Oil-Equivalent Proved Reserves (continued)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40" w:type="dxa"/>
            <w:vAlign w:val="bottom"/>
            <w:tcBorders>
              <w:top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center"/>
              <w:ind w:right="220"/>
              <w:spacing w:after="0"/>
              <w:rPr>
                <w:sz w:val="20"/>
                <w:szCs w:val="20"/>
                <w:color w:val="auto"/>
              </w:rPr>
            </w:pPr>
            <w:r>
              <w:rPr>
                <w:rFonts w:ascii="Arial" w:cs="Arial" w:eastAsia="Arial" w:hAnsi="Arial"/>
                <w:sz w:val="13"/>
                <w:szCs w:val="13"/>
                <w:color w:val="auto"/>
                <w:w w:val="92"/>
              </w:rPr>
              <w:t>Natural Gas</w:t>
            </w:r>
          </w:p>
        </w:tc>
        <w:tc>
          <w:tcPr>
            <w:tcW w:w="6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center"/>
              <w:ind w:right="101"/>
              <w:spacing w:after="0"/>
              <w:rPr>
                <w:sz w:val="20"/>
                <w:szCs w:val="20"/>
                <w:color w:val="auto"/>
              </w:rPr>
            </w:pPr>
            <w:r>
              <w:rPr>
                <w:rFonts w:ascii="Arial" w:cs="Arial" w:eastAsia="Arial" w:hAnsi="Arial"/>
                <w:sz w:val="13"/>
                <w:szCs w:val="13"/>
                <w:color w:val="auto"/>
                <w:w w:val="85"/>
              </w:rPr>
              <w:t>Canada/</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Oil-Equival</w:t>
            </w:r>
          </w:p>
        </w:tc>
        <w:tc>
          <w:tcPr>
            <w:tcW w:w="0" w:type="dxa"/>
            <w:vAlign w:val="bottom"/>
          </w:tcPr>
          <w:p>
            <w:pPr>
              <w:spacing w:after="0"/>
              <w:rPr>
                <w:sz w:val="1"/>
                <w:szCs w:val="1"/>
                <w:color w:val="auto"/>
              </w:rPr>
            </w:pPr>
          </w:p>
        </w:tc>
      </w:tr>
      <w:tr>
        <w:trPr>
          <w:trHeight w:val="168"/>
        </w:trPr>
        <w:tc>
          <w:tcPr>
            <w:tcW w:w="4140" w:type="dxa"/>
            <w:vAlign w:val="bottom"/>
          </w:tcPr>
          <w:p>
            <w:pPr>
              <w:spacing w:after="0"/>
              <w:rPr>
                <w:sz w:val="14"/>
                <w:szCs w:val="14"/>
                <w:color w:val="auto"/>
              </w:rPr>
            </w:pPr>
          </w:p>
        </w:tc>
        <w:tc>
          <w:tcPr>
            <w:tcW w:w="880" w:type="dxa"/>
            <w:vAlign w:val="bottom"/>
          </w:tcPr>
          <w:p>
            <w:pPr>
              <w:jc w:val="right"/>
              <w:ind w:right="220"/>
              <w:spacing w:after="0"/>
              <w:rPr>
                <w:sz w:val="20"/>
                <w:szCs w:val="20"/>
                <w:color w:val="auto"/>
              </w:rPr>
            </w:pPr>
            <w:r>
              <w:rPr>
                <w:rFonts w:ascii="Arial" w:cs="Arial" w:eastAsia="Arial" w:hAnsi="Arial"/>
                <w:sz w:val="13"/>
                <w:szCs w:val="13"/>
                <w:color w:val="auto"/>
              </w:rPr>
              <w:t>United</w:t>
            </w:r>
          </w:p>
        </w:tc>
        <w:tc>
          <w:tcPr>
            <w:tcW w:w="840" w:type="dxa"/>
            <w:vAlign w:val="bottom"/>
          </w:tcPr>
          <w:p>
            <w:pPr>
              <w:jc w:val="center"/>
              <w:ind w:right="101"/>
              <w:spacing w:after="0"/>
              <w:rPr>
                <w:sz w:val="20"/>
                <w:szCs w:val="20"/>
                <w:color w:val="auto"/>
              </w:rPr>
            </w:pPr>
            <w:r>
              <w:rPr>
                <w:rFonts w:ascii="Arial" w:cs="Arial" w:eastAsia="Arial" w:hAnsi="Arial"/>
                <w:sz w:val="13"/>
                <w:szCs w:val="13"/>
                <w:color w:val="auto"/>
                <w:w w:val="88"/>
              </w:rPr>
              <w:t>South</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jc w:val="right"/>
              <w:ind w:right="180"/>
              <w:spacing w:after="0"/>
              <w:rPr>
                <w:sz w:val="20"/>
                <w:szCs w:val="20"/>
                <w:color w:val="auto"/>
              </w:rPr>
            </w:pPr>
            <w:r>
              <w:rPr>
                <w:rFonts w:ascii="Arial" w:cs="Arial" w:eastAsia="Arial" w:hAnsi="Arial"/>
                <w:sz w:val="13"/>
                <w:szCs w:val="13"/>
                <w:color w:val="auto"/>
              </w:rPr>
              <w:t>Australia/</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880" w:type="dxa"/>
            <w:vAlign w:val="bottom"/>
          </w:tcPr>
          <w:p>
            <w:pPr>
              <w:jc w:val="right"/>
              <w:ind w:right="240"/>
              <w:spacing w:after="0"/>
              <w:rPr>
                <w:sz w:val="20"/>
                <w:szCs w:val="20"/>
                <w:color w:val="auto"/>
              </w:rPr>
            </w:pPr>
            <w:r>
              <w:rPr>
                <w:rFonts w:ascii="Arial" w:cs="Arial" w:eastAsia="Arial" w:hAnsi="Arial"/>
                <w:sz w:val="13"/>
                <w:szCs w:val="13"/>
                <w:color w:val="auto"/>
              </w:rPr>
              <w:t>States</w:t>
            </w:r>
          </w:p>
        </w:tc>
        <w:tc>
          <w:tcPr>
            <w:tcW w:w="840" w:type="dxa"/>
            <w:vAlign w:val="bottom"/>
          </w:tcPr>
          <w:p>
            <w:pPr>
              <w:jc w:val="center"/>
              <w:ind w:right="101"/>
              <w:spacing w:after="0"/>
              <w:rPr>
                <w:sz w:val="20"/>
                <w:szCs w:val="20"/>
                <w:color w:val="auto"/>
              </w:rPr>
            </w:pPr>
            <w:r>
              <w:rPr>
                <w:rFonts w:ascii="Arial" w:cs="Arial" w:eastAsia="Arial" w:hAnsi="Arial"/>
                <w:sz w:val="13"/>
                <w:szCs w:val="13"/>
                <w:color w:val="auto"/>
                <w:w w:val="92"/>
              </w:rPr>
              <w:t xml:space="preserve">Amer. </w:t>
            </w:r>
            <w:r>
              <w:rPr>
                <w:rFonts w:ascii="Arial" w:cs="Arial" w:eastAsia="Arial" w:hAnsi="Arial"/>
                <w:sz w:val="13"/>
                <w:szCs w:val="13"/>
                <w:i w:val="1"/>
                <w:iCs w:val="1"/>
                <w:color w:val="auto"/>
                <w:w w:val="92"/>
              </w:rPr>
              <w:t>(1)</w:t>
            </w:r>
          </w:p>
        </w:tc>
        <w:tc>
          <w:tcPr>
            <w:tcW w:w="740" w:type="dxa"/>
            <w:vAlign w:val="bottom"/>
          </w:tcPr>
          <w:p>
            <w:pPr>
              <w:jc w:val="right"/>
              <w:ind w:right="180"/>
              <w:spacing w:after="0"/>
              <w:rPr>
                <w:sz w:val="20"/>
                <w:szCs w:val="20"/>
                <w:color w:val="auto"/>
              </w:rPr>
            </w:pPr>
            <w:r>
              <w:rPr>
                <w:rFonts w:ascii="Arial" w:cs="Arial" w:eastAsia="Arial" w:hAnsi="Arial"/>
                <w:sz w:val="13"/>
                <w:szCs w:val="13"/>
                <w:color w:val="auto"/>
              </w:rPr>
              <w:t>Europe</w:t>
            </w:r>
          </w:p>
        </w:tc>
        <w:tc>
          <w:tcPr>
            <w:tcW w:w="980" w:type="dxa"/>
            <w:vAlign w:val="bottom"/>
          </w:tcPr>
          <w:p>
            <w:pPr>
              <w:jc w:val="center"/>
              <w:ind w:right="180"/>
              <w:spacing w:after="0"/>
              <w:rPr>
                <w:sz w:val="20"/>
                <w:szCs w:val="20"/>
                <w:color w:val="auto"/>
              </w:rPr>
            </w:pPr>
            <w:r>
              <w:rPr>
                <w:rFonts w:ascii="Arial" w:cs="Arial" w:eastAsia="Arial" w:hAnsi="Arial"/>
                <w:sz w:val="13"/>
                <w:szCs w:val="13"/>
                <w:color w:val="auto"/>
                <w:w w:val="96"/>
              </w:rPr>
              <w:t>Africa</w:t>
            </w:r>
          </w:p>
        </w:tc>
        <w:tc>
          <w:tcPr>
            <w:tcW w:w="640" w:type="dxa"/>
            <w:vAlign w:val="bottom"/>
          </w:tcPr>
          <w:p>
            <w:pPr>
              <w:jc w:val="right"/>
              <w:ind w:right="259"/>
              <w:spacing w:after="0"/>
              <w:rPr>
                <w:sz w:val="20"/>
                <w:szCs w:val="20"/>
                <w:color w:val="auto"/>
              </w:rPr>
            </w:pPr>
            <w:r>
              <w:rPr>
                <w:rFonts w:ascii="Arial" w:cs="Arial" w:eastAsia="Arial" w:hAnsi="Arial"/>
                <w:sz w:val="13"/>
                <w:szCs w:val="13"/>
                <w:color w:val="auto"/>
              </w:rPr>
              <w:t>Asia</w:t>
            </w:r>
          </w:p>
        </w:tc>
        <w:tc>
          <w:tcPr>
            <w:tcW w:w="860" w:type="dxa"/>
            <w:vAlign w:val="bottom"/>
          </w:tcPr>
          <w:p>
            <w:pPr>
              <w:jc w:val="right"/>
              <w:ind w:right="240"/>
              <w:spacing w:after="0"/>
              <w:rPr>
                <w:sz w:val="20"/>
                <w:szCs w:val="20"/>
                <w:color w:val="auto"/>
              </w:rPr>
            </w:pPr>
            <w:r>
              <w:rPr>
                <w:rFonts w:ascii="Arial" w:cs="Arial" w:eastAsia="Arial" w:hAnsi="Arial"/>
                <w:sz w:val="13"/>
                <w:szCs w:val="13"/>
                <w:color w:val="auto"/>
              </w:rPr>
              <w:t>Oceania</w:t>
            </w:r>
          </w:p>
        </w:tc>
        <w:tc>
          <w:tcPr>
            <w:tcW w:w="880" w:type="dxa"/>
            <w:vAlign w:val="bottom"/>
            <w:gridSpan w:val="2"/>
          </w:tcPr>
          <w:p>
            <w:pPr>
              <w:jc w:val="right"/>
              <w:ind w:right="480"/>
              <w:spacing w:after="0"/>
              <w:rPr>
                <w:sz w:val="20"/>
                <w:szCs w:val="20"/>
                <w:color w:val="auto"/>
              </w:rPr>
            </w:pPr>
            <w:r>
              <w:rPr>
                <w:rFonts w:ascii="Arial" w:cs="Arial" w:eastAsia="Arial" w:hAnsi="Arial"/>
                <w:sz w:val="13"/>
                <w:szCs w:val="13"/>
                <w:color w:val="auto"/>
              </w:rPr>
              <w:t>Total</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All Products</w:t>
            </w:r>
          </w:p>
        </w:tc>
        <w:tc>
          <w:tcPr>
            <w:tcW w:w="0" w:type="dxa"/>
            <w:vAlign w:val="bottom"/>
          </w:tcPr>
          <w:p>
            <w:pPr>
              <w:spacing w:after="0"/>
              <w:rPr>
                <w:sz w:val="1"/>
                <w:szCs w:val="1"/>
                <w:color w:val="auto"/>
              </w:rPr>
            </w:pPr>
          </w:p>
        </w:tc>
      </w:tr>
      <w:tr>
        <w:trPr>
          <w:trHeight w:val="171"/>
        </w:trPr>
        <w:tc>
          <w:tcPr>
            <w:tcW w:w="4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gridSpan w:val="2"/>
          </w:tcPr>
          <w:p>
            <w:pPr>
              <w:jc w:val="center"/>
              <w:ind w:left="360"/>
              <w:spacing w:after="0"/>
              <w:rPr>
                <w:sz w:val="20"/>
                <w:szCs w:val="20"/>
                <w:color w:val="auto"/>
              </w:rPr>
            </w:pPr>
            <w:r>
              <w:rPr>
                <w:rFonts w:ascii="Arial" w:cs="Arial" w:eastAsia="Arial" w:hAnsi="Arial"/>
                <w:sz w:val="13"/>
                <w:szCs w:val="13"/>
                <w:i w:val="1"/>
                <w:iCs w:val="1"/>
                <w:color w:val="auto"/>
                <w:w w:val="94"/>
              </w:rPr>
              <w:t>(billions of cubic feet)</w:t>
            </w:r>
          </w:p>
        </w:tc>
        <w:tc>
          <w:tcPr>
            <w:tcW w:w="6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i w:val="1"/>
                <w:iCs w:val="1"/>
                <w:color w:val="auto"/>
              </w:rPr>
              <w:t>(millions of</w:t>
            </w:r>
          </w:p>
        </w:tc>
        <w:tc>
          <w:tcPr>
            <w:tcW w:w="0" w:type="dxa"/>
            <w:vAlign w:val="bottom"/>
          </w:tcPr>
          <w:p>
            <w:pPr>
              <w:spacing w:after="0"/>
              <w:rPr>
                <w:sz w:val="1"/>
                <w:szCs w:val="1"/>
                <w:color w:val="auto"/>
              </w:rPr>
            </w:pPr>
          </w:p>
        </w:tc>
      </w:tr>
      <w:tr>
        <w:trPr>
          <w:trHeight w:val="184"/>
        </w:trPr>
        <w:tc>
          <w:tcPr>
            <w:tcW w:w="4140" w:type="dxa"/>
            <w:vAlign w:val="bottom"/>
            <w:vMerge w:val="restart"/>
          </w:tcPr>
          <w:p>
            <w:pPr>
              <w:spacing w:after="0"/>
              <w:rPr>
                <w:sz w:val="20"/>
                <w:szCs w:val="20"/>
                <w:color w:val="auto"/>
              </w:rPr>
            </w:pPr>
            <w:r>
              <w:rPr>
                <w:rFonts w:ascii="Arial" w:cs="Arial" w:eastAsia="Arial" w:hAnsi="Arial"/>
                <w:sz w:val="16"/>
                <w:szCs w:val="16"/>
                <w:color w:val="auto"/>
              </w:rPr>
              <w:t>Net proved developed and undeveloped</w:t>
            </w: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i w:val="1"/>
                <w:iCs w:val="1"/>
                <w:color w:val="auto"/>
              </w:rPr>
              <w:t>equivalen</w:t>
            </w:r>
          </w:p>
        </w:tc>
        <w:tc>
          <w:tcPr>
            <w:tcW w:w="0" w:type="dxa"/>
            <w:vAlign w:val="bottom"/>
          </w:tcPr>
          <w:p>
            <w:pPr>
              <w:spacing w:after="0"/>
              <w:rPr>
                <w:sz w:val="1"/>
                <w:szCs w:val="1"/>
                <w:color w:val="auto"/>
              </w:rPr>
            </w:pPr>
          </w:p>
        </w:tc>
      </w:tr>
      <w:tr>
        <w:trPr>
          <w:trHeight w:val="195"/>
        </w:trPr>
        <w:tc>
          <w:tcPr>
            <w:tcW w:w="414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reserves of consolidated subsidiaries</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tcPr>
          <w:p>
            <w:pPr>
              <w:spacing w:after="0"/>
              <w:rPr>
                <w:sz w:val="20"/>
                <w:szCs w:val="20"/>
                <w:color w:val="auto"/>
              </w:rPr>
            </w:pPr>
            <w:r>
              <w:rPr>
                <w:rFonts w:ascii="Arial" w:cs="Arial" w:eastAsia="Arial" w:hAnsi="Arial"/>
                <w:sz w:val="16"/>
                <w:szCs w:val="16"/>
                <w:color w:val="auto"/>
              </w:rPr>
              <w:t>January 1, 2014</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26,020</w:t>
            </w: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1,235</w:t>
            </w:r>
          </w:p>
        </w:tc>
        <w:tc>
          <w:tcPr>
            <w:tcW w:w="740" w:type="dxa"/>
            <w:vAlign w:val="bottom"/>
          </w:tcPr>
          <w:p>
            <w:pPr>
              <w:jc w:val="right"/>
              <w:spacing w:after="0"/>
              <w:rPr>
                <w:sz w:val="20"/>
                <w:szCs w:val="20"/>
                <w:color w:val="auto"/>
              </w:rPr>
            </w:pPr>
            <w:r>
              <w:rPr>
                <w:rFonts w:ascii="Arial" w:cs="Arial" w:eastAsia="Arial" w:hAnsi="Arial"/>
                <w:sz w:val="16"/>
                <w:szCs w:val="16"/>
                <w:color w:val="auto"/>
              </w:rPr>
              <w:t>2,810</w:t>
            </w:r>
          </w:p>
        </w:tc>
        <w:tc>
          <w:tcPr>
            <w:tcW w:w="980" w:type="dxa"/>
            <w:vAlign w:val="bottom"/>
          </w:tcPr>
          <w:p>
            <w:pPr>
              <w:jc w:val="right"/>
              <w:ind w:right="200"/>
              <w:spacing w:after="0"/>
              <w:rPr>
                <w:sz w:val="20"/>
                <w:szCs w:val="20"/>
                <w:color w:val="auto"/>
              </w:rPr>
            </w:pPr>
            <w:r>
              <w:rPr>
                <w:rFonts w:ascii="Arial" w:cs="Arial" w:eastAsia="Arial" w:hAnsi="Arial"/>
                <w:sz w:val="16"/>
                <w:szCs w:val="16"/>
                <w:color w:val="auto"/>
              </w:rPr>
              <w:t>867</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5,734</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7,515</w:t>
            </w:r>
          </w:p>
        </w:tc>
        <w:tc>
          <w:tcPr>
            <w:tcW w:w="660" w:type="dxa"/>
            <w:vAlign w:val="bottom"/>
          </w:tcPr>
          <w:p>
            <w:pPr>
              <w:jc w:val="right"/>
              <w:spacing w:after="0"/>
              <w:rPr>
                <w:sz w:val="20"/>
                <w:szCs w:val="20"/>
                <w:color w:val="auto"/>
              </w:rPr>
            </w:pPr>
            <w:r>
              <w:rPr>
                <w:rFonts w:ascii="Arial" w:cs="Arial" w:eastAsia="Arial" w:hAnsi="Arial"/>
                <w:sz w:val="16"/>
                <w:szCs w:val="16"/>
                <w:color w:val="auto"/>
              </w:rPr>
              <w:t>44,181</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18,64</w:t>
            </w: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Revisions</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49</w:t>
            </w: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80</w:t>
            </w:r>
          </w:p>
        </w:tc>
        <w:tc>
          <w:tcPr>
            <w:tcW w:w="740" w:type="dxa"/>
            <w:vAlign w:val="bottom"/>
          </w:tcPr>
          <w:p>
            <w:pPr>
              <w:jc w:val="right"/>
              <w:spacing w:after="0"/>
              <w:rPr>
                <w:sz w:val="20"/>
                <w:szCs w:val="20"/>
                <w:color w:val="auto"/>
              </w:rPr>
            </w:pPr>
            <w:r>
              <w:rPr>
                <w:rFonts w:ascii="Arial" w:cs="Arial" w:eastAsia="Arial" w:hAnsi="Arial"/>
                <w:sz w:val="16"/>
                <w:szCs w:val="16"/>
                <w:color w:val="auto"/>
              </w:rPr>
              <w:t>49</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(21)</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173</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(38)</w:t>
            </w:r>
          </w:p>
        </w:tc>
        <w:tc>
          <w:tcPr>
            <w:tcW w:w="660" w:type="dxa"/>
            <w:vAlign w:val="bottom"/>
          </w:tcPr>
          <w:p>
            <w:pPr>
              <w:jc w:val="right"/>
              <w:spacing w:after="0"/>
              <w:rPr>
                <w:sz w:val="20"/>
                <w:szCs w:val="20"/>
                <w:color w:val="auto"/>
              </w:rPr>
            </w:pPr>
            <w:r>
              <w:rPr>
                <w:rFonts w:ascii="Arial" w:cs="Arial" w:eastAsia="Arial" w:hAnsi="Arial"/>
                <w:sz w:val="16"/>
                <w:szCs w:val="16"/>
                <w:color w:val="auto"/>
              </w:rPr>
              <w:t>292</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Improved recovery</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Purchases</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60</w:t>
            </w:r>
          </w:p>
        </w:tc>
        <w:tc>
          <w:tcPr>
            <w:tcW w:w="8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60</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Sales</w:t>
            </w:r>
          </w:p>
        </w:tc>
        <w:tc>
          <w:tcPr>
            <w:tcW w:w="880" w:type="dxa"/>
            <w:vAlign w:val="bottom"/>
          </w:tcPr>
          <w:p>
            <w:pPr>
              <w:jc w:val="right"/>
              <w:spacing w:after="0"/>
              <w:rPr>
                <w:sz w:val="20"/>
                <w:szCs w:val="20"/>
                <w:color w:val="auto"/>
              </w:rPr>
            </w:pPr>
            <w:r>
              <w:rPr>
                <w:rFonts w:ascii="Arial" w:cs="Arial" w:eastAsia="Arial" w:hAnsi="Arial"/>
                <w:sz w:val="16"/>
                <w:szCs w:val="16"/>
                <w:color w:val="auto"/>
              </w:rPr>
              <w:t>(314)</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(48)</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(365)</w:t>
            </w:r>
          </w:p>
        </w:tc>
        <w:tc>
          <w:tcPr>
            <w:tcW w:w="9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Extensions/discoveries</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1,518</w:t>
            </w: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91</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0"/>
              <w:spacing w:after="0"/>
              <w:rPr>
                <w:sz w:val="20"/>
                <w:szCs w:val="20"/>
                <w:color w:val="auto"/>
              </w:rPr>
            </w:pPr>
            <w:r>
              <w:rPr>
                <w:rFonts w:ascii="Arial" w:cs="Arial" w:eastAsia="Arial" w:hAnsi="Arial"/>
                <w:sz w:val="16"/>
                <w:szCs w:val="16"/>
                <w:color w:val="auto"/>
              </w:rPr>
              <w:t>7</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1,620</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8"/>
        </w:trPr>
        <w:tc>
          <w:tcPr>
            <w:tcW w:w="4140" w:type="dxa"/>
            <w:vAlign w:val="bottom"/>
          </w:tcPr>
          <w:p>
            <w:pPr>
              <w:ind w:left="240"/>
              <w:spacing w:after="0"/>
              <w:rPr>
                <w:sz w:val="20"/>
                <w:szCs w:val="20"/>
                <w:color w:val="auto"/>
              </w:rPr>
            </w:pPr>
            <w:r>
              <w:rPr>
                <w:rFonts w:ascii="Arial" w:cs="Arial" w:eastAsia="Arial" w:hAnsi="Arial"/>
                <w:sz w:val="16"/>
                <w:szCs w:val="16"/>
                <w:color w:val="auto"/>
              </w:rPr>
              <w:t>Production</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w:t>
            </w: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(2,645)</w:t>
            </w:r>
          </w:p>
        </w:tc>
        <w:tc>
          <w:tcPr>
            <w:tcW w:w="2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20"/>
                <w:szCs w:val="20"/>
                <w:color w:val="auto"/>
              </w:rPr>
            </w:pPr>
            <w:r>
              <w:rPr>
                <w:rFonts w:ascii="Arial" w:cs="Arial" w:eastAsia="Arial" w:hAnsi="Arial"/>
                <w:sz w:val="16"/>
                <w:szCs w:val="16"/>
                <w:color w:val="auto"/>
              </w:rPr>
              <w:t>December 31, 2014</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25,987</w:t>
            </w: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1,226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2,383</w:t>
            </w:r>
          </w:p>
        </w:tc>
        <w:tc>
          <w:tcPr>
            <w:tcW w:w="9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811</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5,460</w:t>
            </w:r>
          </w:p>
        </w:tc>
        <w:tc>
          <w:tcPr>
            <w:tcW w:w="8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7,276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43,143</w:t>
            </w:r>
          </w:p>
        </w:tc>
        <w:tc>
          <w:tcPr>
            <w:tcW w:w="2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19,01</w:t>
            </w:r>
          </w:p>
        </w:tc>
        <w:tc>
          <w:tcPr>
            <w:tcW w:w="0" w:type="dxa"/>
            <w:vAlign w:val="bottom"/>
          </w:tcPr>
          <w:p>
            <w:pPr>
              <w:spacing w:after="0"/>
              <w:rPr>
                <w:sz w:val="1"/>
                <w:szCs w:val="1"/>
                <w:color w:val="auto"/>
              </w:rPr>
            </w:pPr>
          </w:p>
        </w:tc>
      </w:tr>
      <w:tr>
        <w:trPr>
          <w:trHeight w:val="372"/>
        </w:trPr>
        <w:tc>
          <w:tcPr>
            <w:tcW w:w="4140" w:type="dxa"/>
            <w:vAlign w:val="bottom"/>
          </w:tcPr>
          <w:p>
            <w:pPr>
              <w:spacing w:after="0"/>
              <w:rPr>
                <w:sz w:val="20"/>
                <w:szCs w:val="20"/>
                <w:color w:val="auto"/>
              </w:rPr>
            </w:pPr>
            <w:r>
              <w:rPr>
                <w:rFonts w:ascii="Arial" w:cs="Arial" w:eastAsia="Arial" w:hAnsi="Arial"/>
                <w:sz w:val="16"/>
                <w:szCs w:val="16"/>
                <w:color w:val="auto"/>
              </w:rPr>
              <w:t>Proportional interest in proved reserves</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of equity companies</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tcPr>
          <w:p>
            <w:pPr>
              <w:spacing w:after="0"/>
              <w:rPr>
                <w:sz w:val="20"/>
                <w:szCs w:val="20"/>
                <w:color w:val="auto"/>
              </w:rPr>
            </w:pPr>
            <w:r>
              <w:rPr>
                <w:rFonts w:ascii="Arial" w:cs="Arial" w:eastAsia="Arial" w:hAnsi="Arial"/>
                <w:sz w:val="16"/>
                <w:szCs w:val="16"/>
                <w:color w:val="auto"/>
              </w:rPr>
              <w:t>January 1, 2014</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281</w:t>
            </w:r>
          </w:p>
        </w:tc>
        <w:tc>
          <w:tcPr>
            <w:tcW w:w="8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8,884</w:t>
            </w:r>
          </w:p>
        </w:tc>
        <w:tc>
          <w:tcPr>
            <w:tcW w:w="98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18,514</w:t>
            </w: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27,679</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Revisions</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8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117</w:t>
            </w:r>
          </w:p>
        </w:tc>
        <w:tc>
          <w:tcPr>
            <w:tcW w:w="98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110</w:t>
            </w: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232</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Improved recovery</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Purchases</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Sales</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tcPr>
          <w:p>
            <w:pPr>
              <w:ind w:left="240"/>
              <w:spacing w:after="0"/>
              <w:rPr>
                <w:sz w:val="20"/>
                <w:szCs w:val="20"/>
                <w:color w:val="auto"/>
              </w:rPr>
            </w:pPr>
            <w:r>
              <w:rPr>
                <w:rFonts w:ascii="Arial" w:cs="Arial" w:eastAsia="Arial" w:hAnsi="Arial"/>
                <w:sz w:val="16"/>
                <w:szCs w:val="16"/>
                <w:color w:val="auto"/>
              </w:rPr>
              <w:t>Extensions/discoveries</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8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40" w:type="dxa"/>
            <w:vAlign w:val="bottom"/>
          </w:tcPr>
          <w:p>
            <w:pPr>
              <w:ind w:left="240"/>
              <w:spacing w:after="0"/>
              <w:rPr>
                <w:sz w:val="20"/>
                <w:szCs w:val="20"/>
                <w:color w:val="auto"/>
              </w:rPr>
            </w:pPr>
            <w:r>
              <w:rPr>
                <w:rFonts w:ascii="Arial" w:cs="Arial" w:eastAsia="Arial" w:hAnsi="Arial"/>
                <w:sz w:val="16"/>
                <w:szCs w:val="16"/>
                <w:color w:val="auto"/>
              </w:rPr>
              <w:t>Production</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w:t>
            </w:r>
          </w:p>
        </w:tc>
        <w:tc>
          <w:tcPr>
            <w:tcW w:w="9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w:t>
            </w: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(1,717)</w:t>
            </w:r>
          </w:p>
        </w:tc>
        <w:tc>
          <w:tcPr>
            <w:tcW w:w="2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20"/>
                <w:szCs w:val="20"/>
                <w:color w:val="auto"/>
              </w:rPr>
            </w:pPr>
            <w:r>
              <w:rPr>
                <w:rFonts w:ascii="Arial" w:cs="Arial" w:eastAsia="Arial" w:hAnsi="Arial"/>
                <w:sz w:val="16"/>
                <w:szCs w:val="16"/>
                <w:color w:val="auto"/>
              </w:rPr>
              <w:t>December 31, 2014</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272</w:t>
            </w:r>
          </w:p>
        </w:tc>
        <w:tc>
          <w:tcPr>
            <w:tcW w:w="8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8,418</w:t>
            </w:r>
          </w:p>
        </w:tc>
        <w:tc>
          <w:tcPr>
            <w:tcW w:w="9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17,505</w:t>
            </w: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26,195</w:t>
            </w:r>
          </w:p>
        </w:tc>
        <w:tc>
          <w:tcPr>
            <w:tcW w:w="2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384"/>
        </w:trPr>
        <w:tc>
          <w:tcPr>
            <w:tcW w:w="4140" w:type="dxa"/>
            <w:vAlign w:val="bottom"/>
          </w:tcPr>
          <w:p>
            <w:pPr>
              <w:spacing w:after="0"/>
              <w:rPr>
                <w:sz w:val="20"/>
                <w:szCs w:val="20"/>
                <w:color w:val="auto"/>
              </w:rPr>
            </w:pPr>
            <w:r>
              <w:rPr>
                <w:rFonts w:ascii="Arial" w:cs="Arial" w:eastAsia="Arial" w:hAnsi="Arial"/>
                <w:sz w:val="16"/>
                <w:szCs w:val="16"/>
                <w:color w:val="auto"/>
              </w:rPr>
              <w:t>Total proved reserves at December 31, 2014</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26,259</w:t>
            </w: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1,226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10,801</w:t>
            </w:r>
          </w:p>
        </w:tc>
        <w:tc>
          <w:tcPr>
            <w:tcW w:w="9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811</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22,965</w:t>
            </w:r>
          </w:p>
        </w:tc>
        <w:tc>
          <w:tcPr>
            <w:tcW w:w="8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7,276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69,338</w:t>
            </w:r>
          </w:p>
        </w:tc>
        <w:tc>
          <w:tcPr>
            <w:tcW w:w="22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25,26</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left="300" w:hanging="294"/>
        <w:spacing w:after="0" w:line="295" w:lineRule="auto"/>
        <w:tabs>
          <w:tab w:leader="none" w:pos="336" w:val="left"/>
        </w:tabs>
        <w:numPr>
          <w:ilvl w:val="0"/>
          <w:numId w:val="41"/>
        </w:numPr>
        <w:rPr>
          <w:rFonts w:ascii="Arial" w:cs="Arial" w:eastAsia="Arial" w:hAnsi="Arial"/>
          <w:sz w:val="15"/>
          <w:szCs w:val="15"/>
          <w:i w:val="1"/>
          <w:iCs w:val="1"/>
          <w:color w:val="auto"/>
        </w:rPr>
      </w:pPr>
      <w:r>
        <w:rPr>
          <w:rFonts w:ascii="Arial" w:cs="Arial" w:eastAsia="Arial" w:hAnsi="Arial"/>
          <w:sz w:val="15"/>
          <w:szCs w:val="15"/>
          <w:i w:val="1"/>
          <w:iCs w:val="1"/>
          <w:color w:val="auto"/>
        </w:rPr>
        <w:t>Includes total proved reserves attributable to Imperial Oil Limited of 488 billion cubic feet in 2012, 678 billion cubic feet in 2013 and 627 billion cubic feet in 2 well as proved developed reserves of 374 billion cubic feet in 2012, 368 billion cubic feet in 2013 and 300 billion cubic feet in 2014, and in addition, proved unde reserves of 114 billion cubic feet in 2012, 310 billion cubic feet in 2013 and 327 billion cubic feet in 2014, in which there is a 30.4 percent noncontrolling interest.</w:t>
      </w:r>
    </w:p>
    <w:p>
      <w:pPr>
        <w:spacing w:after="0" w:line="1" w:lineRule="exact"/>
        <w:rPr>
          <w:rFonts w:ascii="Arial" w:cs="Arial" w:eastAsia="Arial" w:hAnsi="Arial"/>
          <w:sz w:val="15"/>
          <w:szCs w:val="15"/>
          <w:i w:val="1"/>
          <w:iCs w:val="1"/>
          <w:color w:val="auto"/>
        </w:rPr>
      </w:pPr>
    </w:p>
    <w:p>
      <w:pPr>
        <w:ind w:left="320" w:hanging="314"/>
        <w:spacing w:after="0"/>
        <w:tabs>
          <w:tab w:leader="none" w:pos="320" w:val="left"/>
        </w:tabs>
        <w:numPr>
          <w:ilvl w:val="0"/>
          <w:numId w:val="41"/>
        </w:numPr>
        <w:rPr>
          <w:rFonts w:ascii="Arial" w:cs="Arial" w:eastAsia="Arial" w:hAnsi="Arial"/>
          <w:sz w:val="16"/>
          <w:szCs w:val="16"/>
          <w:i w:val="1"/>
          <w:iCs w:val="1"/>
          <w:color w:val="auto"/>
        </w:rPr>
      </w:pPr>
      <w:r>
        <w:rPr>
          <w:rFonts w:ascii="Arial" w:cs="Arial" w:eastAsia="Arial" w:hAnsi="Arial"/>
          <w:sz w:val="16"/>
          <w:szCs w:val="16"/>
          <w:i w:val="1"/>
          <w:iCs w:val="1"/>
          <w:color w:val="auto"/>
        </w:rPr>
        <w:t>Natural gas is converted to oil-equivalent basis at six million cubic feet per one thousand barrels.</w:t>
      </w:r>
    </w:p>
    <w:p>
      <w:pPr>
        <w:spacing w:after="0" w:line="37"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809" w:right="1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b w:val="1"/>
          <w:bCs w:val="1"/>
          <w:color w:val="auto"/>
        </w:rPr>
        <w:t>Natural Gas and Oil-Equivalent Proved Reserves (continued)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center"/>
              <w:ind w:right="180"/>
              <w:spacing w:after="0"/>
              <w:rPr>
                <w:sz w:val="20"/>
                <w:szCs w:val="20"/>
                <w:color w:val="auto"/>
              </w:rPr>
            </w:pPr>
            <w:r>
              <w:rPr>
                <w:rFonts w:ascii="Arial" w:cs="Arial" w:eastAsia="Arial" w:hAnsi="Arial"/>
                <w:sz w:val="13"/>
                <w:szCs w:val="13"/>
                <w:color w:val="auto"/>
                <w:w w:val="89"/>
              </w:rPr>
              <w:t>Natural Gas</w:t>
            </w:r>
          </w:p>
        </w:tc>
        <w:tc>
          <w:tcPr>
            <w:tcW w:w="6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r>
      <w:tr>
        <w:trPr>
          <w:trHeight w:val="23"/>
        </w:trPr>
        <w:tc>
          <w:tcPr>
            <w:tcW w:w="40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0"/>
        </w:trPr>
        <w:tc>
          <w:tcPr>
            <w:tcW w:w="4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jc w:val="center"/>
              <w:ind w:right="41"/>
              <w:spacing w:after="0"/>
              <w:rPr>
                <w:sz w:val="20"/>
                <w:szCs w:val="20"/>
                <w:color w:val="auto"/>
              </w:rPr>
            </w:pPr>
            <w:r>
              <w:rPr>
                <w:rFonts w:ascii="Arial" w:cs="Arial" w:eastAsia="Arial" w:hAnsi="Arial"/>
                <w:sz w:val="13"/>
                <w:szCs w:val="13"/>
                <w:color w:val="auto"/>
                <w:w w:val="89"/>
              </w:rPr>
              <w:t>Canada/</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Oil-Equivale</w:t>
            </w:r>
          </w:p>
        </w:tc>
      </w:tr>
      <w:tr>
        <w:trPr>
          <w:trHeight w:val="168"/>
        </w:trPr>
        <w:tc>
          <w:tcPr>
            <w:tcW w:w="4020" w:type="dxa"/>
            <w:vAlign w:val="bottom"/>
          </w:tcPr>
          <w:p>
            <w:pPr>
              <w:spacing w:after="0"/>
              <w:rPr>
                <w:sz w:val="14"/>
                <w:szCs w:val="14"/>
                <w:color w:val="auto"/>
              </w:rPr>
            </w:pPr>
          </w:p>
        </w:tc>
        <w:tc>
          <w:tcPr>
            <w:tcW w:w="860" w:type="dxa"/>
            <w:vAlign w:val="bottom"/>
          </w:tcPr>
          <w:p>
            <w:pPr>
              <w:jc w:val="right"/>
              <w:ind w:right="200"/>
              <w:spacing w:after="0"/>
              <w:rPr>
                <w:sz w:val="20"/>
                <w:szCs w:val="20"/>
                <w:color w:val="auto"/>
              </w:rPr>
            </w:pPr>
            <w:r>
              <w:rPr>
                <w:rFonts w:ascii="Arial" w:cs="Arial" w:eastAsia="Arial" w:hAnsi="Arial"/>
                <w:sz w:val="13"/>
                <w:szCs w:val="13"/>
                <w:color w:val="auto"/>
              </w:rPr>
              <w:t>United</w:t>
            </w:r>
          </w:p>
        </w:tc>
        <w:tc>
          <w:tcPr>
            <w:tcW w:w="840" w:type="dxa"/>
            <w:vAlign w:val="bottom"/>
          </w:tcPr>
          <w:p>
            <w:pPr>
              <w:jc w:val="center"/>
              <w:ind w:right="41"/>
              <w:spacing w:after="0"/>
              <w:rPr>
                <w:sz w:val="20"/>
                <w:szCs w:val="20"/>
                <w:color w:val="auto"/>
              </w:rPr>
            </w:pPr>
            <w:r>
              <w:rPr>
                <w:rFonts w:ascii="Arial" w:cs="Arial" w:eastAsia="Arial" w:hAnsi="Arial"/>
                <w:sz w:val="13"/>
                <w:szCs w:val="13"/>
                <w:color w:val="auto"/>
                <w:w w:val="94"/>
              </w:rPr>
              <w:t>South</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jc w:val="right"/>
              <w:ind w:right="160"/>
              <w:spacing w:after="0"/>
              <w:rPr>
                <w:sz w:val="20"/>
                <w:szCs w:val="20"/>
                <w:color w:val="auto"/>
              </w:rPr>
            </w:pPr>
            <w:r>
              <w:rPr>
                <w:rFonts w:ascii="Arial" w:cs="Arial" w:eastAsia="Arial" w:hAnsi="Arial"/>
                <w:sz w:val="13"/>
                <w:szCs w:val="13"/>
                <w:color w:val="auto"/>
              </w:rPr>
              <w:t>Australia/</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62"/>
              <w:spacing w:after="0"/>
              <w:rPr>
                <w:sz w:val="20"/>
                <w:szCs w:val="20"/>
                <w:color w:val="auto"/>
              </w:rPr>
            </w:pPr>
            <w:r>
              <w:rPr>
                <w:rFonts w:ascii="Arial" w:cs="Arial" w:eastAsia="Arial" w:hAnsi="Arial"/>
                <w:sz w:val="13"/>
                <w:szCs w:val="13"/>
                <w:b w:val="1"/>
                <w:bCs w:val="1"/>
                <w:color w:val="auto"/>
              </w:rPr>
              <w:t>Total</w:t>
            </w:r>
          </w:p>
        </w:tc>
      </w:tr>
      <w:tr>
        <w:trPr>
          <w:trHeight w:val="196"/>
        </w:trPr>
        <w:tc>
          <w:tcPr>
            <w:tcW w:w="4020" w:type="dxa"/>
            <w:vAlign w:val="bottom"/>
          </w:tcPr>
          <w:p>
            <w:pPr>
              <w:spacing w:after="0"/>
              <w:rPr>
                <w:sz w:val="17"/>
                <w:szCs w:val="17"/>
                <w:color w:val="auto"/>
              </w:rPr>
            </w:pPr>
          </w:p>
        </w:tc>
        <w:tc>
          <w:tcPr>
            <w:tcW w:w="860" w:type="dxa"/>
            <w:vAlign w:val="bottom"/>
          </w:tcPr>
          <w:p>
            <w:pPr>
              <w:jc w:val="right"/>
              <w:ind w:right="220"/>
              <w:spacing w:after="0"/>
              <w:rPr>
                <w:sz w:val="20"/>
                <w:szCs w:val="20"/>
                <w:color w:val="auto"/>
              </w:rPr>
            </w:pPr>
            <w:r>
              <w:rPr>
                <w:rFonts w:ascii="Arial" w:cs="Arial" w:eastAsia="Arial" w:hAnsi="Arial"/>
                <w:sz w:val="13"/>
                <w:szCs w:val="13"/>
                <w:color w:val="auto"/>
              </w:rPr>
              <w:t>States</w:t>
            </w:r>
          </w:p>
        </w:tc>
        <w:tc>
          <w:tcPr>
            <w:tcW w:w="840" w:type="dxa"/>
            <w:vAlign w:val="bottom"/>
          </w:tcPr>
          <w:p>
            <w:pPr>
              <w:jc w:val="center"/>
              <w:ind w:right="41"/>
              <w:spacing w:after="0"/>
              <w:rPr>
                <w:sz w:val="20"/>
                <w:szCs w:val="20"/>
                <w:color w:val="auto"/>
              </w:rPr>
            </w:pPr>
            <w:r>
              <w:rPr>
                <w:rFonts w:ascii="Arial" w:cs="Arial" w:eastAsia="Arial" w:hAnsi="Arial"/>
                <w:sz w:val="13"/>
                <w:szCs w:val="13"/>
                <w:color w:val="auto"/>
                <w:w w:val="95"/>
              </w:rPr>
              <w:t xml:space="preserve">Amer. </w:t>
            </w:r>
            <w:r>
              <w:rPr>
                <w:rFonts w:ascii="Arial" w:cs="Arial" w:eastAsia="Arial" w:hAnsi="Arial"/>
                <w:sz w:val="13"/>
                <w:szCs w:val="13"/>
                <w:i w:val="1"/>
                <w:iCs w:val="1"/>
                <w:color w:val="auto"/>
                <w:w w:val="95"/>
              </w:rPr>
              <w:t>(1)</w:t>
            </w:r>
          </w:p>
        </w:tc>
        <w:tc>
          <w:tcPr>
            <w:tcW w:w="740" w:type="dxa"/>
            <w:vAlign w:val="bottom"/>
          </w:tcPr>
          <w:p>
            <w:pPr>
              <w:jc w:val="right"/>
              <w:ind w:right="140"/>
              <w:spacing w:after="0"/>
              <w:rPr>
                <w:sz w:val="20"/>
                <w:szCs w:val="20"/>
                <w:color w:val="auto"/>
              </w:rPr>
            </w:pPr>
            <w:r>
              <w:rPr>
                <w:rFonts w:ascii="Arial" w:cs="Arial" w:eastAsia="Arial" w:hAnsi="Arial"/>
                <w:sz w:val="13"/>
                <w:szCs w:val="13"/>
                <w:color w:val="auto"/>
              </w:rPr>
              <w:t>Europe</w:t>
            </w:r>
          </w:p>
        </w:tc>
        <w:tc>
          <w:tcPr>
            <w:tcW w:w="1000" w:type="dxa"/>
            <w:vAlign w:val="bottom"/>
          </w:tcPr>
          <w:p>
            <w:pPr>
              <w:jc w:val="center"/>
              <w:ind w:right="140"/>
              <w:spacing w:after="0"/>
              <w:rPr>
                <w:sz w:val="20"/>
                <w:szCs w:val="20"/>
                <w:color w:val="auto"/>
              </w:rPr>
            </w:pPr>
            <w:r>
              <w:rPr>
                <w:rFonts w:ascii="Arial" w:cs="Arial" w:eastAsia="Arial" w:hAnsi="Arial"/>
                <w:sz w:val="13"/>
                <w:szCs w:val="13"/>
                <w:color w:val="auto"/>
              </w:rPr>
              <w:t>Africa</w:t>
            </w:r>
          </w:p>
        </w:tc>
        <w:tc>
          <w:tcPr>
            <w:tcW w:w="640" w:type="dxa"/>
            <w:vAlign w:val="bottom"/>
          </w:tcPr>
          <w:p>
            <w:pPr>
              <w:jc w:val="right"/>
              <w:ind w:right="259"/>
              <w:spacing w:after="0"/>
              <w:rPr>
                <w:sz w:val="20"/>
                <w:szCs w:val="20"/>
                <w:color w:val="auto"/>
              </w:rPr>
            </w:pPr>
            <w:r>
              <w:rPr>
                <w:rFonts w:ascii="Arial" w:cs="Arial" w:eastAsia="Arial" w:hAnsi="Arial"/>
                <w:sz w:val="13"/>
                <w:szCs w:val="13"/>
                <w:color w:val="auto"/>
              </w:rPr>
              <w:t>Asia</w:t>
            </w:r>
          </w:p>
        </w:tc>
        <w:tc>
          <w:tcPr>
            <w:tcW w:w="840" w:type="dxa"/>
            <w:vAlign w:val="bottom"/>
          </w:tcPr>
          <w:p>
            <w:pPr>
              <w:jc w:val="right"/>
              <w:ind w:right="200"/>
              <w:spacing w:after="0"/>
              <w:rPr>
                <w:sz w:val="20"/>
                <w:szCs w:val="20"/>
                <w:color w:val="auto"/>
              </w:rPr>
            </w:pPr>
            <w:r>
              <w:rPr>
                <w:rFonts w:ascii="Arial" w:cs="Arial" w:eastAsia="Arial" w:hAnsi="Arial"/>
                <w:sz w:val="13"/>
                <w:szCs w:val="13"/>
                <w:color w:val="auto"/>
              </w:rPr>
              <w:t>Oceania</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Total</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All Products</w:t>
            </w:r>
          </w:p>
        </w:tc>
      </w:tr>
      <w:tr>
        <w:trPr>
          <w:trHeight w:val="23"/>
        </w:trPr>
        <w:tc>
          <w:tcPr>
            <w:tcW w:w="4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5"/>
        </w:trPr>
        <w:tc>
          <w:tcPr>
            <w:tcW w:w="4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40" w:type="dxa"/>
            <w:vAlign w:val="bottom"/>
            <w:gridSpan w:val="2"/>
          </w:tcPr>
          <w:p>
            <w:pPr>
              <w:jc w:val="center"/>
              <w:ind w:left="400"/>
              <w:spacing w:after="0"/>
              <w:rPr>
                <w:sz w:val="20"/>
                <w:szCs w:val="20"/>
                <w:color w:val="auto"/>
              </w:rPr>
            </w:pPr>
            <w:r>
              <w:rPr>
                <w:rFonts w:ascii="Arial" w:cs="Arial" w:eastAsia="Arial" w:hAnsi="Arial"/>
                <w:sz w:val="13"/>
                <w:szCs w:val="13"/>
                <w:i w:val="1"/>
                <w:iCs w:val="1"/>
                <w:color w:val="auto"/>
                <w:w w:val="93"/>
              </w:rPr>
              <w:t>(billions of cubic feet)</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i w:val="1"/>
                <w:iCs w:val="1"/>
                <w:color w:val="auto"/>
              </w:rPr>
              <w:t>(millions of o</w:t>
            </w:r>
          </w:p>
        </w:tc>
      </w:tr>
      <w:tr>
        <w:trPr>
          <w:trHeight w:val="196"/>
        </w:trPr>
        <w:tc>
          <w:tcPr>
            <w:tcW w:w="4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i w:val="1"/>
                <w:iCs w:val="1"/>
                <w:color w:val="auto"/>
              </w:rPr>
              <w:t>equivalen</w:t>
            </w:r>
          </w:p>
        </w:tc>
      </w:tr>
      <w:tr>
        <w:trPr>
          <w:trHeight w:val="207"/>
        </w:trPr>
        <w:tc>
          <w:tcPr>
            <w:tcW w:w="4020" w:type="dxa"/>
            <w:vAlign w:val="bottom"/>
          </w:tcPr>
          <w:p>
            <w:pPr>
              <w:spacing w:after="0"/>
              <w:rPr>
                <w:sz w:val="20"/>
                <w:szCs w:val="20"/>
                <w:color w:val="auto"/>
              </w:rPr>
            </w:pPr>
            <w:r>
              <w:rPr>
                <w:rFonts w:ascii="Arial" w:cs="Arial" w:eastAsia="Arial" w:hAnsi="Arial"/>
                <w:sz w:val="16"/>
                <w:szCs w:val="16"/>
                <w:color w:val="auto"/>
              </w:rPr>
              <w:t>Proved developed reserves, as of</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4020" w:type="dxa"/>
            <w:vAlign w:val="bottom"/>
          </w:tcPr>
          <w:p>
            <w:pPr>
              <w:ind w:left="240"/>
              <w:spacing w:after="0"/>
              <w:rPr>
                <w:sz w:val="20"/>
                <w:szCs w:val="20"/>
                <w:color w:val="auto"/>
              </w:rPr>
            </w:pPr>
            <w:r>
              <w:rPr>
                <w:rFonts w:ascii="Arial" w:cs="Arial" w:eastAsia="Arial" w:hAnsi="Arial"/>
                <w:sz w:val="16"/>
                <w:szCs w:val="16"/>
                <w:color w:val="auto"/>
              </w:rPr>
              <w:t>December 31, 2012</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4020" w:type="dxa"/>
            <w:vAlign w:val="bottom"/>
          </w:tcPr>
          <w:p>
            <w:pPr>
              <w:ind w:left="480"/>
              <w:spacing w:after="0"/>
              <w:rPr>
                <w:sz w:val="20"/>
                <w:szCs w:val="20"/>
                <w:color w:val="auto"/>
              </w:rPr>
            </w:pPr>
            <w:r>
              <w:rPr>
                <w:rFonts w:ascii="Arial" w:cs="Arial" w:eastAsia="Arial" w:hAnsi="Arial"/>
                <w:sz w:val="16"/>
                <w:szCs w:val="16"/>
                <w:color w:val="auto"/>
              </w:rPr>
              <w:t>Consolidated subsidiaries</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14,471</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670</w:t>
            </w:r>
          </w:p>
        </w:tc>
        <w:tc>
          <w:tcPr>
            <w:tcW w:w="740" w:type="dxa"/>
            <w:vAlign w:val="bottom"/>
          </w:tcPr>
          <w:p>
            <w:pPr>
              <w:jc w:val="right"/>
              <w:spacing w:after="0"/>
              <w:rPr>
                <w:sz w:val="20"/>
                <w:szCs w:val="20"/>
                <w:color w:val="auto"/>
              </w:rPr>
            </w:pPr>
            <w:r>
              <w:rPr>
                <w:rFonts w:ascii="Arial" w:cs="Arial" w:eastAsia="Arial" w:hAnsi="Arial"/>
                <w:sz w:val="16"/>
                <w:szCs w:val="16"/>
                <w:color w:val="auto"/>
              </w:rPr>
              <w:t>2,526</w:t>
            </w:r>
          </w:p>
        </w:tc>
        <w:tc>
          <w:tcPr>
            <w:tcW w:w="1000" w:type="dxa"/>
            <w:vAlign w:val="bottom"/>
          </w:tcPr>
          <w:p>
            <w:pPr>
              <w:jc w:val="right"/>
              <w:ind w:right="180"/>
              <w:spacing w:after="0"/>
              <w:rPr>
                <w:sz w:val="20"/>
                <w:szCs w:val="20"/>
                <w:color w:val="auto"/>
              </w:rPr>
            </w:pPr>
            <w:r>
              <w:rPr>
                <w:rFonts w:ascii="Arial" w:cs="Arial" w:eastAsia="Arial" w:hAnsi="Arial"/>
                <w:sz w:val="16"/>
                <w:szCs w:val="16"/>
                <w:color w:val="auto"/>
              </w:rPr>
              <w:t>814</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5,150</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1,012</w:t>
            </w:r>
          </w:p>
        </w:tc>
        <w:tc>
          <w:tcPr>
            <w:tcW w:w="700" w:type="dxa"/>
            <w:vAlign w:val="bottom"/>
          </w:tcPr>
          <w:p>
            <w:pPr>
              <w:jc w:val="right"/>
              <w:spacing w:after="0"/>
              <w:rPr>
                <w:sz w:val="20"/>
                <w:szCs w:val="20"/>
                <w:color w:val="auto"/>
              </w:rPr>
            </w:pPr>
            <w:r>
              <w:rPr>
                <w:rFonts w:ascii="Arial" w:cs="Arial" w:eastAsia="Arial" w:hAnsi="Arial"/>
                <w:sz w:val="16"/>
                <w:szCs w:val="16"/>
                <w:color w:val="auto"/>
              </w:rPr>
              <w:t>24,643</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9,33</w:t>
            </w:r>
          </w:p>
        </w:tc>
      </w:tr>
      <w:tr>
        <w:trPr>
          <w:trHeight w:val="208"/>
        </w:trPr>
        <w:tc>
          <w:tcPr>
            <w:tcW w:w="4020" w:type="dxa"/>
            <w:vAlign w:val="bottom"/>
          </w:tcPr>
          <w:p>
            <w:pPr>
              <w:ind w:left="480"/>
              <w:spacing w:after="0"/>
              <w:rPr>
                <w:sz w:val="20"/>
                <w:szCs w:val="20"/>
                <w:color w:val="auto"/>
              </w:rPr>
            </w:pPr>
            <w:r>
              <w:rPr>
                <w:rFonts w:ascii="Arial" w:cs="Arial" w:eastAsia="Arial" w:hAnsi="Arial"/>
                <w:sz w:val="16"/>
                <w:szCs w:val="16"/>
                <w:color w:val="auto"/>
              </w:rPr>
              <w:t>Equity companies</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126</w:t>
            </w:r>
          </w:p>
        </w:tc>
        <w:tc>
          <w:tcPr>
            <w:tcW w:w="8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7,057</w:t>
            </w:r>
          </w:p>
        </w:tc>
        <w:tc>
          <w:tcPr>
            <w:tcW w:w="100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18,431</w:t>
            </w:r>
          </w:p>
        </w:tc>
        <w:tc>
          <w:tcPr>
            <w:tcW w:w="8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25,614</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5,98</w:t>
            </w:r>
          </w:p>
        </w:tc>
      </w:tr>
      <w:tr>
        <w:trPr>
          <w:trHeight w:val="381"/>
        </w:trPr>
        <w:tc>
          <w:tcPr>
            <w:tcW w:w="4020" w:type="dxa"/>
            <w:vAlign w:val="bottom"/>
          </w:tcPr>
          <w:p>
            <w:pPr>
              <w:spacing w:after="0"/>
              <w:rPr>
                <w:sz w:val="20"/>
                <w:szCs w:val="20"/>
                <w:color w:val="auto"/>
              </w:rPr>
            </w:pPr>
            <w:r>
              <w:rPr>
                <w:rFonts w:ascii="Arial" w:cs="Arial" w:eastAsia="Arial" w:hAnsi="Arial"/>
                <w:sz w:val="16"/>
                <w:szCs w:val="16"/>
                <w:color w:val="auto"/>
              </w:rPr>
              <w:t>Proved undeveloped reserves, as of</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6"/>
        </w:trPr>
        <w:tc>
          <w:tcPr>
            <w:tcW w:w="4020" w:type="dxa"/>
            <w:vAlign w:val="bottom"/>
          </w:tcPr>
          <w:p>
            <w:pPr>
              <w:ind w:left="240"/>
              <w:spacing w:after="0"/>
              <w:rPr>
                <w:sz w:val="20"/>
                <w:szCs w:val="20"/>
                <w:color w:val="auto"/>
              </w:rPr>
            </w:pPr>
            <w:r>
              <w:rPr>
                <w:rFonts w:ascii="Arial" w:cs="Arial" w:eastAsia="Arial" w:hAnsi="Arial"/>
                <w:sz w:val="16"/>
                <w:szCs w:val="16"/>
                <w:color w:val="auto"/>
              </w:rPr>
              <w:t>December 31, 2012</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4020" w:type="dxa"/>
            <w:vAlign w:val="bottom"/>
          </w:tcPr>
          <w:p>
            <w:pPr>
              <w:ind w:left="480"/>
              <w:spacing w:after="0"/>
              <w:rPr>
                <w:sz w:val="20"/>
                <w:szCs w:val="20"/>
                <w:color w:val="auto"/>
              </w:rPr>
            </w:pPr>
            <w:r>
              <w:rPr>
                <w:rFonts w:ascii="Arial" w:cs="Arial" w:eastAsia="Arial" w:hAnsi="Arial"/>
                <w:sz w:val="16"/>
                <w:szCs w:val="16"/>
                <w:color w:val="auto"/>
              </w:rPr>
              <w:t>Consolidated subsidiaries</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11,744</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255</w:t>
            </w:r>
          </w:p>
        </w:tc>
        <w:tc>
          <w:tcPr>
            <w:tcW w:w="740" w:type="dxa"/>
            <w:vAlign w:val="bottom"/>
          </w:tcPr>
          <w:p>
            <w:pPr>
              <w:jc w:val="right"/>
              <w:spacing w:after="0"/>
              <w:rPr>
                <w:sz w:val="20"/>
                <w:szCs w:val="20"/>
                <w:color w:val="auto"/>
              </w:rPr>
            </w:pPr>
            <w:r>
              <w:rPr>
                <w:rFonts w:ascii="Arial" w:cs="Arial" w:eastAsia="Arial" w:hAnsi="Arial"/>
                <w:sz w:val="16"/>
                <w:szCs w:val="16"/>
                <w:color w:val="auto"/>
              </w:rPr>
              <w:t>723</w:t>
            </w:r>
          </w:p>
        </w:tc>
        <w:tc>
          <w:tcPr>
            <w:tcW w:w="1000" w:type="dxa"/>
            <w:vAlign w:val="bottom"/>
          </w:tcPr>
          <w:p>
            <w:pPr>
              <w:jc w:val="right"/>
              <w:ind w:right="180"/>
              <w:spacing w:after="0"/>
              <w:rPr>
                <w:sz w:val="20"/>
                <w:szCs w:val="20"/>
                <w:color w:val="auto"/>
              </w:rPr>
            </w:pPr>
            <w:r>
              <w:rPr>
                <w:rFonts w:ascii="Arial" w:cs="Arial" w:eastAsia="Arial" w:hAnsi="Arial"/>
                <w:sz w:val="16"/>
                <w:szCs w:val="16"/>
                <w:color w:val="auto"/>
              </w:rPr>
              <w:t>115</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695</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6,556</w:t>
            </w:r>
          </w:p>
        </w:tc>
        <w:tc>
          <w:tcPr>
            <w:tcW w:w="700" w:type="dxa"/>
            <w:vAlign w:val="bottom"/>
          </w:tcPr>
          <w:p>
            <w:pPr>
              <w:jc w:val="right"/>
              <w:spacing w:after="0"/>
              <w:rPr>
                <w:sz w:val="20"/>
                <w:szCs w:val="20"/>
                <w:color w:val="auto"/>
              </w:rPr>
            </w:pPr>
            <w:r>
              <w:rPr>
                <w:rFonts w:ascii="Arial" w:cs="Arial" w:eastAsia="Arial" w:hAnsi="Arial"/>
                <w:sz w:val="16"/>
                <w:szCs w:val="16"/>
                <w:color w:val="auto"/>
              </w:rPr>
              <w:t>20,088</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8,83</w:t>
            </w:r>
          </w:p>
        </w:tc>
      </w:tr>
      <w:tr>
        <w:trPr>
          <w:trHeight w:val="208"/>
        </w:trPr>
        <w:tc>
          <w:tcPr>
            <w:tcW w:w="4020" w:type="dxa"/>
            <w:vAlign w:val="bottom"/>
          </w:tcPr>
          <w:p>
            <w:pPr>
              <w:ind w:left="480"/>
              <w:spacing w:after="0"/>
              <w:rPr>
                <w:sz w:val="20"/>
                <w:szCs w:val="20"/>
                <w:color w:val="auto"/>
              </w:rPr>
            </w:pPr>
            <w:r>
              <w:rPr>
                <w:rFonts w:ascii="Arial" w:cs="Arial" w:eastAsia="Arial" w:hAnsi="Arial"/>
                <w:sz w:val="16"/>
                <w:szCs w:val="16"/>
                <w:color w:val="auto"/>
              </w:rPr>
              <w:t>Equity companies</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w:t>
            </w:r>
          </w:p>
        </w:tc>
        <w:tc>
          <w:tcPr>
            <w:tcW w:w="8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2,478</w:t>
            </w:r>
          </w:p>
        </w:tc>
        <w:tc>
          <w:tcPr>
            <w:tcW w:w="10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1,239</w:t>
            </w:r>
          </w:p>
        </w:tc>
        <w:tc>
          <w:tcPr>
            <w:tcW w:w="8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3,746</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384"/>
        </w:trPr>
        <w:tc>
          <w:tcPr>
            <w:tcW w:w="4020" w:type="dxa"/>
            <w:vAlign w:val="bottom"/>
          </w:tcPr>
          <w:p>
            <w:pPr>
              <w:spacing w:after="0"/>
              <w:rPr>
                <w:sz w:val="20"/>
                <w:szCs w:val="20"/>
                <w:color w:val="auto"/>
              </w:rPr>
            </w:pPr>
            <w:r>
              <w:rPr>
                <w:rFonts w:ascii="Arial" w:cs="Arial" w:eastAsia="Arial" w:hAnsi="Arial"/>
                <w:sz w:val="16"/>
                <w:szCs w:val="16"/>
                <w:color w:val="auto"/>
              </w:rPr>
              <w:t>Total proved reserves at December 31, 2012</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26,370</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925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12,784</w:t>
            </w: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929</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25,515</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7,568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74,091</w:t>
            </w:r>
          </w:p>
        </w:tc>
        <w:tc>
          <w:tcPr>
            <w:tcW w:w="22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25,16</w:t>
            </w:r>
          </w:p>
        </w:tc>
      </w:tr>
      <w:tr>
        <w:trPr>
          <w:trHeight w:val="373"/>
        </w:trPr>
        <w:tc>
          <w:tcPr>
            <w:tcW w:w="4020" w:type="dxa"/>
            <w:vAlign w:val="bottom"/>
          </w:tcPr>
          <w:p>
            <w:pPr>
              <w:spacing w:after="0"/>
              <w:rPr>
                <w:sz w:val="20"/>
                <w:szCs w:val="20"/>
                <w:color w:val="auto"/>
              </w:rPr>
            </w:pPr>
            <w:r>
              <w:rPr>
                <w:rFonts w:ascii="Arial" w:cs="Arial" w:eastAsia="Arial" w:hAnsi="Arial"/>
                <w:sz w:val="16"/>
                <w:szCs w:val="16"/>
                <w:color w:val="auto"/>
              </w:rPr>
              <w:t>Proved developed reserves, as of</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6"/>
        </w:trPr>
        <w:tc>
          <w:tcPr>
            <w:tcW w:w="4020" w:type="dxa"/>
            <w:vAlign w:val="bottom"/>
          </w:tcPr>
          <w:p>
            <w:pPr>
              <w:ind w:left="240"/>
              <w:spacing w:after="0"/>
              <w:rPr>
                <w:sz w:val="20"/>
                <w:szCs w:val="20"/>
                <w:color w:val="auto"/>
              </w:rPr>
            </w:pPr>
            <w:r>
              <w:rPr>
                <w:rFonts w:ascii="Arial" w:cs="Arial" w:eastAsia="Arial" w:hAnsi="Arial"/>
                <w:sz w:val="16"/>
                <w:szCs w:val="16"/>
                <w:color w:val="auto"/>
              </w:rPr>
              <w:t>December 31, 2013</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4020" w:type="dxa"/>
            <w:vAlign w:val="bottom"/>
          </w:tcPr>
          <w:p>
            <w:pPr>
              <w:ind w:left="480"/>
              <w:spacing w:after="0"/>
              <w:rPr>
                <w:sz w:val="20"/>
                <w:szCs w:val="20"/>
                <w:color w:val="auto"/>
              </w:rPr>
            </w:pPr>
            <w:r>
              <w:rPr>
                <w:rFonts w:ascii="Arial" w:cs="Arial" w:eastAsia="Arial" w:hAnsi="Arial"/>
                <w:sz w:val="16"/>
                <w:szCs w:val="16"/>
                <w:color w:val="auto"/>
              </w:rPr>
              <w:t>Consolidated subsidiaries</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14,655</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664</w:t>
            </w:r>
          </w:p>
        </w:tc>
        <w:tc>
          <w:tcPr>
            <w:tcW w:w="740" w:type="dxa"/>
            <w:vAlign w:val="bottom"/>
          </w:tcPr>
          <w:p>
            <w:pPr>
              <w:jc w:val="right"/>
              <w:spacing w:after="0"/>
              <w:rPr>
                <w:sz w:val="20"/>
                <w:szCs w:val="20"/>
                <w:color w:val="auto"/>
              </w:rPr>
            </w:pPr>
            <w:r>
              <w:rPr>
                <w:rFonts w:ascii="Arial" w:cs="Arial" w:eastAsia="Arial" w:hAnsi="Arial"/>
                <w:sz w:val="16"/>
                <w:szCs w:val="16"/>
                <w:color w:val="auto"/>
              </w:rPr>
              <w:t>2,189</w:t>
            </w:r>
          </w:p>
        </w:tc>
        <w:tc>
          <w:tcPr>
            <w:tcW w:w="1000" w:type="dxa"/>
            <w:vAlign w:val="bottom"/>
          </w:tcPr>
          <w:p>
            <w:pPr>
              <w:jc w:val="right"/>
              <w:ind w:right="180"/>
              <w:spacing w:after="0"/>
              <w:rPr>
                <w:sz w:val="20"/>
                <w:szCs w:val="20"/>
                <w:color w:val="auto"/>
              </w:rPr>
            </w:pPr>
            <w:r>
              <w:rPr>
                <w:rFonts w:ascii="Arial" w:cs="Arial" w:eastAsia="Arial" w:hAnsi="Arial"/>
                <w:sz w:val="16"/>
                <w:szCs w:val="16"/>
                <w:color w:val="auto"/>
              </w:rPr>
              <w:t>779</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5,241</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969</w:t>
            </w:r>
          </w:p>
        </w:tc>
        <w:tc>
          <w:tcPr>
            <w:tcW w:w="700" w:type="dxa"/>
            <w:vAlign w:val="bottom"/>
          </w:tcPr>
          <w:p>
            <w:pPr>
              <w:jc w:val="right"/>
              <w:spacing w:after="0"/>
              <w:rPr>
                <w:sz w:val="20"/>
                <w:szCs w:val="20"/>
                <w:color w:val="auto"/>
              </w:rPr>
            </w:pPr>
            <w:r>
              <w:rPr>
                <w:rFonts w:ascii="Arial" w:cs="Arial" w:eastAsia="Arial" w:hAnsi="Arial"/>
                <w:sz w:val="16"/>
                <w:szCs w:val="16"/>
                <w:color w:val="auto"/>
              </w:rPr>
              <w:t>24,497</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11,02</w:t>
            </w:r>
          </w:p>
        </w:tc>
      </w:tr>
      <w:tr>
        <w:trPr>
          <w:trHeight w:val="208"/>
        </w:trPr>
        <w:tc>
          <w:tcPr>
            <w:tcW w:w="4020" w:type="dxa"/>
            <w:vAlign w:val="bottom"/>
          </w:tcPr>
          <w:p>
            <w:pPr>
              <w:ind w:left="480"/>
              <w:spacing w:after="0"/>
              <w:rPr>
                <w:sz w:val="20"/>
                <w:szCs w:val="20"/>
                <w:color w:val="auto"/>
              </w:rPr>
            </w:pPr>
            <w:r>
              <w:rPr>
                <w:rFonts w:ascii="Arial" w:cs="Arial" w:eastAsia="Arial" w:hAnsi="Arial"/>
                <w:sz w:val="16"/>
                <w:szCs w:val="16"/>
                <w:color w:val="auto"/>
              </w:rPr>
              <w:t>Equity companies</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197</w:t>
            </w:r>
          </w:p>
        </w:tc>
        <w:tc>
          <w:tcPr>
            <w:tcW w:w="8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6,852</w:t>
            </w:r>
          </w:p>
        </w:tc>
        <w:tc>
          <w:tcPr>
            <w:tcW w:w="100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17,288</w:t>
            </w:r>
          </w:p>
        </w:tc>
        <w:tc>
          <w:tcPr>
            <w:tcW w:w="8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24,337</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5,64</w:t>
            </w:r>
          </w:p>
        </w:tc>
      </w:tr>
      <w:tr>
        <w:trPr>
          <w:trHeight w:val="381"/>
        </w:trPr>
        <w:tc>
          <w:tcPr>
            <w:tcW w:w="4020" w:type="dxa"/>
            <w:vAlign w:val="bottom"/>
          </w:tcPr>
          <w:p>
            <w:pPr>
              <w:spacing w:after="0"/>
              <w:rPr>
                <w:sz w:val="20"/>
                <w:szCs w:val="20"/>
                <w:color w:val="auto"/>
              </w:rPr>
            </w:pPr>
            <w:r>
              <w:rPr>
                <w:rFonts w:ascii="Arial" w:cs="Arial" w:eastAsia="Arial" w:hAnsi="Arial"/>
                <w:sz w:val="16"/>
                <w:szCs w:val="16"/>
                <w:color w:val="auto"/>
              </w:rPr>
              <w:t>Proved undeveloped reserves, as of</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6"/>
        </w:trPr>
        <w:tc>
          <w:tcPr>
            <w:tcW w:w="4020" w:type="dxa"/>
            <w:vAlign w:val="bottom"/>
          </w:tcPr>
          <w:p>
            <w:pPr>
              <w:ind w:left="240"/>
              <w:spacing w:after="0"/>
              <w:rPr>
                <w:sz w:val="20"/>
                <w:szCs w:val="20"/>
                <w:color w:val="auto"/>
              </w:rPr>
            </w:pPr>
            <w:r>
              <w:rPr>
                <w:rFonts w:ascii="Arial" w:cs="Arial" w:eastAsia="Arial" w:hAnsi="Arial"/>
                <w:sz w:val="16"/>
                <w:szCs w:val="16"/>
                <w:color w:val="auto"/>
              </w:rPr>
              <w:t>December 31, 2013</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4020" w:type="dxa"/>
            <w:vAlign w:val="bottom"/>
          </w:tcPr>
          <w:p>
            <w:pPr>
              <w:ind w:left="480"/>
              <w:spacing w:after="0"/>
              <w:rPr>
                <w:sz w:val="20"/>
                <w:szCs w:val="20"/>
                <w:color w:val="auto"/>
              </w:rPr>
            </w:pPr>
            <w:r>
              <w:rPr>
                <w:rFonts w:ascii="Arial" w:cs="Arial" w:eastAsia="Arial" w:hAnsi="Arial"/>
                <w:sz w:val="16"/>
                <w:szCs w:val="16"/>
                <w:color w:val="auto"/>
              </w:rPr>
              <w:t>Consolidated subsidiaries</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11,365</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571</w:t>
            </w:r>
          </w:p>
        </w:tc>
        <w:tc>
          <w:tcPr>
            <w:tcW w:w="740" w:type="dxa"/>
            <w:vAlign w:val="bottom"/>
          </w:tcPr>
          <w:p>
            <w:pPr>
              <w:jc w:val="right"/>
              <w:spacing w:after="0"/>
              <w:rPr>
                <w:sz w:val="20"/>
                <w:szCs w:val="20"/>
                <w:color w:val="auto"/>
              </w:rPr>
            </w:pPr>
            <w:r>
              <w:rPr>
                <w:rFonts w:ascii="Arial" w:cs="Arial" w:eastAsia="Arial" w:hAnsi="Arial"/>
                <w:sz w:val="16"/>
                <w:szCs w:val="16"/>
                <w:color w:val="auto"/>
              </w:rPr>
              <w:t>621</w:t>
            </w:r>
          </w:p>
        </w:tc>
        <w:tc>
          <w:tcPr>
            <w:tcW w:w="1000" w:type="dxa"/>
            <w:vAlign w:val="bottom"/>
          </w:tcPr>
          <w:p>
            <w:pPr>
              <w:jc w:val="right"/>
              <w:ind w:right="180"/>
              <w:spacing w:after="0"/>
              <w:rPr>
                <w:sz w:val="20"/>
                <w:szCs w:val="20"/>
                <w:color w:val="auto"/>
              </w:rPr>
            </w:pPr>
            <w:r>
              <w:rPr>
                <w:rFonts w:ascii="Arial" w:cs="Arial" w:eastAsia="Arial" w:hAnsi="Arial"/>
                <w:sz w:val="16"/>
                <w:szCs w:val="16"/>
                <w:color w:val="auto"/>
              </w:rPr>
              <w:t>88</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493</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6,546</w:t>
            </w:r>
          </w:p>
        </w:tc>
        <w:tc>
          <w:tcPr>
            <w:tcW w:w="700" w:type="dxa"/>
            <w:vAlign w:val="bottom"/>
          </w:tcPr>
          <w:p>
            <w:pPr>
              <w:jc w:val="right"/>
              <w:spacing w:after="0"/>
              <w:rPr>
                <w:sz w:val="20"/>
                <w:szCs w:val="20"/>
                <w:color w:val="auto"/>
              </w:rPr>
            </w:pPr>
            <w:r>
              <w:rPr>
                <w:rFonts w:ascii="Arial" w:cs="Arial" w:eastAsia="Arial" w:hAnsi="Arial"/>
                <w:sz w:val="16"/>
                <w:szCs w:val="16"/>
                <w:color w:val="auto"/>
              </w:rPr>
              <w:t>19,684</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7,61</w:t>
            </w:r>
          </w:p>
        </w:tc>
      </w:tr>
      <w:tr>
        <w:trPr>
          <w:trHeight w:val="208"/>
        </w:trPr>
        <w:tc>
          <w:tcPr>
            <w:tcW w:w="4020" w:type="dxa"/>
            <w:vAlign w:val="bottom"/>
          </w:tcPr>
          <w:p>
            <w:pPr>
              <w:ind w:left="480"/>
              <w:spacing w:after="0"/>
              <w:rPr>
                <w:sz w:val="20"/>
                <w:szCs w:val="20"/>
                <w:color w:val="auto"/>
              </w:rPr>
            </w:pPr>
            <w:r>
              <w:rPr>
                <w:rFonts w:ascii="Arial" w:cs="Arial" w:eastAsia="Arial" w:hAnsi="Arial"/>
                <w:sz w:val="16"/>
                <w:szCs w:val="16"/>
                <w:color w:val="auto"/>
              </w:rPr>
              <w:t>Equity companies</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84</w:t>
            </w:r>
          </w:p>
        </w:tc>
        <w:tc>
          <w:tcPr>
            <w:tcW w:w="8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2,032</w:t>
            </w:r>
          </w:p>
        </w:tc>
        <w:tc>
          <w:tcPr>
            <w:tcW w:w="10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1,226</w:t>
            </w:r>
          </w:p>
        </w:tc>
        <w:tc>
          <w:tcPr>
            <w:tcW w:w="8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3,342</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r>
      <w:tr>
        <w:trPr>
          <w:trHeight w:val="384"/>
        </w:trPr>
        <w:tc>
          <w:tcPr>
            <w:tcW w:w="4020" w:type="dxa"/>
            <w:vAlign w:val="bottom"/>
          </w:tcPr>
          <w:p>
            <w:pPr>
              <w:spacing w:after="0"/>
              <w:rPr>
                <w:sz w:val="20"/>
                <w:szCs w:val="20"/>
                <w:color w:val="auto"/>
              </w:rPr>
            </w:pPr>
            <w:r>
              <w:rPr>
                <w:rFonts w:ascii="Arial" w:cs="Arial" w:eastAsia="Arial" w:hAnsi="Arial"/>
                <w:sz w:val="16"/>
                <w:szCs w:val="16"/>
                <w:color w:val="auto"/>
              </w:rPr>
              <w:t>Total proved reserves at December 31, 2013</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26,301</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1,235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11,694</w:t>
            </w: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867</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24,248</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7,515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71,860</w:t>
            </w:r>
          </w:p>
        </w:tc>
        <w:tc>
          <w:tcPr>
            <w:tcW w:w="22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25,21</w:t>
            </w:r>
          </w:p>
        </w:tc>
      </w:tr>
      <w:tr>
        <w:trPr>
          <w:trHeight w:val="373"/>
        </w:trPr>
        <w:tc>
          <w:tcPr>
            <w:tcW w:w="4020" w:type="dxa"/>
            <w:vAlign w:val="bottom"/>
          </w:tcPr>
          <w:p>
            <w:pPr>
              <w:spacing w:after="0"/>
              <w:rPr>
                <w:sz w:val="20"/>
                <w:szCs w:val="20"/>
                <w:color w:val="auto"/>
              </w:rPr>
            </w:pPr>
            <w:r>
              <w:rPr>
                <w:rFonts w:ascii="Arial" w:cs="Arial" w:eastAsia="Arial" w:hAnsi="Arial"/>
                <w:sz w:val="16"/>
                <w:szCs w:val="16"/>
                <w:color w:val="auto"/>
              </w:rPr>
              <w:t>Proved developed reserves, as of</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6"/>
        </w:trPr>
        <w:tc>
          <w:tcPr>
            <w:tcW w:w="4020" w:type="dxa"/>
            <w:vAlign w:val="bottom"/>
          </w:tcPr>
          <w:p>
            <w:pPr>
              <w:ind w:left="240"/>
              <w:spacing w:after="0"/>
              <w:rPr>
                <w:sz w:val="20"/>
                <w:szCs w:val="20"/>
                <w:color w:val="auto"/>
              </w:rPr>
            </w:pPr>
            <w:r>
              <w:rPr>
                <w:rFonts w:ascii="Arial" w:cs="Arial" w:eastAsia="Arial" w:hAnsi="Arial"/>
                <w:sz w:val="16"/>
                <w:szCs w:val="16"/>
                <w:color w:val="auto"/>
              </w:rPr>
              <w:t>December 31, 2014</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4020" w:type="dxa"/>
            <w:vAlign w:val="bottom"/>
          </w:tcPr>
          <w:p>
            <w:pPr>
              <w:ind w:left="480"/>
              <w:spacing w:after="0"/>
              <w:rPr>
                <w:sz w:val="20"/>
                <w:szCs w:val="20"/>
                <w:color w:val="auto"/>
              </w:rPr>
            </w:pPr>
            <w:r>
              <w:rPr>
                <w:rFonts w:ascii="Arial" w:cs="Arial" w:eastAsia="Arial" w:hAnsi="Arial"/>
                <w:sz w:val="16"/>
                <w:szCs w:val="16"/>
                <w:color w:val="auto"/>
              </w:rPr>
              <w:t>Consolidated subsidiaries</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14,169</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615</w:t>
            </w:r>
          </w:p>
        </w:tc>
        <w:tc>
          <w:tcPr>
            <w:tcW w:w="740" w:type="dxa"/>
            <w:vAlign w:val="bottom"/>
          </w:tcPr>
          <w:p>
            <w:pPr>
              <w:jc w:val="right"/>
              <w:spacing w:after="0"/>
              <w:rPr>
                <w:sz w:val="20"/>
                <w:szCs w:val="20"/>
                <w:color w:val="auto"/>
              </w:rPr>
            </w:pPr>
            <w:r>
              <w:rPr>
                <w:rFonts w:ascii="Arial" w:cs="Arial" w:eastAsia="Arial" w:hAnsi="Arial"/>
                <w:sz w:val="16"/>
                <w:szCs w:val="16"/>
                <w:color w:val="auto"/>
              </w:rPr>
              <w:t>1,870</w:t>
            </w:r>
          </w:p>
        </w:tc>
        <w:tc>
          <w:tcPr>
            <w:tcW w:w="1000" w:type="dxa"/>
            <w:vAlign w:val="bottom"/>
          </w:tcPr>
          <w:p>
            <w:pPr>
              <w:jc w:val="right"/>
              <w:ind w:right="180"/>
              <w:spacing w:after="0"/>
              <w:rPr>
                <w:sz w:val="20"/>
                <w:szCs w:val="20"/>
                <w:color w:val="auto"/>
              </w:rPr>
            </w:pPr>
            <w:r>
              <w:rPr>
                <w:rFonts w:ascii="Arial" w:cs="Arial" w:eastAsia="Arial" w:hAnsi="Arial"/>
                <w:sz w:val="16"/>
                <w:szCs w:val="16"/>
                <w:color w:val="auto"/>
              </w:rPr>
              <w:t>764</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5,031</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2,179</w:t>
            </w:r>
          </w:p>
        </w:tc>
        <w:tc>
          <w:tcPr>
            <w:tcW w:w="700" w:type="dxa"/>
            <w:vAlign w:val="bottom"/>
          </w:tcPr>
          <w:p>
            <w:pPr>
              <w:jc w:val="right"/>
              <w:spacing w:after="0"/>
              <w:rPr>
                <w:sz w:val="20"/>
                <w:szCs w:val="20"/>
                <w:color w:val="auto"/>
              </w:rPr>
            </w:pPr>
            <w:r>
              <w:rPr>
                <w:rFonts w:ascii="Arial" w:cs="Arial" w:eastAsia="Arial" w:hAnsi="Arial"/>
                <w:sz w:val="16"/>
                <w:szCs w:val="16"/>
                <w:color w:val="auto"/>
              </w:rPr>
              <w:t>24,628</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11,19</w:t>
            </w:r>
          </w:p>
        </w:tc>
      </w:tr>
      <w:tr>
        <w:trPr>
          <w:trHeight w:val="208"/>
        </w:trPr>
        <w:tc>
          <w:tcPr>
            <w:tcW w:w="4020" w:type="dxa"/>
            <w:vAlign w:val="bottom"/>
          </w:tcPr>
          <w:p>
            <w:pPr>
              <w:ind w:left="480"/>
              <w:spacing w:after="0"/>
              <w:rPr>
                <w:sz w:val="20"/>
                <w:szCs w:val="20"/>
                <w:color w:val="auto"/>
              </w:rPr>
            </w:pPr>
            <w:r>
              <w:rPr>
                <w:rFonts w:ascii="Arial" w:cs="Arial" w:eastAsia="Arial" w:hAnsi="Arial"/>
                <w:sz w:val="16"/>
                <w:szCs w:val="16"/>
                <w:color w:val="auto"/>
              </w:rPr>
              <w:t>Equity companies</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194</w:t>
            </w:r>
          </w:p>
        </w:tc>
        <w:tc>
          <w:tcPr>
            <w:tcW w:w="8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6,484</w:t>
            </w:r>
          </w:p>
        </w:tc>
        <w:tc>
          <w:tcPr>
            <w:tcW w:w="100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16,305</w:t>
            </w:r>
          </w:p>
        </w:tc>
        <w:tc>
          <w:tcPr>
            <w:tcW w:w="8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22,983</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5,31</w:t>
            </w:r>
          </w:p>
        </w:tc>
      </w:tr>
      <w:tr>
        <w:trPr>
          <w:trHeight w:val="381"/>
        </w:trPr>
        <w:tc>
          <w:tcPr>
            <w:tcW w:w="4020" w:type="dxa"/>
            <w:vAlign w:val="bottom"/>
          </w:tcPr>
          <w:p>
            <w:pPr>
              <w:spacing w:after="0"/>
              <w:rPr>
                <w:sz w:val="20"/>
                <w:szCs w:val="20"/>
                <w:color w:val="auto"/>
              </w:rPr>
            </w:pPr>
            <w:r>
              <w:rPr>
                <w:rFonts w:ascii="Arial" w:cs="Arial" w:eastAsia="Arial" w:hAnsi="Arial"/>
                <w:sz w:val="16"/>
                <w:szCs w:val="16"/>
                <w:color w:val="auto"/>
              </w:rPr>
              <w:t>Proved undeveloped reserves, as of</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6"/>
        </w:trPr>
        <w:tc>
          <w:tcPr>
            <w:tcW w:w="4020" w:type="dxa"/>
            <w:vAlign w:val="bottom"/>
          </w:tcPr>
          <w:p>
            <w:pPr>
              <w:ind w:left="240"/>
              <w:spacing w:after="0"/>
              <w:rPr>
                <w:sz w:val="20"/>
                <w:szCs w:val="20"/>
                <w:color w:val="auto"/>
              </w:rPr>
            </w:pPr>
            <w:r>
              <w:rPr>
                <w:rFonts w:ascii="Arial" w:cs="Arial" w:eastAsia="Arial" w:hAnsi="Arial"/>
                <w:sz w:val="16"/>
                <w:szCs w:val="16"/>
                <w:color w:val="auto"/>
              </w:rPr>
              <w:t>December 31, 2014</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4020" w:type="dxa"/>
            <w:vAlign w:val="bottom"/>
          </w:tcPr>
          <w:p>
            <w:pPr>
              <w:ind w:left="480"/>
              <w:spacing w:after="0"/>
              <w:rPr>
                <w:sz w:val="20"/>
                <w:szCs w:val="20"/>
                <w:color w:val="auto"/>
              </w:rPr>
            </w:pPr>
            <w:r>
              <w:rPr>
                <w:rFonts w:ascii="Arial" w:cs="Arial" w:eastAsia="Arial" w:hAnsi="Arial"/>
                <w:sz w:val="16"/>
                <w:szCs w:val="16"/>
                <w:color w:val="auto"/>
              </w:rPr>
              <w:t>Consolidated subsidiaries</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11,818</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611</w:t>
            </w:r>
          </w:p>
        </w:tc>
        <w:tc>
          <w:tcPr>
            <w:tcW w:w="740" w:type="dxa"/>
            <w:vAlign w:val="bottom"/>
          </w:tcPr>
          <w:p>
            <w:pPr>
              <w:jc w:val="right"/>
              <w:spacing w:after="0"/>
              <w:rPr>
                <w:sz w:val="20"/>
                <w:szCs w:val="20"/>
                <w:color w:val="auto"/>
              </w:rPr>
            </w:pPr>
            <w:r>
              <w:rPr>
                <w:rFonts w:ascii="Arial" w:cs="Arial" w:eastAsia="Arial" w:hAnsi="Arial"/>
                <w:sz w:val="16"/>
                <w:szCs w:val="16"/>
                <w:color w:val="auto"/>
              </w:rPr>
              <w:t>513</w:t>
            </w:r>
          </w:p>
        </w:tc>
        <w:tc>
          <w:tcPr>
            <w:tcW w:w="1000" w:type="dxa"/>
            <w:vAlign w:val="bottom"/>
          </w:tcPr>
          <w:p>
            <w:pPr>
              <w:jc w:val="right"/>
              <w:ind w:right="180"/>
              <w:spacing w:after="0"/>
              <w:rPr>
                <w:sz w:val="20"/>
                <w:szCs w:val="20"/>
                <w:color w:val="auto"/>
              </w:rPr>
            </w:pPr>
            <w:r>
              <w:rPr>
                <w:rFonts w:ascii="Arial" w:cs="Arial" w:eastAsia="Arial" w:hAnsi="Arial"/>
                <w:sz w:val="16"/>
                <w:szCs w:val="16"/>
                <w:color w:val="auto"/>
              </w:rPr>
              <w:t>47</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429</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5,097</w:t>
            </w:r>
          </w:p>
        </w:tc>
        <w:tc>
          <w:tcPr>
            <w:tcW w:w="700" w:type="dxa"/>
            <w:vAlign w:val="bottom"/>
          </w:tcPr>
          <w:p>
            <w:pPr>
              <w:jc w:val="right"/>
              <w:spacing w:after="0"/>
              <w:rPr>
                <w:sz w:val="20"/>
                <w:szCs w:val="20"/>
                <w:color w:val="auto"/>
              </w:rPr>
            </w:pPr>
            <w:r>
              <w:rPr>
                <w:rFonts w:ascii="Arial" w:cs="Arial" w:eastAsia="Arial" w:hAnsi="Arial"/>
                <w:sz w:val="16"/>
                <w:szCs w:val="16"/>
                <w:color w:val="auto"/>
              </w:rPr>
              <w:t>18,515</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7,81</w:t>
            </w:r>
          </w:p>
        </w:tc>
      </w:tr>
      <w:tr>
        <w:trPr>
          <w:trHeight w:val="208"/>
        </w:trPr>
        <w:tc>
          <w:tcPr>
            <w:tcW w:w="4020" w:type="dxa"/>
            <w:vAlign w:val="bottom"/>
          </w:tcPr>
          <w:p>
            <w:pPr>
              <w:ind w:left="480"/>
              <w:spacing w:after="0"/>
              <w:rPr>
                <w:sz w:val="20"/>
                <w:szCs w:val="20"/>
                <w:color w:val="auto"/>
              </w:rPr>
            </w:pPr>
            <w:r>
              <w:rPr>
                <w:rFonts w:ascii="Arial" w:cs="Arial" w:eastAsia="Arial" w:hAnsi="Arial"/>
                <w:sz w:val="16"/>
                <w:szCs w:val="16"/>
                <w:color w:val="auto"/>
              </w:rPr>
              <w:t>Equity companies</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78</w:t>
            </w:r>
          </w:p>
        </w:tc>
        <w:tc>
          <w:tcPr>
            <w:tcW w:w="8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1,934</w:t>
            </w:r>
          </w:p>
        </w:tc>
        <w:tc>
          <w:tcPr>
            <w:tcW w:w="10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1,200</w:t>
            </w:r>
          </w:p>
        </w:tc>
        <w:tc>
          <w:tcPr>
            <w:tcW w:w="8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3,212</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r>
      <w:tr>
        <w:trPr>
          <w:trHeight w:val="384"/>
        </w:trPr>
        <w:tc>
          <w:tcPr>
            <w:tcW w:w="4020" w:type="dxa"/>
            <w:vAlign w:val="bottom"/>
          </w:tcPr>
          <w:p>
            <w:pPr>
              <w:spacing w:after="0"/>
              <w:rPr>
                <w:sz w:val="20"/>
                <w:szCs w:val="20"/>
                <w:color w:val="auto"/>
              </w:rPr>
            </w:pPr>
            <w:r>
              <w:rPr>
                <w:rFonts w:ascii="Arial" w:cs="Arial" w:eastAsia="Arial" w:hAnsi="Arial"/>
                <w:sz w:val="16"/>
                <w:szCs w:val="16"/>
                <w:color w:val="auto"/>
              </w:rPr>
              <w:t>Total proved reserves at December 31, 2014</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26,259</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1,226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10,801</w:t>
            </w: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811</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22,965</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7,276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69,338</w:t>
            </w:r>
          </w:p>
        </w:tc>
        <w:tc>
          <w:tcPr>
            <w:tcW w:w="22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25,26</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footnotes on previous page)</w:t>
      </w:r>
    </w:p>
    <w:p>
      <w:pPr>
        <w:spacing w:after="0" w:line="37"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809" w:right="13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b w:val="1"/>
          <w:bCs w:val="1"/>
          <w:color w:val="auto"/>
        </w:rPr>
        <w:t>Standardized Measure of Discounted Future Cash Flows</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required by the Financial Accounting Standards Board, the standardized measure of discounted future net cash flows is computed by applying first-day-of-the average prices, year-end costs and legislated tax rates and a discount factor of 10 percent to net proved reserves. The standardized measure includes co future dismantlement, abandonment and rehabilitation obligations. The Corporation believes the standardized measure does not provide a reliable estimate Corporation’s expected future cash flows to be obtained from the development and production of its oil and gas properties or of the value of its proved oil and gas r The standardized measure is prepared on the basis of certain prescribed assumptions including first-day-of-the-month average prices, which represent discrete points and therefore may cause significant variability in cash flows from year to year as prices change.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80" w:type="dxa"/>
            <w:vAlign w:val="bottom"/>
            <w:vMerge w:val="restart"/>
          </w:tcPr>
          <w:p>
            <w:pPr>
              <w:spacing w:after="0"/>
              <w:rPr>
                <w:sz w:val="20"/>
                <w:szCs w:val="20"/>
                <w:color w:val="auto"/>
              </w:rPr>
            </w:pPr>
            <w:r>
              <w:rPr>
                <w:rFonts w:ascii="Arial" w:cs="Arial" w:eastAsia="Arial" w:hAnsi="Arial"/>
                <w:sz w:val="16"/>
                <w:szCs w:val="16"/>
                <w:b w:val="1"/>
                <w:bCs w:val="1"/>
                <w:color w:val="auto"/>
              </w:rPr>
              <w:t>Standardized Measure of Discounted</w:t>
            </w:r>
          </w:p>
        </w:tc>
        <w:tc>
          <w:tcPr>
            <w:tcW w:w="940" w:type="dxa"/>
            <w:vAlign w:val="bottom"/>
          </w:tcPr>
          <w:p>
            <w:pPr>
              <w:spacing w:after="0"/>
              <w:rPr>
                <w:sz w:val="14"/>
                <w:szCs w:val="14"/>
                <w:color w:val="auto"/>
              </w:rPr>
            </w:pPr>
          </w:p>
        </w:tc>
        <w:tc>
          <w:tcPr>
            <w:tcW w:w="1100" w:type="dxa"/>
            <w:vAlign w:val="bottom"/>
          </w:tcPr>
          <w:p>
            <w:pPr>
              <w:jc w:val="center"/>
              <w:ind w:right="21"/>
              <w:spacing w:after="0"/>
              <w:rPr>
                <w:sz w:val="20"/>
                <w:szCs w:val="20"/>
                <w:color w:val="auto"/>
              </w:rPr>
            </w:pPr>
            <w:r>
              <w:rPr>
                <w:rFonts w:ascii="Arial" w:cs="Arial" w:eastAsia="Arial" w:hAnsi="Arial"/>
                <w:sz w:val="13"/>
                <w:szCs w:val="13"/>
                <w:color w:val="auto"/>
                <w:w w:val="89"/>
              </w:rPr>
              <w:t>Canada/</w:t>
            </w: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80" w:type="dxa"/>
            <w:vAlign w:val="bottom"/>
            <w:vMerge w:val="continue"/>
          </w:tcPr>
          <w:p>
            <w:pPr>
              <w:spacing w:after="0"/>
              <w:rPr>
                <w:sz w:val="14"/>
                <w:szCs w:val="14"/>
                <w:color w:val="auto"/>
              </w:rPr>
            </w:pPr>
          </w:p>
        </w:tc>
        <w:tc>
          <w:tcPr>
            <w:tcW w:w="940" w:type="dxa"/>
            <w:vAlign w:val="bottom"/>
          </w:tcPr>
          <w:p>
            <w:pPr>
              <w:jc w:val="right"/>
              <w:ind w:right="280"/>
              <w:spacing w:after="0"/>
              <w:rPr>
                <w:sz w:val="20"/>
                <w:szCs w:val="20"/>
                <w:color w:val="auto"/>
              </w:rPr>
            </w:pPr>
            <w:r>
              <w:rPr>
                <w:rFonts w:ascii="Arial" w:cs="Arial" w:eastAsia="Arial" w:hAnsi="Arial"/>
                <w:sz w:val="13"/>
                <w:szCs w:val="13"/>
                <w:color w:val="auto"/>
              </w:rPr>
              <w:t>United</w:t>
            </w:r>
          </w:p>
        </w:tc>
        <w:tc>
          <w:tcPr>
            <w:tcW w:w="1100" w:type="dxa"/>
            <w:vAlign w:val="bottom"/>
          </w:tcPr>
          <w:p>
            <w:pPr>
              <w:jc w:val="center"/>
              <w:ind w:right="41"/>
              <w:spacing w:after="0"/>
              <w:rPr>
                <w:sz w:val="20"/>
                <w:szCs w:val="20"/>
                <w:color w:val="auto"/>
              </w:rPr>
            </w:pPr>
            <w:r>
              <w:rPr>
                <w:rFonts w:ascii="Arial" w:cs="Arial" w:eastAsia="Arial" w:hAnsi="Arial"/>
                <w:sz w:val="13"/>
                <w:szCs w:val="13"/>
                <w:color w:val="auto"/>
                <w:w w:val="88"/>
              </w:rPr>
              <w:t>South</w:t>
            </w: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jc w:val="right"/>
              <w:ind w:right="300"/>
              <w:spacing w:after="0"/>
              <w:rPr>
                <w:sz w:val="20"/>
                <w:szCs w:val="20"/>
                <w:color w:val="auto"/>
              </w:rPr>
            </w:pPr>
            <w:r>
              <w:rPr>
                <w:rFonts w:ascii="Arial" w:cs="Arial" w:eastAsia="Arial" w:hAnsi="Arial"/>
                <w:sz w:val="13"/>
                <w:szCs w:val="13"/>
                <w:color w:val="auto"/>
              </w:rPr>
              <w:t>Australia/</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Future Cash Flows</w:t>
            </w: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color w:val="auto"/>
              </w:rPr>
              <w:t>States</w:t>
            </w:r>
          </w:p>
        </w:tc>
        <w:tc>
          <w:tcPr>
            <w:tcW w:w="110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color w:val="auto"/>
                <w:w w:val="95"/>
              </w:rPr>
              <w:t xml:space="preserve">America </w:t>
            </w:r>
            <w:r>
              <w:rPr>
                <w:rFonts w:ascii="Arial" w:cs="Arial" w:eastAsia="Arial" w:hAnsi="Arial"/>
                <w:sz w:val="13"/>
                <w:szCs w:val="13"/>
                <w:i w:val="1"/>
                <w:iCs w:val="1"/>
                <w:color w:val="auto"/>
                <w:w w:val="95"/>
              </w:rPr>
              <w:t>(1)</w:t>
            </w: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color w:val="auto"/>
              </w:rPr>
              <w:t>Europe</w:t>
            </w:r>
          </w:p>
        </w:tc>
        <w:tc>
          <w:tcPr>
            <w:tcW w:w="128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color w:val="auto"/>
              </w:rPr>
              <w:t>Africa</w:t>
            </w:r>
          </w:p>
        </w:tc>
        <w:tc>
          <w:tcPr>
            <w:tcW w:w="84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color w:val="auto"/>
              </w:rPr>
              <w:t>Asia</w:t>
            </w:r>
          </w:p>
        </w:tc>
        <w:tc>
          <w:tcPr>
            <w:tcW w:w="110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color w:val="auto"/>
              </w:rPr>
              <w:t>Oceania</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To</w:t>
            </w:r>
          </w:p>
        </w:tc>
        <w:tc>
          <w:tcPr>
            <w:tcW w:w="0" w:type="dxa"/>
            <w:vAlign w:val="bottom"/>
          </w:tcPr>
          <w:p>
            <w:pPr>
              <w:spacing w:after="0"/>
              <w:rPr>
                <w:sz w:val="1"/>
                <w:szCs w:val="1"/>
                <w:color w:val="auto"/>
              </w:rPr>
            </w:pPr>
          </w:p>
        </w:tc>
      </w:tr>
      <w:tr>
        <w:trPr>
          <w:trHeight w:val="202"/>
        </w:trPr>
        <w:tc>
          <w:tcPr>
            <w:tcW w:w="4280" w:type="dxa"/>
            <w:vAlign w:val="bottom"/>
            <w:vMerge w:val="restart"/>
          </w:tcPr>
          <w:p>
            <w:pPr>
              <w:spacing w:after="0"/>
              <w:rPr>
                <w:sz w:val="20"/>
                <w:szCs w:val="20"/>
                <w:color w:val="auto"/>
              </w:rPr>
            </w:pPr>
            <w:r>
              <w:rPr>
                <w:rFonts w:ascii="Arial" w:cs="Arial" w:eastAsia="Arial" w:hAnsi="Arial"/>
                <w:sz w:val="16"/>
                <w:szCs w:val="16"/>
                <w:color w:val="auto"/>
              </w:rPr>
              <w:t>Consolidated Subsidiaries</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jc w:val="right"/>
              <w:ind w:right="40"/>
              <w:spacing w:after="0"/>
              <w:rPr>
                <w:sz w:val="20"/>
                <w:szCs w:val="20"/>
                <w:color w:val="auto"/>
              </w:rPr>
            </w:pPr>
            <w:r>
              <w:rPr>
                <w:rFonts w:ascii="Arial" w:cs="Arial" w:eastAsia="Arial" w:hAnsi="Arial"/>
                <w:sz w:val="13"/>
                <w:szCs w:val="13"/>
                <w:i w:val="1"/>
                <w:iCs w:val="1"/>
                <w:color w:val="auto"/>
              </w:rPr>
              <w:t>(millions of dollars)</w:t>
            </w: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28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80" w:type="dxa"/>
            <w:vAlign w:val="bottom"/>
          </w:tcPr>
          <w:p>
            <w:pPr>
              <w:ind w:left="120"/>
              <w:spacing w:after="0"/>
              <w:rPr>
                <w:sz w:val="20"/>
                <w:szCs w:val="20"/>
                <w:color w:val="auto"/>
              </w:rPr>
            </w:pPr>
            <w:r>
              <w:rPr>
                <w:rFonts w:ascii="Arial" w:cs="Arial" w:eastAsia="Arial" w:hAnsi="Arial"/>
                <w:sz w:val="16"/>
                <w:szCs w:val="16"/>
                <w:color w:val="auto"/>
              </w:rPr>
              <w:t>As of December 31, 2012</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Pr>
          <w:p>
            <w:pPr>
              <w:ind w:left="260"/>
              <w:spacing w:after="0"/>
              <w:rPr>
                <w:sz w:val="20"/>
                <w:szCs w:val="20"/>
                <w:color w:val="auto"/>
              </w:rPr>
            </w:pPr>
            <w:r>
              <w:rPr>
                <w:rFonts w:ascii="Arial" w:cs="Arial" w:eastAsia="Arial" w:hAnsi="Arial"/>
                <w:sz w:val="16"/>
                <w:szCs w:val="16"/>
                <w:color w:val="auto"/>
              </w:rPr>
              <w:t>Future cash inflows from sales of oil and gas</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250,382</w:t>
            </w:r>
          </w:p>
        </w:tc>
        <w:tc>
          <w:tcPr>
            <w:tcW w:w="1100" w:type="dxa"/>
            <w:vAlign w:val="bottom"/>
          </w:tcPr>
          <w:p>
            <w:pPr>
              <w:jc w:val="right"/>
              <w:ind w:right="161"/>
              <w:spacing w:after="0"/>
              <w:rPr>
                <w:sz w:val="20"/>
                <w:szCs w:val="20"/>
                <w:color w:val="auto"/>
              </w:rPr>
            </w:pPr>
            <w:r>
              <w:rPr>
                <w:rFonts w:ascii="Arial" w:cs="Arial" w:eastAsia="Arial" w:hAnsi="Arial"/>
                <w:sz w:val="16"/>
                <w:szCs w:val="16"/>
                <w:color w:val="auto"/>
              </w:rPr>
              <w:t>293,910</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66,769</w:t>
            </w:r>
          </w:p>
        </w:tc>
        <w:tc>
          <w:tcPr>
            <w:tcW w:w="1280" w:type="dxa"/>
            <w:vAlign w:val="bottom"/>
          </w:tcPr>
          <w:p>
            <w:pPr>
              <w:jc w:val="right"/>
              <w:ind w:right="300"/>
              <w:spacing w:after="0"/>
              <w:rPr>
                <w:sz w:val="20"/>
                <w:szCs w:val="20"/>
                <w:color w:val="auto"/>
              </w:rPr>
            </w:pPr>
            <w:r>
              <w:rPr>
                <w:rFonts w:ascii="Arial" w:cs="Arial" w:eastAsia="Arial" w:hAnsi="Arial"/>
                <w:sz w:val="16"/>
                <w:szCs w:val="16"/>
                <w:color w:val="auto"/>
              </w:rPr>
              <w:t>160,261</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192,491</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104,334</w:t>
            </w:r>
          </w:p>
        </w:tc>
        <w:tc>
          <w:tcPr>
            <w:tcW w:w="5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6"/>
        </w:trPr>
        <w:tc>
          <w:tcPr>
            <w:tcW w:w="4280" w:type="dxa"/>
            <w:vAlign w:val="bottom"/>
          </w:tcPr>
          <w:p>
            <w:pPr>
              <w:ind w:left="260"/>
              <w:spacing w:after="0"/>
              <w:rPr>
                <w:sz w:val="20"/>
                <w:szCs w:val="20"/>
                <w:color w:val="auto"/>
              </w:rPr>
            </w:pPr>
            <w:r>
              <w:rPr>
                <w:rFonts w:ascii="Arial" w:cs="Arial" w:eastAsia="Arial" w:hAnsi="Arial"/>
                <w:sz w:val="16"/>
                <w:szCs w:val="16"/>
                <w:color w:val="auto"/>
              </w:rPr>
              <w:t>Future production costs</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109,325</w:t>
            </w:r>
          </w:p>
        </w:tc>
        <w:tc>
          <w:tcPr>
            <w:tcW w:w="1100" w:type="dxa"/>
            <w:vAlign w:val="bottom"/>
          </w:tcPr>
          <w:p>
            <w:pPr>
              <w:jc w:val="right"/>
              <w:ind w:right="161"/>
              <w:spacing w:after="0"/>
              <w:rPr>
                <w:sz w:val="20"/>
                <w:szCs w:val="20"/>
                <w:color w:val="auto"/>
              </w:rPr>
            </w:pPr>
            <w:r>
              <w:rPr>
                <w:rFonts w:ascii="Arial" w:cs="Arial" w:eastAsia="Arial" w:hAnsi="Arial"/>
                <w:sz w:val="16"/>
                <w:szCs w:val="16"/>
                <w:color w:val="auto"/>
              </w:rPr>
              <w:t>101,299</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17,277</w:t>
            </w:r>
          </w:p>
        </w:tc>
        <w:tc>
          <w:tcPr>
            <w:tcW w:w="1280" w:type="dxa"/>
            <w:vAlign w:val="bottom"/>
          </w:tcPr>
          <w:p>
            <w:pPr>
              <w:jc w:val="right"/>
              <w:ind w:right="300"/>
              <w:spacing w:after="0"/>
              <w:rPr>
                <w:sz w:val="20"/>
                <w:szCs w:val="20"/>
                <w:color w:val="auto"/>
              </w:rPr>
            </w:pPr>
            <w:r>
              <w:rPr>
                <w:rFonts w:ascii="Arial" w:cs="Arial" w:eastAsia="Arial" w:hAnsi="Arial"/>
                <w:sz w:val="16"/>
                <w:szCs w:val="16"/>
                <w:color w:val="auto"/>
              </w:rPr>
              <w:t>33,398</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42,816</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26,132</w:t>
            </w: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6"/>
        </w:trPr>
        <w:tc>
          <w:tcPr>
            <w:tcW w:w="4280" w:type="dxa"/>
            <w:vAlign w:val="bottom"/>
          </w:tcPr>
          <w:p>
            <w:pPr>
              <w:ind w:left="260"/>
              <w:spacing w:after="0"/>
              <w:rPr>
                <w:sz w:val="20"/>
                <w:szCs w:val="20"/>
                <w:color w:val="auto"/>
              </w:rPr>
            </w:pPr>
            <w:r>
              <w:rPr>
                <w:rFonts w:ascii="Arial" w:cs="Arial" w:eastAsia="Arial" w:hAnsi="Arial"/>
                <w:sz w:val="16"/>
                <w:szCs w:val="16"/>
                <w:color w:val="auto"/>
              </w:rPr>
              <w:t>Future development costs</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37,504</w:t>
            </w:r>
          </w:p>
        </w:tc>
        <w:tc>
          <w:tcPr>
            <w:tcW w:w="1100" w:type="dxa"/>
            <w:vAlign w:val="bottom"/>
          </w:tcPr>
          <w:p>
            <w:pPr>
              <w:jc w:val="right"/>
              <w:ind w:right="161"/>
              <w:spacing w:after="0"/>
              <w:rPr>
                <w:sz w:val="20"/>
                <w:szCs w:val="20"/>
                <w:color w:val="auto"/>
              </w:rPr>
            </w:pPr>
            <w:r>
              <w:rPr>
                <w:rFonts w:ascii="Arial" w:cs="Arial" w:eastAsia="Arial" w:hAnsi="Arial"/>
                <w:sz w:val="16"/>
                <w:szCs w:val="16"/>
                <w:color w:val="auto"/>
              </w:rPr>
              <w:t>44,518</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16,505</w:t>
            </w:r>
          </w:p>
        </w:tc>
        <w:tc>
          <w:tcPr>
            <w:tcW w:w="1280" w:type="dxa"/>
            <w:vAlign w:val="bottom"/>
          </w:tcPr>
          <w:p>
            <w:pPr>
              <w:jc w:val="right"/>
              <w:ind w:right="300"/>
              <w:spacing w:after="0"/>
              <w:rPr>
                <w:sz w:val="20"/>
                <w:szCs w:val="20"/>
                <w:color w:val="auto"/>
              </w:rPr>
            </w:pPr>
            <w:r>
              <w:rPr>
                <w:rFonts w:ascii="Arial" w:cs="Arial" w:eastAsia="Arial" w:hAnsi="Arial"/>
                <w:sz w:val="16"/>
                <w:szCs w:val="16"/>
                <w:color w:val="auto"/>
              </w:rPr>
              <w:t>13,363</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13,083</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11,435</w:t>
            </w: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8"/>
        </w:trPr>
        <w:tc>
          <w:tcPr>
            <w:tcW w:w="4280" w:type="dxa"/>
            <w:vAlign w:val="bottom"/>
          </w:tcPr>
          <w:p>
            <w:pPr>
              <w:ind w:left="260"/>
              <w:spacing w:after="0"/>
              <w:rPr>
                <w:sz w:val="20"/>
                <w:szCs w:val="20"/>
                <w:color w:val="auto"/>
              </w:rPr>
            </w:pPr>
            <w:r>
              <w:rPr>
                <w:rFonts w:ascii="Arial" w:cs="Arial" w:eastAsia="Arial" w:hAnsi="Arial"/>
                <w:sz w:val="16"/>
                <w:szCs w:val="16"/>
                <w:color w:val="auto"/>
              </w:rPr>
              <w:t>Future income tax expenses</w:t>
            </w: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43,772</w:t>
            </w:r>
          </w:p>
        </w:tc>
        <w:tc>
          <w:tcPr>
            <w:tcW w:w="11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34,692</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23,252</w:t>
            </w:r>
          </w:p>
        </w:tc>
        <w:tc>
          <w:tcPr>
            <w:tcW w:w="12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63,246</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75,261</w:t>
            </w:r>
          </w:p>
        </w:tc>
        <w:tc>
          <w:tcPr>
            <w:tcW w:w="11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21,405</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7"/>
        </w:trPr>
        <w:tc>
          <w:tcPr>
            <w:tcW w:w="4280" w:type="dxa"/>
            <w:vAlign w:val="bottom"/>
          </w:tcPr>
          <w:p>
            <w:pPr>
              <w:ind w:left="260"/>
              <w:spacing w:after="0" w:line="177" w:lineRule="exact"/>
              <w:rPr>
                <w:sz w:val="20"/>
                <w:szCs w:val="20"/>
                <w:color w:val="auto"/>
              </w:rPr>
            </w:pPr>
            <w:r>
              <w:rPr>
                <w:rFonts w:ascii="Arial" w:cs="Arial" w:eastAsia="Arial" w:hAnsi="Arial"/>
                <w:sz w:val="16"/>
                <w:szCs w:val="16"/>
                <w:color w:val="auto"/>
              </w:rPr>
              <w:t>Future net cash flows</w:t>
            </w:r>
          </w:p>
        </w:tc>
        <w:tc>
          <w:tcPr>
            <w:tcW w:w="940" w:type="dxa"/>
            <w:vAlign w:val="bottom"/>
          </w:tcPr>
          <w:p>
            <w:pPr>
              <w:jc w:val="right"/>
              <w:ind w:right="100"/>
              <w:spacing w:after="0" w:line="177" w:lineRule="exact"/>
              <w:rPr>
                <w:sz w:val="20"/>
                <w:szCs w:val="20"/>
                <w:color w:val="auto"/>
              </w:rPr>
            </w:pPr>
            <w:r>
              <w:rPr>
                <w:rFonts w:ascii="Arial" w:cs="Arial" w:eastAsia="Arial" w:hAnsi="Arial"/>
                <w:sz w:val="16"/>
                <w:szCs w:val="16"/>
                <w:color w:val="auto"/>
              </w:rPr>
              <w:t>59,781</w:t>
            </w:r>
          </w:p>
        </w:tc>
        <w:tc>
          <w:tcPr>
            <w:tcW w:w="1100" w:type="dxa"/>
            <w:vAlign w:val="bottom"/>
          </w:tcPr>
          <w:p>
            <w:pPr>
              <w:jc w:val="right"/>
              <w:ind w:right="161"/>
              <w:spacing w:after="0" w:line="177" w:lineRule="exact"/>
              <w:rPr>
                <w:sz w:val="20"/>
                <w:szCs w:val="20"/>
                <w:color w:val="auto"/>
              </w:rPr>
            </w:pPr>
            <w:r>
              <w:rPr>
                <w:rFonts w:ascii="Arial" w:cs="Arial" w:eastAsia="Arial" w:hAnsi="Arial"/>
                <w:sz w:val="16"/>
                <w:szCs w:val="16"/>
                <w:color w:val="auto"/>
              </w:rPr>
              <w:t>113,401</w:t>
            </w:r>
          </w:p>
        </w:tc>
        <w:tc>
          <w:tcPr>
            <w:tcW w:w="900" w:type="dxa"/>
            <w:vAlign w:val="bottom"/>
          </w:tcPr>
          <w:p>
            <w:pPr>
              <w:jc w:val="right"/>
              <w:ind w:right="39"/>
              <w:spacing w:after="0" w:line="177" w:lineRule="exact"/>
              <w:rPr>
                <w:sz w:val="20"/>
                <w:szCs w:val="20"/>
                <w:color w:val="auto"/>
              </w:rPr>
            </w:pPr>
            <w:r>
              <w:rPr>
                <w:rFonts w:ascii="Arial" w:cs="Arial" w:eastAsia="Arial" w:hAnsi="Arial"/>
                <w:sz w:val="16"/>
                <w:szCs w:val="16"/>
                <w:color w:val="auto"/>
              </w:rPr>
              <w:t>9,735</w:t>
            </w:r>
          </w:p>
        </w:tc>
        <w:tc>
          <w:tcPr>
            <w:tcW w:w="1280" w:type="dxa"/>
            <w:vAlign w:val="bottom"/>
          </w:tcPr>
          <w:p>
            <w:pPr>
              <w:jc w:val="right"/>
              <w:ind w:right="300"/>
              <w:spacing w:after="0" w:line="177" w:lineRule="exact"/>
              <w:rPr>
                <w:sz w:val="20"/>
                <w:szCs w:val="20"/>
                <w:color w:val="auto"/>
              </w:rPr>
            </w:pPr>
            <w:r>
              <w:rPr>
                <w:rFonts w:ascii="Arial" w:cs="Arial" w:eastAsia="Arial" w:hAnsi="Arial"/>
                <w:sz w:val="16"/>
                <w:szCs w:val="16"/>
                <w:color w:val="auto"/>
              </w:rPr>
              <w:t>50,254</w:t>
            </w:r>
          </w:p>
        </w:tc>
        <w:tc>
          <w:tcPr>
            <w:tcW w:w="840" w:type="dxa"/>
            <w:vAlign w:val="bottom"/>
          </w:tcPr>
          <w:p>
            <w:pPr>
              <w:jc w:val="right"/>
              <w:ind w:right="119"/>
              <w:spacing w:after="0" w:line="177" w:lineRule="exact"/>
              <w:rPr>
                <w:sz w:val="20"/>
                <w:szCs w:val="20"/>
                <w:color w:val="auto"/>
              </w:rPr>
            </w:pPr>
            <w:r>
              <w:rPr>
                <w:rFonts w:ascii="Arial" w:cs="Arial" w:eastAsia="Arial" w:hAnsi="Arial"/>
                <w:sz w:val="16"/>
                <w:szCs w:val="16"/>
                <w:color w:val="auto"/>
              </w:rPr>
              <w:t>61,331</w:t>
            </w:r>
          </w:p>
        </w:tc>
        <w:tc>
          <w:tcPr>
            <w:tcW w:w="1100" w:type="dxa"/>
            <w:vAlign w:val="bottom"/>
          </w:tcPr>
          <w:p>
            <w:pPr>
              <w:jc w:val="right"/>
              <w:ind w:right="200"/>
              <w:spacing w:after="0" w:line="177" w:lineRule="exact"/>
              <w:rPr>
                <w:sz w:val="20"/>
                <w:szCs w:val="20"/>
                <w:color w:val="auto"/>
              </w:rPr>
            </w:pPr>
            <w:r>
              <w:rPr>
                <w:rFonts w:ascii="Arial" w:cs="Arial" w:eastAsia="Arial" w:hAnsi="Arial"/>
                <w:sz w:val="16"/>
                <w:szCs w:val="16"/>
                <w:color w:val="auto"/>
              </w:rPr>
              <w:t>45,362</w:t>
            </w:r>
          </w:p>
        </w:tc>
        <w:tc>
          <w:tcPr>
            <w:tcW w:w="500" w:type="dxa"/>
            <w:vAlign w:val="bottom"/>
          </w:tcPr>
          <w:p>
            <w:pPr>
              <w:jc w:val="right"/>
              <w:spacing w:after="0" w:line="177"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8"/>
        </w:trPr>
        <w:tc>
          <w:tcPr>
            <w:tcW w:w="4280" w:type="dxa"/>
            <w:vAlign w:val="bottom"/>
          </w:tcPr>
          <w:p>
            <w:pPr>
              <w:ind w:left="260"/>
              <w:spacing w:after="0"/>
              <w:rPr>
                <w:sz w:val="20"/>
                <w:szCs w:val="20"/>
                <w:color w:val="auto"/>
              </w:rPr>
            </w:pPr>
            <w:r>
              <w:rPr>
                <w:rFonts w:ascii="Arial" w:cs="Arial" w:eastAsia="Arial" w:hAnsi="Arial"/>
                <w:sz w:val="16"/>
                <w:szCs w:val="16"/>
                <w:color w:val="auto"/>
              </w:rPr>
              <w:t>Effect of discounting net cash flows at 10%</w:t>
            </w: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36,578</w:t>
            </w:r>
          </w:p>
        </w:tc>
        <w:tc>
          <w:tcPr>
            <w:tcW w:w="11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82,629</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2,097</w:t>
            </w:r>
          </w:p>
        </w:tc>
        <w:tc>
          <w:tcPr>
            <w:tcW w:w="12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18,091</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35,310</w:t>
            </w:r>
          </w:p>
        </w:tc>
        <w:tc>
          <w:tcPr>
            <w:tcW w:w="11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27,610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9"/>
        </w:trPr>
        <w:tc>
          <w:tcPr>
            <w:tcW w:w="4280" w:type="dxa"/>
            <w:vAlign w:val="bottom"/>
          </w:tcPr>
          <w:p>
            <w:pPr>
              <w:ind w:left="260"/>
              <w:spacing w:after="0"/>
              <w:rPr>
                <w:sz w:val="20"/>
                <w:szCs w:val="20"/>
                <w:color w:val="auto"/>
              </w:rPr>
            </w:pPr>
            <w:r>
              <w:rPr>
                <w:rFonts w:ascii="Arial" w:cs="Arial" w:eastAsia="Arial" w:hAnsi="Arial"/>
                <w:sz w:val="16"/>
                <w:szCs w:val="16"/>
                <w:color w:val="auto"/>
              </w:rPr>
              <w:t>Discounted future net cash flows</w:t>
            </w: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23,203</w:t>
            </w:r>
          </w:p>
        </w:tc>
        <w:tc>
          <w:tcPr>
            <w:tcW w:w="11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30,772</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7,638</w:t>
            </w:r>
          </w:p>
        </w:tc>
        <w:tc>
          <w:tcPr>
            <w:tcW w:w="12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32,163</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26,021</w:t>
            </w:r>
          </w:p>
        </w:tc>
        <w:tc>
          <w:tcPr>
            <w:tcW w:w="11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17,752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72"/>
        </w:trPr>
        <w:tc>
          <w:tcPr>
            <w:tcW w:w="4280" w:type="dxa"/>
            <w:vAlign w:val="bottom"/>
          </w:tcPr>
          <w:p>
            <w:pPr>
              <w:spacing w:after="0"/>
              <w:rPr>
                <w:sz w:val="20"/>
                <w:szCs w:val="20"/>
                <w:color w:val="auto"/>
              </w:rPr>
            </w:pPr>
            <w:r>
              <w:rPr>
                <w:rFonts w:ascii="Arial" w:cs="Arial" w:eastAsia="Arial" w:hAnsi="Arial"/>
                <w:sz w:val="16"/>
                <w:szCs w:val="16"/>
                <w:color w:val="auto"/>
              </w:rPr>
              <w:t>Equity Companies</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80" w:type="dxa"/>
            <w:vAlign w:val="bottom"/>
          </w:tcPr>
          <w:p>
            <w:pPr>
              <w:ind w:left="120"/>
              <w:spacing w:after="0"/>
              <w:rPr>
                <w:sz w:val="20"/>
                <w:szCs w:val="20"/>
                <w:color w:val="auto"/>
              </w:rPr>
            </w:pPr>
            <w:r>
              <w:rPr>
                <w:rFonts w:ascii="Arial" w:cs="Arial" w:eastAsia="Arial" w:hAnsi="Arial"/>
                <w:sz w:val="16"/>
                <w:szCs w:val="16"/>
                <w:color w:val="auto"/>
              </w:rPr>
              <w:t>As of December 31, 2012</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Pr>
          <w:p>
            <w:pPr>
              <w:ind w:left="260"/>
              <w:spacing w:after="0"/>
              <w:rPr>
                <w:sz w:val="20"/>
                <w:szCs w:val="20"/>
                <w:color w:val="auto"/>
              </w:rPr>
            </w:pPr>
            <w:r>
              <w:rPr>
                <w:rFonts w:ascii="Arial" w:cs="Arial" w:eastAsia="Arial" w:hAnsi="Arial"/>
                <w:sz w:val="16"/>
                <w:szCs w:val="16"/>
                <w:color w:val="auto"/>
              </w:rPr>
              <w:t>Future cash inflows from sales of oil and gas</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36,043</w:t>
            </w:r>
          </w:p>
        </w:tc>
        <w:tc>
          <w:tcPr>
            <w:tcW w:w="110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93,563</w:t>
            </w:r>
          </w:p>
        </w:tc>
        <w:tc>
          <w:tcPr>
            <w:tcW w:w="128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348,026</w:t>
            </w:r>
          </w:p>
        </w:tc>
        <w:tc>
          <w:tcPr>
            <w:tcW w:w="110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6"/>
        </w:trPr>
        <w:tc>
          <w:tcPr>
            <w:tcW w:w="4280" w:type="dxa"/>
            <w:vAlign w:val="bottom"/>
          </w:tcPr>
          <w:p>
            <w:pPr>
              <w:ind w:left="260"/>
              <w:spacing w:after="0"/>
              <w:rPr>
                <w:sz w:val="20"/>
                <w:szCs w:val="20"/>
                <w:color w:val="auto"/>
              </w:rPr>
            </w:pPr>
            <w:r>
              <w:rPr>
                <w:rFonts w:ascii="Arial" w:cs="Arial" w:eastAsia="Arial" w:hAnsi="Arial"/>
                <w:sz w:val="16"/>
                <w:szCs w:val="16"/>
                <w:color w:val="auto"/>
              </w:rPr>
              <w:t>Future production costs</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7,040</w:t>
            </w:r>
          </w:p>
        </w:tc>
        <w:tc>
          <w:tcPr>
            <w:tcW w:w="110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64,988</w:t>
            </w:r>
          </w:p>
        </w:tc>
        <w:tc>
          <w:tcPr>
            <w:tcW w:w="128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112,980</w:t>
            </w:r>
          </w:p>
        </w:tc>
        <w:tc>
          <w:tcPr>
            <w:tcW w:w="110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4280" w:type="dxa"/>
            <w:vAlign w:val="bottom"/>
          </w:tcPr>
          <w:p>
            <w:pPr>
              <w:ind w:left="260"/>
              <w:spacing w:after="0"/>
              <w:rPr>
                <w:sz w:val="20"/>
                <w:szCs w:val="20"/>
                <w:color w:val="auto"/>
              </w:rPr>
            </w:pPr>
            <w:r>
              <w:rPr>
                <w:rFonts w:ascii="Arial" w:cs="Arial" w:eastAsia="Arial" w:hAnsi="Arial"/>
                <w:sz w:val="16"/>
                <w:szCs w:val="16"/>
                <w:color w:val="auto"/>
              </w:rPr>
              <w:t>Future development costs</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3,708</w:t>
            </w:r>
          </w:p>
        </w:tc>
        <w:tc>
          <w:tcPr>
            <w:tcW w:w="110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2,569</w:t>
            </w:r>
          </w:p>
        </w:tc>
        <w:tc>
          <w:tcPr>
            <w:tcW w:w="128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10,780</w:t>
            </w:r>
          </w:p>
        </w:tc>
        <w:tc>
          <w:tcPr>
            <w:tcW w:w="110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80" w:type="dxa"/>
            <w:vAlign w:val="bottom"/>
          </w:tcPr>
          <w:p>
            <w:pPr>
              <w:ind w:left="260"/>
              <w:spacing w:after="0"/>
              <w:rPr>
                <w:sz w:val="20"/>
                <w:szCs w:val="20"/>
                <w:color w:val="auto"/>
              </w:rPr>
            </w:pPr>
            <w:r>
              <w:rPr>
                <w:rFonts w:ascii="Arial" w:cs="Arial" w:eastAsia="Arial" w:hAnsi="Arial"/>
                <w:sz w:val="16"/>
                <w:szCs w:val="16"/>
                <w:color w:val="auto"/>
              </w:rPr>
              <w:t>Future income tax expenses</w:t>
            </w:r>
          </w:p>
        </w:tc>
        <w:tc>
          <w:tcPr>
            <w:tcW w:w="9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9,937</w:t>
            </w:r>
          </w:p>
        </w:tc>
        <w:tc>
          <w:tcPr>
            <w:tcW w:w="12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78,539</w:t>
            </w: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280" w:type="dxa"/>
            <w:vAlign w:val="bottom"/>
          </w:tcPr>
          <w:p>
            <w:pPr>
              <w:ind w:left="260"/>
              <w:spacing w:after="0" w:line="177" w:lineRule="exact"/>
              <w:rPr>
                <w:sz w:val="20"/>
                <w:szCs w:val="20"/>
                <w:color w:val="auto"/>
              </w:rPr>
            </w:pPr>
            <w:r>
              <w:rPr>
                <w:rFonts w:ascii="Arial" w:cs="Arial" w:eastAsia="Arial" w:hAnsi="Arial"/>
                <w:sz w:val="16"/>
                <w:szCs w:val="16"/>
                <w:color w:val="auto"/>
              </w:rPr>
              <w:t>Future net cash flows</w:t>
            </w:r>
          </w:p>
        </w:tc>
        <w:tc>
          <w:tcPr>
            <w:tcW w:w="940" w:type="dxa"/>
            <w:vAlign w:val="bottom"/>
          </w:tcPr>
          <w:p>
            <w:pPr>
              <w:jc w:val="right"/>
              <w:ind w:right="100"/>
              <w:spacing w:after="0" w:line="177" w:lineRule="exact"/>
              <w:rPr>
                <w:sz w:val="20"/>
                <w:szCs w:val="20"/>
                <w:color w:val="auto"/>
              </w:rPr>
            </w:pPr>
            <w:r>
              <w:rPr>
                <w:rFonts w:ascii="Arial" w:cs="Arial" w:eastAsia="Arial" w:hAnsi="Arial"/>
                <w:sz w:val="16"/>
                <w:szCs w:val="16"/>
                <w:color w:val="auto"/>
              </w:rPr>
              <w:t>25,295</w:t>
            </w:r>
          </w:p>
        </w:tc>
        <w:tc>
          <w:tcPr>
            <w:tcW w:w="1100" w:type="dxa"/>
            <w:vAlign w:val="bottom"/>
          </w:tcPr>
          <w:p>
            <w:pPr>
              <w:jc w:val="right"/>
              <w:ind w:right="261"/>
              <w:spacing w:after="0" w:line="177"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line="177" w:lineRule="exact"/>
              <w:rPr>
                <w:sz w:val="20"/>
                <w:szCs w:val="20"/>
                <w:color w:val="auto"/>
              </w:rPr>
            </w:pPr>
            <w:r>
              <w:rPr>
                <w:rFonts w:ascii="Arial" w:cs="Arial" w:eastAsia="Arial" w:hAnsi="Arial"/>
                <w:sz w:val="16"/>
                <w:szCs w:val="16"/>
                <w:color w:val="auto"/>
              </w:rPr>
              <w:t>16,069</w:t>
            </w:r>
          </w:p>
        </w:tc>
        <w:tc>
          <w:tcPr>
            <w:tcW w:w="1280" w:type="dxa"/>
            <w:vAlign w:val="bottom"/>
          </w:tcPr>
          <w:p>
            <w:pPr>
              <w:jc w:val="right"/>
              <w:ind w:right="380"/>
              <w:spacing w:after="0" w:line="177"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line="177" w:lineRule="exact"/>
              <w:rPr>
                <w:sz w:val="20"/>
                <w:szCs w:val="20"/>
                <w:color w:val="auto"/>
              </w:rPr>
            </w:pPr>
            <w:r>
              <w:rPr>
                <w:rFonts w:ascii="Arial" w:cs="Arial" w:eastAsia="Arial" w:hAnsi="Arial"/>
                <w:sz w:val="16"/>
                <w:szCs w:val="16"/>
                <w:color w:val="auto"/>
              </w:rPr>
              <w:t>145,727</w:t>
            </w:r>
          </w:p>
        </w:tc>
        <w:tc>
          <w:tcPr>
            <w:tcW w:w="1100" w:type="dxa"/>
            <w:vAlign w:val="bottom"/>
          </w:tcPr>
          <w:p>
            <w:pPr>
              <w:jc w:val="right"/>
              <w:ind w:right="280"/>
              <w:spacing w:after="0" w:line="177" w:lineRule="exact"/>
              <w:rPr>
                <w:sz w:val="20"/>
                <w:szCs w:val="20"/>
                <w:color w:val="auto"/>
              </w:rPr>
            </w:pPr>
            <w:r>
              <w:rPr>
                <w:rFonts w:ascii="Arial" w:cs="Arial" w:eastAsia="Arial" w:hAnsi="Arial"/>
                <w:sz w:val="16"/>
                <w:szCs w:val="16"/>
                <w:color w:val="auto"/>
              </w:rPr>
              <w:t>-</w:t>
            </w:r>
          </w:p>
        </w:tc>
        <w:tc>
          <w:tcPr>
            <w:tcW w:w="500" w:type="dxa"/>
            <w:vAlign w:val="bottom"/>
          </w:tcPr>
          <w:p>
            <w:pPr>
              <w:jc w:val="right"/>
              <w:spacing w:after="0" w:line="177"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8"/>
        </w:trPr>
        <w:tc>
          <w:tcPr>
            <w:tcW w:w="4280" w:type="dxa"/>
            <w:vAlign w:val="bottom"/>
          </w:tcPr>
          <w:p>
            <w:pPr>
              <w:ind w:left="260"/>
              <w:spacing w:after="0"/>
              <w:rPr>
                <w:sz w:val="20"/>
                <w:szCs w:val="20"/>
                <w:color w:val="auto"/>
              </w:rPr>
            </w:pPr>
            <w:r>
              <w:rPr>
                <w:rFonts w:ascii="Arial" w:cs="Arial" w:eastAsia="Arial" w:hAnsi="Arial"/>
                <w:sz w:val="16"/>
                <w:szCs w:val="16"/>
                <w:color w:val="auto"/>
              </w:rPr>
              <w:t>Effect of discounting net cash flows at 10%</w:t>
            </w: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14,741</w:t>
            </w:r>
          </w:p>
        </w:tc>
        <w:tc>
          <w:tcPr>
            <w:tcW w:w="110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8,133</w:t>
            </w:r>
          </w:p>
        </w:tc>
        <w:tc>
          <w:tcPr>
            <w:tcW w:w="12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76,979</w:t>
            </w: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260"/>
              <w:spacing w:after="0"/>
              <w:rPr>
                <w:sz w:val="20"/>
                <w:szCs w:val="20"/>
                <w:color w:val="auto"/>
              </w:rPr>
            </w:pPr>
            <w:r>
              <w:rPr>
                <w:rFonts w:ascii="Arial" w:cs="Arial" w:eastAsia="Arial" w:hAnsi="Arial"/>
                <w:sz w:val="16"/>
                <w:szCs w:val="16"/>
                <w:color w:val="auto"/>
              </w:rPr>
              <w:t>Discounted future net cash flows</w:t>
            </w: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10,554</w:t>
            </w:r>
          </w:p>
        </w:tc>
        <w:tc>
          <w:tcPr>
            <w:tcW w:w="110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7,936</w:t>
            </w:r>
          </w:p>
        </w:tc>
        <w:tc>
          <w:tcPr>
            <w:tcW w:w="12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68,748</w:t>
            </w: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4280" w:type="dxa"/>
            <w:vAlign w:val="bottom"/>
          </w:tcPr>
          <w:p>
            <w:pPr>
              <w:spacing w:after="0"/>
              <w:rPr>
                <w:sz w:val="20"/>
                <w:szCs w:val="20"/>
                <w:color w:val="auto"/>
              </w:rPr>
            </w:pPr>
            <w:r>
              <w:rPr>
                <w:rFonts w:ascii="Arial" w:cs="Arial" w:eastAsia="Arial" w:hAnsi="Arial"/>
                <w:sz w:val="16"/>
                <w:szCs w:val="16"/>
                <w:color w:val="auto"/>
              </w:rPr>
              <w:t>Total consolidated and equity interests in</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80" w:type="dxa"/>
            <w:vAlign w:val="bottom"/>
          </w:tcPr>
          <w:p>
            <w:pPr>
              <w:ind w:left="120"/>
              <w:spacing w:after="0"/>
              <w:rPr>
                <w:sz w:val="20"/>
                <w:szCs w:val="20"/>
                <w:color w:val="auto"/>
              </w:rPr>
            </w:pPr>
            <w:r>
              <w:rPr>
                <w:rFonts w:ascii="Arial" w:cs="Arial" w:eastAsia="Arial" w:hAnsi="Arial"/>
                <w:sz w:val="16"/>
                <w:szCs w:val="16"/>
                <w:color w:val="auto"/>
              </w:rPr>
              <w:t>standardized measure of discounted</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80" w:type="dxa"/>
            <w:vAlign w:val="bottom"/>
          </w:tcPr>
          <w:p>
            <w:pPr>
              <w:ind w:left="120"/>
              <w:spacing w:after="0"/>
              <w:rPr>
                <w:sz w:val="20"/>
                <w:szCs w:val="20"/>
                <w:color w:val="auto"/>
              </w:rPr>
            </w:pPr>
            <w:r>
              <w:rPr>
                <w:rFonts w:ascii="Arial" w:cs="Arial" w:eastAsia="Arial" w:hAnsi="Arial"/>
                <w:sz w:val="16"/>
                <w:szCs w:val="16"/>
                <w:color w:val="auto"/>
              </w:rPr>
              <w:t>future net cash flows</w:t>
            </w: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33,757</w:t>
            </w:r>
          </w:p>
        </w:tc>
        <w:tc>
          <w:tcPr>
            <w:tcW w:w="11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30,772</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15,574</w:t>
            </w:r>
          </w:p>
        </w:tc>
        <w:tc>
          <w:tcPr>
            <w:tcW w:w="12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32,163</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94,769</w:t>
            </w:r>
          </w:p>
        </w:tc>
        <w:tc>
          <w:tcPr>
            <w:tcW w:w="11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17,752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320" w:hanging="314"/>
        <w:spacing w:after="0"/>
        <w:tabs>
          <w:tab w:leader="none" w:pos="320" w:val="left"/>
        </w:tabs>
        <w:numPr>
          <w:ilvl w:val="0"/>
          <w:numId w:val="42"/>
        </w:numPr>
        <w:rPr>
          <w:rFonts w:ascii="Arial" w:cs="Arial" w:eastAsia="Arial" w:hAnsi="Arial"/>
          <w:sz w:val="15"/>
          <w:szCs w:val="15"/>
          <w:i w:val="1"/>
          <w:iCs w:val="1"/>
          <w:color w:val="auto"/>
        </w:rPr>
      </w:pPr>
      <w:r>
        <w:rPr>
          <w:rFonts w:ascii="Arial" w:cs="Arial" w:eastAsia="Arial" w:hAnsi="Arial"/>
          <w:sz w:val="15"/>
          <w:szCs w:val="15"/>
          <w:i w:val="1"/>
          <w:iCs w:val="1"/>
          <w:color w:val="auto"/>
        </w:rPr>
        <w:t>Includes discounted future net cash flows attributable to Imperial Oil Limited of $24,690 million in 2012, in which there is a 30.4 percent noncontrolling interest.</w:t>
      </w:r>
    </w:p>
    <w:p>
      <w:pPr>
        <w:spacing w:after="0" w:line="48" w:lineRule="exact"/>
        <w:rPr>
          <w:rFonts w:ascii="Arial" w:cs="Arial" w:eastAsia="Arial" w:hAnsi="Arial"/>
          <w:sz w:val="15"/>
          <w:szCs w:val="15"/>
          <w:i w:val="1"/>
          <w:iCs w:val="1"/>
          <w:color w:val="auto"/>
        </w:rPr>
      </w:pPr>
    </w:p>
    <w:p>
      <w:pPr>
        <w:ind w:left="5580"/>
        <w:spacing w:after="0"/>
        <w:rPr>
          <w:rFonts w:ascii="Arial" w:cs="Arial" w:eastAsia="Arial" w:hAnsi="Arial"/>
          <w:sz w:val="15"/>
          <w:szCs w:val="15"/>
          <w:i w:val="1"/>
          <w:iCs w:val="1"/>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883" w:right="1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64"/>
        </w:trPr>
        <w:tc>
          <w:tcPr>
            <w:tcW w:w="4280" w:type="dxa"/>
            <w:vAlign w:val="bottom"/>
            <w:vMerge w:val="restart"/>
          </w:tcPr>
          <w:p>
            <w:pPr>
              <w:spacing w:after="0"/>
              <w:rPr>
                <w:sz w:val="20"/>
                <w:szCs w:val="20"/>
                <w:color w:val="auto"/>
              </w:rPr>
            </w:pPr>
            <w:r>
              <w:rPr>
                <w:rFonts w:ascii="Arial" w:cs="Arial" w:eastAsia="Arial" w:hAnsi="Arial"/>
                <w:sz w:val="16"/>
                <w:szCs w:val="16"/>
                <w:b w:val="1"/>
                <w:bCs w:val="1"/>
                <w:color w:val="auto"/>
              </w:rPr>
              <w:t>Standardized Measure of Discounted</w:t>
            </w:r>
          </w:p>
        </w:tc>
        <w:tc>
          <w:tcPr>
            <w:tcW w:w="940" w:type="dxa"/>
            <w:vAlign w:val="bottom"/>
          </w:tcPr>
          <w:p>
            <w:pPr>
              <w:spacing w:after="0"/>
              <w:rPr>
                <w:sz w:val="14"/>
                <w:szCs w:val="14"/>
                <w:color w:val="auto"/>
              </w:rPr>
            </w:pPr>
          </w:p>
        </w:tc>
        <w:tc>
          <w:tcPr>
            <w:tcW w:w="1100" w:type="dxa"/>
            <w:vAlign w:val="bottom"/>
          </w:tcPr>
          <w:p>
            <w:pPr>
              <w:jc w:val="center"/>
              <w:ind w:right="21"/>
              <w:spacing w:after="0"/>
              <w:rPr>
                <w:sz w:val="20"/>
                <w:szCs w:val="20"/>
                <w:color w:val="auto"/>
              </w:rPr>
            </w:pPr>
            <w:r>
              <w:rPr>
                <w:rFonts w:ascii="Arial" w:cs="Arial" w:eastAsia="Arial" w:hAnsi="Arial"/>
                <w:sz w:val="13"/>
                <w:szCs w:val="13"/>
                <w:color w:val="auto"/>
                <w:w w:val="89"/>
              </w:rPr>
              <w:t>Canada/</w:t>
            </w: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80" w:type="dxa"/>
            <w:vAlign w:val="bottom"/>
            <w:vMerge w:val="continue"/>
          </w:tcPr>
          <w:p>
            <w:pPr>
              <w:spacing w:after="0"/>
              <w:rPr>
                <w:sz w:val="14"/>
                <w:szCs w:val="14"/>
                <w:color w:val="auto"/>
              </w:rPr>
            </w:pPr>
          </w:p>
        </w:tc>
        <w:tc>
          <w:tcPr>
            <w:tcW w:w="940" w:type="dxa"/>
            <w:vAlign w:val="bottom"/>
          </w:tcPr>
          <w:p>
            <w:pPr>
              <w:jc w:val="right"/>
              <w:ind w:right="280"/>
              <w:spacing w:after="0"/>
              <w:rPr>
                <w:sz w:val="20"/>
                <w:szCs w:val="20"/>
                <w:color w:val="auto"/>
              </w:rPr>
            </w:pPr>
            <w:r>
              <w:rPr>
                <w:rFonts w:ascii="Arial" w:cs="Arial" w:eastAsia="Arial" w:hAnsi="Arial"/>
                <w:sz w:val="13"/>
                <w:szCs w:val="13"/>
                <w:color w:val="auto"/>
              </w:rPr>
              <w:t>United</w:t>
            </w:r>
          </w:p>
        </w:tc>
        <w:tc>
          <w:tcPr>
            <w:tcW w:w="1100" w:type="dxa"/>
            <w:vAlign w:val="bottom"/>
          </w:tcPr>
          <w:p>
            <w:pPr>
              <w:jc w:val="center"/>
              <w:ind w:right="41"/>
              <w:spacing w:after="0"/>
              <w:rPr>
                <w:sz w:val="20"/>
                <w:szCs w:val="20"/>
                <w:color w:val="auto"/>
              </w:rPr>
            </w:pPr>
            <w:r>
              <w:rPr>
                <w:rFonts w:ascii="Arial" w:cs="Arial" w:eastAsia="Arial" w:hAnsi="Arial"/>
                <w:sz w:val="13"/>
                <w:szCs w:val="13"/>
                <w:color w:val="auto"/>
                <w:w w:val="88"/>
              </w:rPr>
              <w:t>South</w:t>
            </w: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jc w:val="right"/>
              <w:ind w:right="300"/>
              <w:spacing w:after="0"/>
              <w:rPr>
                <w:sz w:val="20"/>
                <w:szCs w:val="20"/>
                <w:color w:val="auto"/>
              </w:rPr>
            </w:pPr>
            <w:r>
              <w:rPr>
                <w:rFonts w:ascii="Arial" w:cs="Arial" w:eastAsia="Arial" w:hAnsi="Arial"/>
                <w:sz w:val="13"/>
                <w:szCs w:val="13"/>
                <w:color w:val="auto"/>
              </w:rPr>
              <w:t>Australia/</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Future Cash Flows (continued)</w:t>
            </w: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color w:val="auto"/>
              </w:rPr>
              <w:t>States</w:t>
            </w:r>
          </w:p>
        </w:tc>
        <w:tc>
          <w:tcPr>
            <w:tcW w:w="110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color w:val="auto"/>
                <w:w w:val="95"/>
              </w:rPr>
              <w:t xml:space="preserve">America </w:t>
            </w:r>
            <w:r>
              <w:rPr>
                <w:rFonts w:ascii="Arial" w:cs="Arial" w:eastAsia="Arial" w:hAnsi="Arial"/>
                <w:sz w:val="13"/>
                <w:szCs w:val="13"/>
                <w:i w:val="1"/>
                <w:iCs w:val="1"/>
                <w:color w:val="auto"/>
                <w:w w:val="95"/>
              </w:rPr>
              <w:t>(1)</w:t>
            </w: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color w:val="auto"/>
              </w:rPr>
              <w:t>Europe</w:t>
            </w:r>
          </w:p>
        </w:tc>
        <w:tc>
          <w:tcPr>
            <w:tcW w:w="128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color w:val="auto"/>
              </w:rPr>
              <w:t>Africa</w:t>
            </w:r>
          </w:p>
        </w:tc>
        <w:tc>
          <w:tcPr>
            <w:tcW w:w="84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color w:val="auto"/>
              </w:rPr>
              <w:t>Asia</w:t>
            </w:r>
          </w:p>
        </w:tc>
        <w:tc>
          <w:tcPr>
            <w:tcW w:w="110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color w:val="auto"/>
              </w:rPr>
              <w:t>Oceania</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To</w:t>
            </w:r>
          </w:p>
        </w:tc>
        <w:tc>
          <w:tcPr>
            <w:tcW w:w="0" w:type="dxa"/>
            <w:vAlign w:val="bottom"/>
          </w:tcPr>
          <w:p>
            <w:pPr>
              <w:spacing w:after="0"/>
              <w:rPr>
                <w:sz w:val="1"/>
                <w:szCs w:val="1"/>
                <w:color w:val="auto"/>
              </w:rPr>
            </w:pPr>
          </w:p>
        </w:tc>
      </w:tr>
      <w:tr>
        <w:trPr>
          <w:trHeight w:val="202"/>
        </w:trPr>
        <w:tc>
          <w:tcPr>
            <w:tcW w:w="4280" w:type="dxa"/>
            <w:vAlign w:val="bottom"/>
            <w:vMerge w:val="restart"/>
          </w:tcPr>
          <w:p>
            <w:pPr>
              <w:spacing w:after="0"/>
              <w:rPr>
                <w:sz w:val="20"/>
                <w:szCs w:val="20"/>
                <w:color w:val="auto"/>
              </w:rPr>
            </w:pPr>
            <w:r>
              <w:rPr>
                <w:rFonts w:ascii="Arial" w:cs="Arial" w:eastAsia="Arial" w:hAnsi="Arial"/>
                <w:sz w:val="16"/>
                <w:szCs w:val="16"/>
                <w:color w:val="auto"/>
              </w:rPr>
              <w:t>Consolidated Subsidiaries</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jc w:val="right"/>
              <w:ind w:right="40"/>
              <w:spacing w:after="0"/>
              <w:rPr>
                <w:sz w:val="20"/>
                <w:szCs w:val="20"/>
                <w:color w:val="auto"/>
              </w:rPr>
            </w:pPr>
            <w:r>
              <w:rPr>
                <w:rFonts w:ascii="Arial" w:cs="Arial" w:eastAsia="Arial" w:hAnsi="Arial"/>
                <w:sz w:val="13"/>
                <w:szCs w:val="13"/>
                <w:i w:val="1"/>
                <w:iCs w:val="1"/>
                <w:color w:val="auto"/>
              </w:rPr>
              <w:t>(millions of dollars)</w:t>
            </w: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28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80" w:type="dxa"/>
            <w:vAlign w:val="bottom"/>
          </w:tcPr>
          <w:p>
            <w:pPr>
              <w:ind w:left="120"/>
              <w:spacing w:after="0"/>
              <w:rPr>
                <w:sz w:val="20"/>
                <w:szCs w:val="20"/>
                <w:color w:val="auto"/>
              </w:rPr>
            </w:pPr>
            <w:r>
              <w:rPr>
                <w:rFonts w:ascii="Arial" w:cs="Arial" w:eastAsia="Arial" w:hAnsi="Arial"/>
                <w:sz w:val="16"/>
                <w:szCs w:val="16"/>
                <w:color w:val="auto"/>
              </w:rPr>
              <w:t>As of December 31, 2013</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Pr>
          <w:p>
            <w:pPr>
              <w:ind w:left="260"/>
              <w:spacing w:after="0"/>
              <w:rPr>
                <w:sz w:val="20"/>
                <w:szCs w:val="20"/>
                <w:color w:val="auto"/>
              </w:rPr>
            </w:pPr>
            <w:r>
              <w:rPr>
                <w:rFonts w:ascii="Arial" w:cs="Arial" w:eastAsia="Arial" w:hAnsi="Arial"/>
                <w:sz w:val="16"/>
                <w:szCs w:val="16"/>
                <w:color w:val="auto"/>
              </w:rPr>
              <w:t>Future cash inflows from sales of oil and gas</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276,051</w:t>
            </w:r>
          </w:p>
        </w:tc>
        <w:tc>
          <w:tcPr>
            <w:tcW w:w="1100" w:type="dxa"/>
            <w:vAlign w:val="bottom"/>
          </w:tcPr>
          <w:p>
            <w:pPr>
              <w:jc w:val="right"/>
              <w:ind w:right="161"/>
              <w:spacing w:after="0"/>
              <w:rPr>
                <w:sz w:val="20"/>
                <w:szCs w:val="20"/>
                <w:color w:val="auto"/>
              </w:rPr>
            </w:pPr>
            <w:r>
              <w:rPr>
                <w:rFonts w:ascii="Arial" w:cs="Arial" w:eastAsia="Arial" w:hAnsi="Arial"/>
                <w:sz w:val="16"/>
                <w:szCs w:val="16"/>
                <w:color w:val="auto"/>
              </w:rPr>
              <w:t>293,377</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58,235</w:t>
            </w:r>
          </w:p>
        </w:tc>
        <w:tc>
          <w:tcPr>
            <w:tcW w:w="1280" w:type="dxa"/>
            <w:vAlign w:val="bottom"/>
          </w:tcPr>
          <w:p>
            <w:pPr>
              <w:jc w:val="right"/>
              <w:ind w:right="300"/>
              <w:spacing w:after="0"/>
              <w:rPr>
                <w:sz w:val="20"/>
                <w:szCs w:val="20"/>
                <w:color w:val="auto"/>
              </w:rPr>
            </w:pPr>
            <w:r>
              <w:rPr>
                <w:rFonts w:ascii="Arial" w:cs="Arial" w:eastAsia="Arial" w:hAnsi="Arial"/>
                <w:sz w:val="16"/>
                <w:szCs w:val="16"/>
                <w:color w:val="auto"/>
              </w:rPr>
              <w:t>146,407</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245,482</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87,808</w:t>
            </w:r>
          </w:p>
        </w:tc>
        <w:tc>
          <w:tcPr>
            <w:tcW w:w="5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6"/>
        </w:trPr>
        <w:tc>
          <w:tcPr>
            <w:tcW w:w="4280" w:type="dxa"/>
            <w:vAlign w:val="bottom"/>
          </w:tcPr>
          <w:p>
            <w:pPr>
              <w:ind w:left="260"/>
              <w:spacing w:after="0"/>
              <w:rPr>
                <w:sz w:val="20"/>
                <w:szCs w:val="20"/>
                <w:color w:val="auto"/>
              </w:rPr>
            </w:pPr>
            <w:r>
              <w:rPr>
                <w:rFonts w:ascii="Arial" w:cs="Arial" w:eastAsia="Arial" w:hAnsi="Arial"/>
                <w:sz w:val="16"/>
                <w:szCs w:val="16"/>
                <w:color w:val="auto"/>
              </w:rPr>
              <w:t>Future production costs</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113,571</w:t>
            </w:r>
          </w:p>
        </w:tc>
        <w:tc>
          <w:tcPr>
            <w:tcW w:w="1100" w:type="dxa"/>
            <w:vAlign w:val="bottom"/>
          </w:tcPr>
          <w:p>
            <w:pPr>
              <w:jc w:val="right"/>
              <w:ind w:right="161"/>
              <w:spacing w:after="0"/>
              <w:rPr>
                <w:sz w:val="20"/>
                <w:szCs w:val="20"/>
                <w:color w:val="auto"/>
              </w:rPr>
            </w:pPr>
            <w:r>
              <w:rPr>
                <w:rFonts w:ascii="Arial" w:cs="Arial" w:eastAsia="Arial" w:hAnsi="Arial"/>
                <w:sz w:val="16"/>
                <w:szCs w:val="16"/>
                <w:color w:val="auto"/>
              </w:rPr>
              <w:t>106,884</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18,053</w:t>
            </w:r>
          </w:p>
        </w:tc>
        <w:tc>
          <w:tcPr>
            <w:tcW w:w="1280" w:type="dxa"/>
            <w:vAlign w:val="bottom"/>
          </w:tcPr>
          <w:p>
            <w:pPr>
              <w:jc w:val="right"/>
              <w:ind w:right="300"/>
              <w:spacing w:after="0"/>
              <w:rPr>
                <w:sz w:val="20"/>
                <w:szCs w:val="20"/>
                <w:color w:val="auto"/>
              </w:rPr>
            </w:pPr>
            <w:r>
              <w:rPr>
                <w:rFonts w:ascii="Arial" w:cs="Arial" w:eastAsia="Arial" w:hAnsi="Arial"/>
                <w:sz w:val="16"/>
                <w:szCs w:val="16"/>
                <w:color w:val="auto"/>
              </w:rPr>
              <w:t>30,960</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57,328</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22,507</w:t>
            </w: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6"/>
        </w:trPr>
        <w:tc>
          <w:tcPr>
            <w:tcW w:w="4280" w:type="dxa"/>
            <w:vAlign w:val="bottom"/>
          </w:tcPr>
          <w:p>
            <w:pPr>
              <w:ind w:left="260"/>
              <w:spacing w:after="0"/>
              <w:rPr>
                <w:sz w:val="20"/>
                <w:szCs w:val="20"/>
                <w:color w:val="auto"/>
              </w:rPr>
            </w:pPr>
            <w:r>
              <w:rPr>
                <w:rFonts w:ascii="Arial" w:cs="Arial" w:eastAsia="Arial" w:hAnsi="Arial"/>
                <w:sz w:val="16"/>
                <w:szCs w:val="16"/>
                <w:color w:val="auto"/>
              </w:rPr>
              <w:t>Future development costs</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40,702</w:t>
            </w:r>
          </w:p>
        </w:tc>
        <w:tc>
          <w:tcPr>
            <w:tcW w:w="1100" w:type="dxa"/>
            <w:vAlign w:val="bottom"/>
          </w:tcPr>
          <w:p>
            <w:pPr>
              <w:jc w:val="right"/>
              <w:ind w:right="161"/>
              <w:spacing w:after="0"/>
              <w:rPr>
                <w:sz w:val="20"/>
                <w:szCs w:val="20"/>
                <w:color w:val="auto"/>
              </w:rPr>
            </w:pPr>
            <w:r>
              <w:rPr>
                <w:rFonts w:ascii="Arial" w:cs="Arial" w:eastAsia="Arial" w:hAnsi="Arial"/>
                <w:sz w:val="16"/>
                <w:szCs w:val="16"/>
                <w:color w:val="auto"/>
              </w:rPr>
              <w:t>43,102</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15,215</w:t>
            </w:r>
          </w:p>
        </w:tc>
        <w:tc>
          <w:tcPr>
            <w:tcW w:w="1280" w:type="dxa"/>
            <w:vAlign w:val="bottom"/>
          </w:tcPr>
          <w:p>
            <w:pPr>
              <w:jc w:val="right"/>
              <w:ind w:right="300"/>
              <w:spacing w:after="0"/>
              <w:rPr>
                <w:sz w:val="20"/>
                <w:szCs w:val="20"/>
                <w:color w:val="auto"/>
              </w:rPr>
            </w:pPr>
            <w:r>
              <w:rPr>
                <w:rFonts w:ascii="Arial" w:cs="Arial" w:eastAsia="Arial" w:hAnsi="Arial"/>
                <w:sz w:val="16"/>
                <w:szCs w:val="16"/>
                <w:color w:val="auto"/>
              </w:rPr>
              <w:t>14,300</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10,666</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10,191</w:t>
            </w: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8"/>
        </w:trPr>
        <w:tc>
          <w:tcPr>
            <w:tcW w:w="4280" w:type="dxa"/>
            <w:vAlign w:val="bottom"/>
          </w:tcPr>
          <w:p>
            <w:pPr>
              <w:ind w:left="260"/>
              <w:spacing w:after="0"/>
              <w:rPr>
                <w:sz w:val="20"/>
                <w:szCs w:val="20"/>
                <w:color w:val="auto"/>
              </w:rPr>
            </w:pPr>
            <w:r>
              <w:rPr>
                <w:rFonts w:ascii="Arial" w:cs="Arial" w:eastAsia="Arial" w:hAnsi="Arial"/>
                <w:sz w:val="16"/>
                <w:szCs w:val="16"/>
                <w:color w:val="auto"/>
              </w:rPr>
              <w:t>Future income tax expenses</w:t>
            </w: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50,144</w:t>
            </w:r>
          </w:p>
        </w:tc>
        <w:tc>
          <w:tcPr>
            <w:tcW w:w="11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31,901</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17,186</w:t>
            </w:r>
          </w:p>
        </w:tc>
        <w:tc>
          <w:tcPr>
            <w:tcW w:w="12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53,766</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117,989</w:t>
            </w:r>
          </w:p>
        </w:tc>
        <w:tc>
          <w:tcPr>
            <w:tcW w:w="11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16,953</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7"/>
        </w:trPr>
        <w:tc>
          <w:tcPr>
            <w:tcW w:w="4280" w:type="dxa"/>
            <w:vAlign w:val="bottom"/>
          </w:tcPr>
          <w:p>
            <w:pPr>
              <w:ind w:left="260"/>
              <w:spacing w:after="0" w:line="177" w:lineRule="exact"/>
              <w:rPr>
                <w:sz w:val="20"/>
                <w:szCs w:val="20"/>
                <w:color w:val="auto"/>
              </w:rPr>
            </w:pPr>
            <w:r>
              <w:rPr>
                <w:rFonts w:ascii="Arial" w:cs="Arial" w:eastAsia="Arial" w:hAnsi="Arial"/>
                <w:sz w:val="16"/>
                <w:szCs w:val="16"/>
                <w:color w:val="auto"/>
              </w:rPr>
              <w:t>Future net cash flows</w:t>
            </w:r>
          </w:p>
        </w:tc>
        <w:tc>
          <w:tcPr>
            <w:tcW w:w="940" w:type="dxa"/>
            <w:vAlign w:val="bottom"/>
          </w:tcPr>
          <w:p>
            <w:pPr>
              <w:jc w:val="right"/>
              <w:ind w:right="100"/>
              <w:spacing w:after="0" w:line="177" w:lineRule="exact"/>
              <w:rPr>
                <w:sz w:val="20"/>
                <w:szCs w:val="20"/>
                <w:color w:val="auto"/>
              </w:rPr>
            </w:pPr>
            <w:r>
              <w:rPr>
                <w:rFonts w:ascii="Arial" w:cs="Arial" w:eastAsia="Arial" w:hAnsi="Arial"/>
                <w:sz w:val="16"/>
                <w:szCs w:val="16"/>
                <w:color w:val="auto"/>
              </w:rPr>
              <w:t>71,634</w:t>
            </w:r>
          </w:p>
        </w:tc>
        <w:tc>
          <w:tcPr>
            <w:tcW w:w="1100" w:type="dxa"/>
            <w:vAlign w:val="bottom"/>
          </w:tcPr>
          <w:p>
            <w:pPr>
              <w:jc w:val="right"/>
              <w:ind w:right="161"/>
              <w:spacing w:after="0" w:line="177" w:lineRule="exact"/>
              <w:rPr>
                <w:sz w:val="20"/>
                <w:szCs w:val="20"/>
                <w:color w:val="auto"/>
              </w:rPr>
            </w:pPr>
            <w:r>
              <w:rPr>
                <w:rFonts w:ascii="Arial" w:cs="Arial" w:eastAsia="Arial" w:hAnsi="Arial"/>
                <w:sz w:val="16"/>
                <w:szCs w:val="16"/>
                <w:color w:val="auto"/>
              </w:rPr>
              <w:t>111,490</w:t>
            </w:r>
          </w:p>
        </w:tc>
        <w:tc>
          <w:tcPr>
            <w:tcW w:w="900" w:type="dxa"/>
            <w:vAlign w:val="bottom"/>
          </w:tcPr>
          <w:p>
            <w:pPr>
              <w:jc w:val="right"/>
              <w:ind w:right="39"/>
              <w:spacing w:after="0" w:line="177" w:lineRule="exact"/>
              <w:rPr>
                <w:sz w:val="20"/>
                <w:szCs w:val="20"/>
                <w:color w:val="auto"/>
              </w:rPr>
            </w:pPr>
            <w:r>
              <w:rPr>
                <w:rFonts w:ascii="Arial" w:cs="Arial" w:eastAsia="Arial" w:hAnsi="Arial"/>
                <w:sz w:val="16"/>
                <w:szCs w:val="16"/>
                <w:color w:val="auto"/>
              </w:rPr>
              <w:t>7,781</w:t>
            </w:r>
          </w:p>
        </w:tc>
        <w:tc>
          <w:tcPr>
            <w:tcW w:w="1280" w:type="dxa"/>
            <w:vAlign w:val="bottom"/>
          </w:tcPr>
          <w:p>
            <w:pPr>
              <w:jc w:val="right"/>
              <w:ind w:right="300"/>
              <w:spacing w:after="0" w:line="177" w:lineRule="exact"/>
              <w:rPr>
                <w:sz w:val="20"/>
                <w:szCs w:val="20"/>
                <w:color w:val="auto"/>
              </w:rPr>
            </w:pPr>
            <w:r>
              <w:rPr>
                <w:rFonts w:ascii="Arial" w:cs="Arial" w:eastAsia="Arial" w:hAnsi="Arial"/>
                <w:sz w:val="16"/>
                <w:szCs w:val="16"/>
                <w:color w:val="auto"/>
              </w:rPr>
              <w:t>47,381</w:t>
            </w:r>
          </w:p>
        </w:tc>
        <w:tc>
          <w:tcPr>
            <w:tcW w:w="840" w:type="dxa"/>
            <w:vAlign w:val="bottom"/>
          </w:tcPr>
          <w:p>
            <w:pPr>
              <w:jc w:val="right"/>
              <w:ind w:right="119"/>
              <w:spacing w:after="0" w:line="177" w:lineRule="exact"/>
              <w:rPr>
                <w:sz w:val="20"/>
                <w:szCs w:val="20"/>
                <w:color w:val="auto"/>
              </w:rPr>
            </w:pPr>
            <w:r>
              <w:rPr>
                <w:rFonts w:ascii="Arial" w:cs="Arial" w:eastAsia="Arial" w:hAnsi="Arial"/>
                <w:sz w:val="16"/>
                <w:szCs w:val="16"/>
                <w:color w:val="auto"/>
              </w:rPr>
              <w:t>59,499</w:t>
            </w:r>
          </w:p>
        </w:tc>
        <w:tc>
          <w:tcPr>
            <w:tcW w:w="1100" w:type="dxa"/>
            <w:vAlign w:val="bottom"/>
          </w:tcPr>
          <w:p>
            <w:pPr>
              <w:jc w:val="right"/>
              <w:ind w:right="200"/>
              <w:spacing w:after="0" w:line="177" w:lineRule="exact"/>
              <w:rPr>
                <w:sz w:val="20"/>
                <w:szCs w:val="20"/>
                <w:color w:val="auto"/>
              </w:rPr>
            </w:pPr>
            <w:r>
              <w:rPr>
                <w:rFonts w:ascii="Arial" w:cs="Arial" w:eastAsia="Arial" w:hAnsi="Arial"/>
                <w:sz w:val="16"/>
                <w:szCs w:val="16"/>
                <w:color w:val="auto"/>
              </w:rPr>
              <w:t>38,157</w:t>
            </w:r>
          </w:p>
        </w:tc>
        <w:tc>
          <w:tcPr>
            <w:tcW w:w="500" w:type="dxa"/>
            <w:vAlign w:val="bottom"/>
          </w:tcPr>
          <w:p>
            <w:pPr>
              <w:jc w:val="right"/>
              <w:spacing w:after="0" w:line="177"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8"/>
        </w:trPr>
        <w:tc>
          <w:tcPr>
            <w:tcW w:w="4280" w:type="dxa"/>
            <w:vAlign w:val="bottom"/>
          </w:tcPr>
          <w:p>
            <w:pPr>
              <w:ind w:left="260"/>
              <w:spacing w:after="0"/>
              <w:rPr>
                <w:sz w:val="20"/>
                <w:szCs w:val="20"/>
                <w:color w:val="auto"/>
              </w:rPr>
            </w:pPr>
            <w:r>
              <w:rPr>
                <w:rFonts w:ascii="Arial" w:cs="Arial" w:eastAsia="Arial" w:hAnsi="Arial"/>
                <w:sz w:val="16"/>
                <w:szCs w:val="16"/>
                <w:color w:val="auto"/>
              </w:rPr>
              <w:t>Effect of discounting net cash flows at 10%</w:t>
            </w: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42,336</w:t>
            </w:r>
          </w:p>
        </w:tc>
        <w:tc>
          <w:tcPr>
            <w:tcW w:w="11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78,700</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1,278</w:t>
            </w:r>
          </w:p>
        </w:tc>
        <w:tc>
          <w:tcPr>
            <w:tcW w:w="12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18,406</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34,878</w:t>
            </w:r>
          </w:p>
        </w:tc>
        <w:tc>
          <w:tcPr>
            <w:tcW w:w="11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21,266</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4280" w:type="dxa"/>
            <w:vAlign w:val="bottom"/>
          </w:tcPr>
          <w:p>
            <w:pPr>
              <w:ind w:left="260"/>
              <w:spacing w:after="0"/>
              <w:rPr>
                <w:sz w:val="20"/>
                <w:szCs w:val="20"/>
                <w:color w:val="auto"/>
              </w:rPr>
            </w:pPr>
            <w:r>
              <w:rPr>
                <w:rFonts w:ascii="Arial" w:cs="Arial" w:eastAsia="Arial" w:hAnsi="Arial"/>
                <w:sz w:val="16"/>
                <w:szCs w:val="16"/>
                <w:color w:val="auto"/>
              </w:rPr>
              <w:t>Discounted future net cash flows</w:t>
            </w: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29,298</w:t>
            </w:r>
          </w:p>
        </w:tc>
        <w:tc>
          <w:tcPr>
            <w:tcW w:w="11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32,790</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6,503</w:t>
            </w:r>
          </w:p>
        </w:tc>
        <w:tc>
          <w:tcPr>
            <w:tcW w:w="12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28,975</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24,621</w:t>
            </w:r>
          </w:p>
        </w:tc>
        <w:tc>
          <w:tcPr>
            <w:tcW w:w="11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16,891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72"/>
        </w:trPr>
        <w:tc>
          <w:tcPr>
            <w:tcW w:w="4280" w:type="dxa"/>
            <w:vAlign w:val="bottom"/>
          </w:tcPr>
          <w:p>
            <w:pPr>
              <w:spacing w:after="0"/>
              <w:rPr>
                <w:sz w:val="20"/>
                <w:szCs w:val="20"/>
                <w:color w:val="auto"/>
              </w:rPr>
            </w:pPr>
            <w:r>
              <w:rPr>
                <w:rFonts w:ascii="Arial" w:cs="Arial" w:eastAsia="Arial" w:hAnsi="Arial"/>
                <w:sz w:val="16"/>
                <w:szCs w:val="16"/>
                <w:color w:val="auto"/>
              </w:rPr>
              <w:t>Equity Companies</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80" w:type="dxa"/>
            <w:vAlign w:val="bottom"/>
          </w:tcPr>
          <w:p>
            <w:pPr>
              <w:ind w:left="120"/>
              <w:spacing w:after="0"/>
              <w:rPr>
                <w:sz w:val="20"/>
                <w:szCs w:val="20"/>
                <w:color w:val="auto"/>
              </w:rPr>
            </w:pPr>
            <w:r>
              <w:rPr>
                <w:rFonts w:ascii="Arial" w:cs="Arial" w:eastAsia="Arial" w:hAnsi="Arial"/>
                <w:sz w:val="16"/>
                <w:szCs w:val="16"/>
                <w:color w:val="auto"/>
              </w:rPr>
              <w:t>As of December 31, 2013</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Pr>
          <w:p>
            <w:pPr>
              <w:ind w:left="260"/>
              <w:spacing w:after="0"/>
              <w:rPr>
                <w:sz w:val="20"/>
                <w:szCs w:val="20"/>
                <w:color w:val="auto"/>
              </w:rPr>
            </w:pPr>
            <w:r>
              <w:rPr>
                <w:rFonts w:ascii="Arial" w:cs="Arial" w:eastAsia="Arial" w:hAnsi="Arial"/>
                <w:sz w:val="16"/>
                <w:szCs w:val="16"/>
                <w:color w:val="auto"/>
              </w:rPr>
              <w:t>Future cash inflows from sales of oil and gas</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34,957</w:t>
            </w:r>
          </w:p>
        </w:tc>
        <w:tc>
          <w:tcPr>
            <w:tcW w:w="110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82,539</w:t>
            </w:r>
          </w:p>
        </w:tc>
        <w:tc>
          <w:tcPr>
            <w:tcW w:w="128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324,666</w:t>
            </w:r>
          </w:p>
        </w:tc>
        <w:tc>
          <w:tcPr>
            <w:tcW w:w="110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6"/>
        </w:trPr>
        <w:tc>
          <w:tcPr>
            <w:tcW w:w="4280" w:type="dxa"/>
            <w:vAlign w:val="bottom"/>
          </w:tcPr>
          <w:p>
            <w:pPr>
              <w:ind w:left="260"/>
              <w:spacing w:after="0"/>
              <w:rPr>
                <w:sz w:val="20"/>
                <w:szCs w:val="20"/>
                <w:color w:val="auto"/>
              </w:rPr>
            </w:pPr>
            <w:r>
              <w:rPr>
                <w:rFonts w:ascii="Arial" w:cs="Arial" w:eastAsia="Arial" w:hAnsi="Arial"/>
                <w:sz w:val="16"/>
                <w:szCs w:val="16"/>
                <w:color w:val="auto"/>
              </w:rPr>
              <w:t>Future production costs</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8,231</w:t>
            </w:r>
          </w:p>
        </w:tc>
        <w:tc>
          <w:tcPr>
            <w:tcW w:w="110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60,518</w:t>
            </w:r>
          </w:p>
        </w:tc>
        <w:tc>
          <w:tcPr>
            <w:tcW w:w="128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107,656</w:t>
            </w:r>
          </w:p>
        </w:tc>
        <w:tc>
          <w:tcPr>
            <w:tcW w:w="110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4280" w:type="dxa"/>
            <w:vAlign w:val="bottom"/>
          </w:tcPr>
          <w:p>
            <w:pPr>
              <w:ind w:left="260"/>
              <w:spacing w:after="0"/>
              <w:rPr>
                <w:sz w:val="20"/>
                <w:szCs w:val="20"/>
                <w:color w:val="auto"/>
              </w:rPr>
            </w:pPr>
            <w:r>
              <w:rPr>
                <w:rFonts w:ascii="Arial" w:cs="Arial" w:eastAsia="Arial" w:hAnsi="Arial"/>
                <w:sz w:val="16"/>
                <w:szCs w:val="16"/>
                <w:color w:val="auto"/>
              </w:rPr>
              <w:t>Future development costs</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3,675</w:t>
            </w:r>
          </w:p>
        </w:tc>
        <w:tc>
          <w:tcPr>
            <w:tcW w:w="110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2,994</w:t>
            </w:r>
          </w:p>
        </w:tc>
        <w:tc>
          <w:tcPr>
            <w:tcW w:w="128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8,756</w:t>
            </w:r>
          </w:p>
        </w:tc>
        <w:tc>
          <w:tcPr>
            <w:tcW w:w="110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80" w:type="dxa"/>
            <w:vAlign w:val="bottom"/>
          </w:tcPr>
          <w:p>
            <w:pPr>
              <w:ind w:left="260"/>
              <w:spacing w:after="0"/>
              <w:rPr>
                <w:sz w:val="20"/>
                <w:szCs w:val="20"/>
                <w:color w:val="auto"/>
              </w:rPr>
            </w:pPr>
            <w:r>
              <w:rPr>
                <w:rFonts w:ascii="Arial" w:cs="Arial" w:eastAsia="Arial" w:hAnsi="Arial"/>
                <w:sz w:val="16"/>
                <w:szCs w:val="16"/>
                <w:color w:val="auto"/>
              </w:rPr>
              <w:t>Future income tax expenses</w:t>
            </w:r>
          </w:p>
        </w:tc>
        <w:tc>
          <w:tcPr>
            <w:tcW w:w="9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7,237</w:t>
            </w:r>
          </w:p>
        </w:tc>
        <w:tc>
          <w:tcPr>
            <w:tcW w:w="12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70,887</w:t>
            </w: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280" w:type="dxa"/>
            <w:vAlign w:val="bottom"/>
          </w:tcPr>
          <w:p>
            <w:pPr>
              <w:ind w:left="260"/>
              <w:spacing w:after="0" w:line="177" w:lineRule="exact"/>
              <w:rPr>
                <w:sz w:val="20"/>
                <w:szCs w:val="20"/>
                <w:color w:val="auto"/>
              </w:rPr>
            </w:pPr>
            <w:r>
              <w:rPr>
                <w:rFonts w:ascii="Arial" w:cs="Arial" w:eastAsia="Arial" w:hAnsi="Arial"/>
                <w:sz w:val="16"/>
                <w:szCs w:val="16"/>
                <w:color w:val="auto"/>
              </w:rPr>
              <w:t>Future net cash flows</w:t>
            </w:r>
          </w:p>
        </w:tc>
        <w:tc>
          <w:tcPr>
            <w:tcW w:w="940" w:type="dxa"/>
            <w:vAlign w:val="bottom"/>
          </w:tcPr>
          <w:p>
            <w:pPr>
              <w:jc w:val="right"/>
              <w:ind w:right="100"/>
              <w:spacing w:after="0" w:line="177" w:lineRule="exact"/>
              <w:rPr>
                <w:sz w:val="20"/>
                <w:szCs w:val="20"/>
                <w:color w:val="auto"/>
              </w:rPr>
            </w:pPr>
            <w:r>
              <w:rPr>
                <w:rFonts w:ascii="Arial" w:cs="Arial" w:eastAsia="Arial" w:hAnsi="Arial"/>
                <w:sz w:val="16"/>
                <w:szCs w:val="16"/>
                <w:color w:val="auto"/>
              </w:rPr>
              <w:t>23,051</w:t>
            </w:r>
          </w:p>
        </w:tc>
        <w:tc>
          <w:tcPr>
            <w:tcW w:w="1100" w:type="dxa"/>
            <w:vAlign w:val="bottom"/>
          </w:tcPr>
          <w:p>
            <w:pPr>
              <w:jc w:val="right"/>
              <w:ind w:right="261"/>
              <w:spacing w:after="0" w:line="177"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line="177" w:lineRule="exact"/>
              <w:rPr>
                <w:sz w:val="20"/>
                <w:szCs w:val="20"/>
                <w:color w:val="auto"/>
              </w:rPr>
            </w:pPr>
            <w:r>
              <w:rPr>
                <w:rFonts w:ascii="Arial" w:cs="Arial" w:eastAsia="Arial" w:hAnsi="Arial"/>
                <w:sz w:val="16"/>
                <w:szCs w:val="16"/>
                <w:color w:val="auto"/>
              </w:rPr>
              <w:t>11,790</w:t>
            </w:r>
          </w:p>
        </w:tc>
        <w:tc>
          <w:tcPr>
            <w:tcW w:w="1280" w:type="dxa"/>
            <w:vAlign w:val="bottom"/>
          </w:tcPr>
          <w:p>
            <w:pPr>
              <w:jc w:val="right"/>
              <w:ind w:right="380"/>
              <w:spacing w:after="0" w:line="177"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line="177" w:lineRule="exact"/>
              <w:rPr>
                <w:sz w:val="20"/>
                <w:szCs w:val="20"/>
                <w:color w:val="auto"/>
              </w:rPr>
            </w:pPr>
            <w:r>
              <w:rPr>
                <w:rFonts w:ascii="Arial" w:cs="Arial" w:eastAsia="Arial" w:hAnsi="Arial"/>
                <w:sz w:val="16"/>
                <w:szCs w:val="16"/>
                <w:color w:val="auto"/>
              </w:rPr>
              <w:t>137,367</w:t>
            </w:r>
          </w:p>
        </w:tc>
        <w:tc>
          <w:tcPr>
            <w:tcW w:w="1100" w:type="dxa"/>
            <w:vAlign w:val="bottom"/>
          </w:tcPr>
          <w:p>
            <w:pPr>
              <w:jc w:val="right"/>
              <w:ind w:right="280"/>
              <w:spacing w:after="0" w:line="177" w:lineRule="exact"/>
              <w:rPr>
                <w:sz w:val="20"/>
                <w:szCs w:val="20"/>
                <w:color w:val="auto"/>
              </w:rPr>
            </w:pPr>
            <w:r>
              <w:rPr>
                <w:rFonts w:ascii="Arial" w:cs="Arial" w:eastAsia="Arial" w:hAnsi="Arial"/>
                <w:sz w:val="16"/>
                <w:szCs w:val="16"/>
                <w:color w:val="auto"/>
              </w:rPr>
              <w:t>-</w:t>
            </w:r>
          </w:p>
        </w:tc>
        <w:tc>
          <w:tcPr>
            <w:tcW w:w="500" w:type="dxa"/>
            <w:vAlign w:val="bottom"/>
          </w:tcPr>
          <w:p>
            <w:pPr>
              <w:jc w:val="right"/>
              <w:spacing w:after="0" w:line="177"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8"/>
        </w:trPr>
        <w:tc>
          <w:tcPr>
            <w:tcW w:w="4280" w:type="dxa"/>
            <w:vAlign w:val="bottom"/>
          </w:tcPr>
          <w:p>
            <w:pPr>
              <w:ind w:left="260"/>
              <w:spacing w:after="0"/>
              <w:rPr>
                <w:sz w:val="20"/>
                <w:szCs w:val="20"/>
                <w:color w:val="auto"/>
              </w:rPr>
            </w:pPr>
            <w:r>
              <w:rPr>
                <w:rFonts w:ascii="Arial" w:cs="Arial" w:eastAsia="Arial" w:hAnsi="Arial"/>
                <w:sz w:val="16"/>
                <w:szCs w:val="16"/>
                <w:color w:val="auto"/>
              </w:rPr>
              <w:t>Effect of discounting net cash flows at 10%</w:t>
            </w: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12,994</w:t>
            </w:r>
          </w:p>
        </w:tc>
        <w:tc>
          <w:tcPr>
            <w:tcW w:w="110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5,549</w:t>
            </w:r>
          </w:p>
        </w:tc>
        <w:tc>
          <w:tcPr>
            <w:tcW w:w="12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72,798</w:t>
            </w: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260"/>
              <w:spacing w:after="0"/>
              <w:rPr>
                <w:sz w:val="20"/>
                <w:szCs w:val="20"/>
                <w:color w:val="auto"/>
              </w:rPr>
            </w:pPr>
            <w:r>
              <w:rPr>
                <w:rFonts w:ascii="Arial" w:cs="Arial" w:eastAsia="Arial" w:hAnsi="Arial"/>
                <w:sz w:val="16"/>
                <w:szCs w:val="16"/>
                <w:color w:val="auto"/>
              </w:rPr>
              <w:t>Discounted future net cash flows</w:t>
            </w: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10,057</w:t>
            </w:r>
          </w:p>
        </w:tc>
        <w:tc>
          <w:tcPr>
            <w:tcW w:w="110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6,241</w:t>
            </w:r>
          </w:p>
        </w:tc>
        <w:tc>
          <w:tcPr>
            <w:tcW w:w="12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64,569</w:t>
            </w: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ectPr>
          <w:pgSz w:w="11900" w:h="16838" w:orient="portrait"/>
          <w:cols w:equalWidth="0" w:num="1">
            <w:col w:w="10940"/>
          </w:cols>
          <w:pgMar w:left="820" w:top="871" w:right="139" w:bottom="1440" w:gutter="0" w:footer="0" w:header="0"/>
        </w:sectPr>
      </w:pPr>
    </w:p>
    <w:p>
      <w:pPr>
        <w:ind w:left="120" w:right="880" w:hanging="121"/>
        <w:spacing w:after="0" w:line="271" w:lineRule="auto"/>
        <w:rPr>
          <w:sz w:val="20"/>
          <w:szCs w:val="20"/>
          <w:color w:val="auto"/>
        </w:rPr>
      </w:pPr>
      <w:r>
        <w:rPr>
          <w:rFonts w:ascii="Arial" w:cs="Arial" w:eastAsia="Arial" w:hAnsi="Arial"/>
          <w:sz w:val="16"/>
          <w:szCs w:val="16"/>
          <w:color w:val="auto"/>
        </w:rPr>
        <w:t>Total consolidated and equity interests in standardized measure of discounted future net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Consolidated Subsidiaries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December 31, 2014</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Future cash inflows from sales of oil and gas</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Future production costs</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Future development costs</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Future income tax expenses</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Future net cash flows</w:t>
      </w:r>
    </w:p>
    <w:p>
      <w:pPr>
        <w:spacing w:after="0" w:line="24" w:lineRule="exact"/>
        <w:rPr>
          <w:sz w:val="20"/>
          <w:szCs w:val="20"/>
          <w:color w:val="auto"/>
        </w:rPr>
      </w:pPr>
    </w:p>
    <w:p>
      <w:pPr>
        <w:ind w:left="260" w:right="460"/>
        <w:spacing w:after="0" w:line="287" w:lineRule="auto"/>
        <w:rPr>
          <w:sz w:val="20"/>
          <w:szCs w:val="20"/>
          <w:color w:val="auto"/>
        </w:rPr>
      </w:pPr>
      <w:r>
        <w:rPr>
          <w:rFonts w:ascii="Arial" w:cs="Arial" w:eastAsia="Arial" w:hAnsi="Arial"/>
          <w:sz w:val="16"/>
          <w:szCs w:val="16"/>
          <w:color w:val="auto"/>
        </w:rPr>
        <w:t>Effect of discounting net cash flows at 10% Discounted future net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Equity Companies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December 31, 2014</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Future cash inflows from sales of oil and gas</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Future production costs</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Future development costs</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Future income tax expenses</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Future net cash flows</w:t>
      </w:r>
    </w:p>
    <w:p>
      <w:pPr>
        <w:spacing w:after="0" w:line="24" w:lineRule="exact"/>
        <w:rPr>
          <w:sz w:val="20"/>
          <w:szCs w:val="20"/>
          <w:color w:val="auto"/>
        </w:rPr>
      </w:pPr>
    </w:p>
    <w:p>
      <w:pPr>
        <w:ind w:left="260" w:right="460"/>
        <w:spacing w:after="0" w:line="287" w:lineRule="auto"/>
        <w:rPr>
          <w:sz w:val="20"/>
          <w:szCs w:val="20"/>
          <w:color w:val="auto"/>
        </w:rPr>
      </w:pPr>
      <w:r>
        <w:rPr>
          <w:rFonts w:ascii="Arial" w:cs="Arial" w:eastAsia="Arial" w:hAnsi="Arial"/>
          <w:sz w:val="16"/>
          <w:szCs w:val="16"/>
          <w:color w:val="auto"/>
        </w:rPr>
        <w:t>Effect of discounting net cash flows at 10% Discounted future net cash flows</w:t>
      </w:r>
    </w:p>
    <w:p>
      <w:pPr>
        <w:spacing w:after="0" w:line="161" w:lineRule="exact"/>
        <w:rPr>
          <w:sz w:val="20"/>
          <w:szCs w:val="20"/>
          <w:color w:val="auto"/>
        </w:rPr>
      </w:pPr>
    </w:p>
    <w:p>
      <w:pPr>
        <w:ind w:left="120" w:right="880" w:hanging="121"/>
        <w:spacing w:after="0" w:line="271" w:lineRule="auto"/>
        <w:rPr>
          <w:sz w:val="20"/>
          <w:szCs w:val="20"/>
          <w:color w:val="auto"/>
        </w:rPr>
      </w:pPr>
      <w:r>
        <w:rPr>
          <w:rFonts w:ascii="Arial" w:cs="Arial" w:eastAsia="Arial" w:hAnsi="Arial"/>
          <w:sz w:val="16"/>
          <w:szCs w:val="16"/>
          <w:color w:val="auto"/>
        </w:rPr>
        <w:t>Total consolidated and equity interests in standardized measure of discounted future net cash flows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100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39,355</w:t>
            </w:r>
          </w:p>
        </w:tc>
        <w:tc>
          <w:tcPr>
            <w:tcW w:w="108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32,790</w:t>
            </w:r>
          </w:p>
        </w:tc>
        <w:tc>
          <w:tcPr>
            <w:tcW w:w="100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12,744</w:t>
            </w:r>
          </w:p>
        </w:tc>
        <w:tc>
          <w:tcPr>
            <w:tcW w:w="100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28,975</w:t>
            </w:r>
          </w:p>
        </w:tc>
        <w:tc>
          <w:tcPr>
            <w:tcW w:w="10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89,190</w:t>
            </w:r>
          </w:p>
        </w:tc>
        <w:tc>
          <w:tcPr>
            <w:tcW w:w="10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16,891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764"/>
        </w:trPr>
        <w:tc>
          <w:tcPr>
            <w:tcW w:w="1000" w:type="dxa"/>
            <w:vAlign w:val="bottom"/>
          </w:tcPr>
          <w:p>
            <w:pPr>
              <w:jc w:val="right"/>
              <w:ind w:right="158"/>
              <w:spacing w:after="0"/>
              <w:rPr>
                <w:sz w:val="20"/>
                <w:szCs w:val="20"/>
                <w:color w:val="auto"/>
              </w:rPr>
            </w:pPr>
            <w:r>
              <w:rPr>
                <w:rFonts w:ascii="Arial" w:cs="Arial" w:eastAsia="Arial" w:hAnsi="Arial"/>
                <w:sz w:val="16"/>
                <w:szCs w:val="16"/>
                <w:color w:val="auto"/>
              </w:rPr>
              <w:t>283,767</w:t>
            </w:r>
          </w:p>
        </w:tc>
        <w:tc>
          <w:tcPr>
            <w:tcW w:w="1080" w:type="dxa"/>
            <w:vAlign w:val="bottom"/>
          </w:tcPr>
          <w:p>
            <w:pPr>
              <w:jc w:val="right"/>
              <w:ind w:right="198"/>
              <w:spacing w:after="0"/>
              <w:rPr>
                <w:sz w:val="20"/>
                <w:szCs w:val="20"/>
                <w:color w:val="auto"/>
              </w:rPr>
            </w:pPr>
            <w:r>
              <w:rPr>
                <w:rFonts w:ascii="Arial" w:cs="Arial" w:eastAsia="Arial" w:hAnsi="Arial"/>
                <w:sz w:val="16"/>
                <w:szCs w:val="16"/>
                <w:color w:val="auto"/>
              </w:rPr>
              <w:t>354,223</w:t>
            </w:r>
          </w:p>
        </w:tc>
        <w:tc>
          <w:tcPr>
            <w:tcW w:w="1000" w:type="dxa"/>
            <w:vAlign w:val="bottom"/>
          </w:tcPr>
          <w:p>
            <w:pPr>
              <w:jc w:val="right"/>
              <w:ind w:right="178"/>
              <w:spacing w:after="0"/>
              <w:rPr>
                <w:sz w:val="20"/>
                <w:szCs w:val="20"/>
                <w:color w:val="auto"/>
              </w:rPr>
            </w:pPr>
            <w:r>
              <w:rPr>
                <w:rFonts w:ascii="Arial" w:cs="Arial" w:eastAsia="Arial" w:hAnsi="Arial"/>
                <w:sz w:val="16"/>
                <w:szCs w:val="16"/>
                <w:color w:val="auto"/>
              </w:rPr>
              <w:t>42,882</w:t>
            </w:r>
          </w:p>
        </w:tc>
        <w:tc>
          <w:tcPr>
            <w:tcW w:w="1000" w:type="dxa"/>
            <w:vAlign w:val="bottom"/>
          </w:tcPr>
          <w:p>
            <w:pPr>
              <w:jc w:val="right"/>
              <w:ind w:right="158"/>
              <w:spacing w:after="0"/>
              <w:rPr>
                <w:sz w:val="20"/>
                <w:szCs w:val="20"/>
                <w:color w:val="auto"/>
              </w:rPr>
            </w:pPr>
            <w:r>
              <w:rPr>
                <w:rFonts w:ascii="Arial" w:cs="Arial" w:eastAsia="Arial" w:hAnsi="Arial"/>
                <w:sz w:val="16"/>
                <w:szCs w:val="16"/>
                <w:color w:val="auto"/>
              </w:rPr>
              <w:t>125,125</w:t>
            </w:r>
          </w:p>
        </w:tc>
        <w:tc>
          <w:tcPr>
            <w:tcW w:w="1060" w:type="dxa"/>
            <w:vAlign w:val="bottom"/>
          </w:tcPr>
          <w:p>
            <w:pPr>
              <w:jc w:val="right"/>
              <w:ind w:right="198"/>
              <w:spacing w:after="0"/>
              <w:rPr>
                <w:sz w:val="20"/>
                <w:szCs w:val="20"/>
                <w:color w:val="auto"/>
              </w:rPr>
            </w:pPr>
            <w:r>
              <w:rPr>
                <w:rFonts w:ascii="Arial" w:cs="Arial" w:eastAsia="Arial" w:hAnsi="Arial"/>
                <w:sz w:val="16"/>
                <w:szCs w:val="16"/>
                <w:color w:val="auto"/>
              </w:rPr>
              <w:t>224,885</w:t>
            </w:r>
          </w:p>
        </w:tc>
        <w:tc>
          <w:tcPr>
            <w:tcW w:w="1020" w:type="dxa"/>
            <w:vAlign w:val="bottom"/>
          </w:tcPr>
          <w:p>
            <w:pPr>
              <w:jc w:val="right"/>
              <w:ind w:right="198"/>
              <w:spacing w:after="0"/>
              <w:rPr>
                <w:sz w:val="20"/>
                <w:szCs w:val="20"/>
                <w:color w:val="auto"/>
              </w:rPr>
            </w:pPr>
            <w:r>
              <w:rPr>
                <w:rFonts w:ascii="Arial" w:cs="Arial" w:eastAsia="Arial" w:hAnsi="Arial"/>
                <w:sz w:val="16"/>
                <w:szCs w:val="16"/>
                <w:color w:val="auto"/>
              </w:rPr>
              <w:t>78,365</w:t>
            </w:r>
          </w:p>
        </w:tc>
        <w:tc>
          <w:tcPr>
            <w:tcW w:w="5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96"/>
        </w:trPr>
        <w:tc>
          <w:tcPr>
            <w:tcW w:w="1000" w:type="dxa"/>
            <w:vAlign w:val="bottom"/>
          </w:tcPr>
          <w:p>
            <w:pPr>
              <w:jc w:val="right"/>
              <w:ind w:right="158"/>
              <w:spacing w:after="0"/>
              <w:rPr>
                <w:sz w:val="20"/>
                <w:szCs w:val="20"/>
                <w:color w:val="auto"/>
              </w:rPr>
            </w:pPr>
            <w:r>
              <w:rPr>
                <w:rFonts w:ascii="Arial" w:cs="Arial" w:eastAsia="Arial" w:hAnsi="Arial"/>
                <w:sz w:val="16"/>
                <w:szCs w:val="16"/>
                <w:color w:val="auto"/>
              </w:rPr>
              <w:t>116,929</w:t>
            </w:r>
          </w:p>
        </w:tc>
        <w:tc>
          <w:tcPr>
            <w:tcW w:w="1080" w:type="dxa"/>
            <w:vAlign w:val="bottom"/>
          </w:tcPr>
          <w:p>
            <w:pPr>
              <w:jc w:val="right"/>
              <w:ind w:right="198"/>
              <w:spacing w:after="0"/>
              <w:rPr>
                <w:sz w:val="20"/>
                <w:szCs w:val="20"/>
                <w:color w:val="auto"/>
              </w:rPr>
            </w:pPr>
            <w:r>
              <w:rPr>
                <w:rFonts w:ascii="Arial" w:cs="Arial" w:eastAsia="Arial" w:hAnsi="Arial"/>
                <w:sz w:val="16"/>
                <w:szCs w:val="16"/>
                <w:color w:val="auto"/>
              </w:rPr>
              <w:t>140,368</w:t>
            </w:r>
          </w:p>
        </w:tc>
        <w:tc>
          <w:tcPr>
            <w:tcW w:w="1000" w:type="dxa"/>
            <w:vAlign w:val="bottom"/>
          </w:tcPr>
          <w:p>
            <w:pPr>
              <w:jc w:val="right"/>
              <w:ind w:right="178"/>
              <w:spacing w:after="0"/>
              <w:rPr>
                <w:sz w:val="20"/>
                <w:szCs w:val="20"/>
                <w:color w:val="auto"/>
              </w:rPr>
            </w:pPr>
            <w:r>
              <w:rPr>
                <w:rFonts w:ascii="Arial" w:cs="Arial" w:eastAsia="Arial" w:hAnsi="Arial"/>
                <w:sz w:val="16"/>
                <w:szCs w:val="16"/>
                <w:color w:val="auto"/>
              </w:rPr>
              <w:t>14,358</w:t>
            </w:r>
          </w:p>
        </w:tc>
        <w:tc>
          <w:tcPr>
            <w:tcW w:w="1000" w:type="dxa"/>
            <w:vAlign w:val="bottom"/>
          </w:tcPr>
          <w:p>
            <w:pPr>
              <w:jc w:val="right"/>
              <w:ind w:right="158"/>
              <w:spacing w:after="0"/>
              <w:rPr>
                <w:sz w:val="20"/>
                <w:szCs w:val="20"/>
                <w:color w:val="auto"/>
              </w:rPr>
            </w:pPr>
            <w:r>
              <w:rPr>
                <w:rFonts w:ascii="Arial" w:cs="Arial" w:eastAsia="Arial" w:hAnsi="Arial"/>
                <w:sz w:val="16"/>
                <w:szCs w:val="16"/>
                <w:color w:val="auto"/>
              </w:rPr>
              <w:t>27,917</w:t>
            </w:r>
          </w:p>
        </w:tc>
        <w:tc>
          <w:tcPr>
            <w:tcW w:w="1060" w:type="dxa"/>
            <w:vAlign w:val="bottom"/>
          </w:tcPr>
          <w:p>
            <w:pPr>
              <w:jc w:val="right"/>
              <w:ind w:right="198"/>
              <w:spacing w:after="0"/>
              <w:rPr>
                <w:sz w:val="20"/>
                <w:szCs w:val="20"/>
                <w:color w:val="auto"/>
              </w:rPr>
            </w:pPr>
            <w:r>
              <w:rPr>
                <w:rFonts w:ascii="Arial" w:cs="Arial" w:eastAsia="Arial" w:hAnsi="Arial"/>
                <w:sz w:val="16"/>
                <w:szCs w:val="16"/>
                <w:color w:val="auto"/>
              </w:rPr>
              <w:t>57,562</w:t>
            </w:r>
          </w:p>
        </w:tc>
        <w:tc>
          <w:tcPr>
            <w:tcW w:w="1020" w:type="dxa"/>
            <w:vAlign w:val="bottom"/>
          </w:tcPr>
          <w:p>
            <w:pPr>
              <w:jc w:val="right"/>
              <w:ind w:right="198"/>
              <w:spacing w:after="0"/>
              <w:rPr>
                <w:sz w:val="20"/>
                <w:szCs w:val="20"/>
                <w:color w:val="auto"/>
              </w:rPr>
            </w:pPr>
            <w:r>
              <w:rPr>
                <w:rFonts w:ascii="Arial" w:cs="Arial" w:eastAsia="Arial" w:hAnsi="Arial"/>
                <w:sz w:val="16"/>
                <w:szCs w:val="16"/>
                <w:color w:val="auto"/>
              </w:rPr>
              <w:t>20,467</w:t>
            </w: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96"/>
        </w:trPr>
        <w:tc>
          <w:tcPr>
            <w:tcW w:w="1000" w:type="dxa"/>
            <w:vAlign w:val="bottom"/>
          </w:tcPr>
          <w:p>
            <w:pPr>
              <w:jc w:val="right"/>
              <w:ind w:right="158"/>
              <w:spacing w:after="0"/>
              <w:rPr>
                <w:sz w:val="20"/>
                <w:szCs w:val="20"/>
                <w:color w:val="auto"/>
              </w:rPr>
            </w:pPr>
            <w:r>
              <w:rPr>
                <w:rFonts w:ascii="Arial" w:cs="Arial" w:eastAsia="Arial" w:hAnsi="Arial"/>
                <w:sz w:val="16"/>
                <w:szCs w:val="16"/>
                <w:color w:val="auto"/>
              </w:rPr>
              <w:t>42,276</w:t>
            </w:r>
          </w:p>
        </w:tc>
        <w:tc>
          <w:tcPr>
            <w:tcW w:w="1080" w:type="dxa"/>
            <w:vAlign w:val="bottom"/>
          </w:tcPr>
          <w:p>
            <w:pPr>
              <w:jc w:val="right"/>
              <w:ind w:right="198"/>
              <w:spacing w:after="0"/>
              <w:rPr>
                <w:sz w:val="20"/>
                <w:szCs w:val="20"/>
                <w:color w:val="auto"/>
              </w:rPr>
            </w:pPr>
            <w:r>
              <w:rPr>
                <w:rFonts w:ascii="Arial" w:cs="Arial" w:eastAsia="Arial" w:hAnsi="Arial"/>
                <w:sz w:val="16"/>
                <w:szCs w:val="16"/>
                <w:color w:val="auto"/>
              </w:rPr>
              <w:t>48,525</w:t>
            </w:r>
          </w:p>
        </w:tc>
        <w:tc>
          <w:tcPr>
            <w:tcW w:w="1000" w:type="dxa"/>
            <w:vAlign w:val="bottom"/>
          </w:tcPr>
          <w:p>
            <w:pPr>
              <w:jc w:val="right"/>
              <w:ind w:right="178"/>
              <w:spacing w:after="0"/>
              <w:rPr>
                <w:sz w:val="20"/>
                <w:szCs w:val="20"/>
                <w:color w:val="auto"/>
              </w:rPr>
            </w:pPr>
            <w:r>
              <w:rPr>
                <w:rFonts w:ascii="Arial" w:cs="Arial" w:eastAsia="Arial" w:hAnsi="Arial"/>
                <w:sz w:val="16"/>
                <w:szCs w:val="16"/>
                <w:color w:val="auto"/>
              </w:rPr>
              <w:t>13,000</w:t>
            </w:r>
          </w:p>
        </w:tc>
        <w:tc>
          <w:tcPr>
            <w:tcW w:w="1000" w:type="dxa"/>
            <w:vAlign w:val="bottom"/>
          </w:tcPr>
          <w:p>
            <w:pPr>
              <w:jc w:val="right"/>
              <w:ind w:right="158"/>
              <w:spacing w:after="0"/>
              <w:rPr>
                <w:sz w:val="20"/>
                <w:szCs w:val="20"/>
                <w:color w:val="auto"/>
              </w:rPr>
            </w:pPr>
            <w:r>
              <w:rPr>
                <w:rFonts w:ascii="Arial" w:cs="Arial" w:eastAsia="Arial" w:hAnsi="Arial"/>
                <w:sz w:val="16"/>
                <w:szCs w:val="16"/>
                <w:color w:val="auto"/>
              </w:rPr>
              <w:t>14,603</w:t>
            </w:r>
          </w:p>
        </w:tc>
        <w:tc>
          <w:tcPr>
            <w:tcW w:w="1060" w:type="dxa"/>
            <w:vAlign w:val="bottom"/>
          </w:tcPr>
          <w:p>
            <w:pPr>
              <w:jc w:val="right"/>
              <w:ind w:right="198"/>
              <w:spacing w:after="0"/>
              <w:rPr>
                <w:sz w:val="20"/>
                <w:szCs w:val="20"/>
                <w:color w:val="auto"/>
              </w:rPr>
            </w:pPr>
            <w:r>
              <w:rPr>
                <w:rFonts w:ascii="Arial" w:cs="Arial" w:eastAsia="Arial" w:hAnsi="Arial"/>
                <w:sz w:val="16"/>
                <w:szCs w:val="16"/>
                <w:color w:val="auto"/>
              </w:rPr>
              <w:t>12,591</w:t>
            </w:r>
          </w:p>
        </w:tc>
        <w:tc>
          <w:tcPr>
            <w:tcW w:w="1020" w:type="dxa"/>
            <w:vAlign w:val="bottom"/>
          </w:tcPr>
          <w:p>
            <w:pPr>
              <w:jc w:val="right"/>
              <w:ind w:right="198"/>
              <w:spacing w:after="0"/>
              <w:rPr>
                <w:sz w:val="20"/>
                <w:szCs w:val="20"/>
                <w:color w:val="auto"/>
              </w:rPr>
            </w:pPr>
            <w:r>
              <w:rPr>
                <w:rFonts w:ascii="Arial" w:cs="Arial" w:eastAsia="Arial" w:hAnsi="Arial"/>
                <w:sz w:val="16"/>
                <w:szCs w:val="16"/>
                <w:color w:val="auto"/>
              </w:rPr>
              <w:t>8,956</w:t>
            </w: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8"/>
        </w:trPr>
        <w:tc>
          <w:tcPr>
            <w:tcW w:w="100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49,807</w:t>
            </w:r>
          </w:p>
        </w:tc>
        <w:tc>
          <w:tcPr>
            <w:tcW w:w="108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36,787</w:t>
            </w:r>
          </w:p>
        </w:tc>
        <w:tc>
          <w:tcPr>
            <w:tcW w:w="100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10,651</w:t>
            </w:r>
          </w:p>
        </w:tc>
        <w:tc>
          <w:tcPr>
            <w:tcW w:w="100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44,977</w:t>
            </w:r>
          </w:p>
        </w:tc>
        <w:tc>
          <w:tcPr>
            <w:tcW w:w="10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102,581</w:t>
            </w:r>
          </w:p>
        </w:tc>
        <w:tc>
          <w:tcPr>
            <w:tcW w:w="10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15,050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76"/>
        </w:trPr>
        <w:tc>
          <w:tcPr>
            <w:tcW w:w="1000" w:type="dxa"/>
            <w:vAlign w:val="bottom"/>
          </w:tcPr>
          <w:p>
            <w:pPr>
              <w:jc w:val="right"/>
              <w:ind w:right="158"/>
              <w:spacing w:after="0" w:line="176" w:lineRule="exact"/>
              <w:rPr>
                <w:sz w:val="20"/>
                <w:szCs w:val="20"/>
                <w:color w:val="auto"/>
              </w:rPr>
            </w:pPr>
            <w:r>
              <w:rPr>
                <w:rFonts w:ascii="Arial" w:cs="Arial" w:eastAsia="Arial" w:hAnsi="Arial"/>
                <w:sz w:val="16"/>
                <w:szCs w:val="16"/>
                <w:color w:val="auto"/>
              </w:rPr>
              <w:t>74,755</w:t>
            </w:r>
          </w:p>
        </w:tc>
        <w:tc>
          <w:tcPr>
            <w:tcW w:w="1080" w:type="dxa"/>
            <w:vAlign w:val="bottom"/>
          </w:tcPr>
          <w:p>
            <w:pPr>
              <w:jc w:val="right"/>
              <w:ind w:right="198"/>
              <w:spacing w:after="0" w:line="176" w:lineRule="exact"/>
              <w:rPr>
                <w:sz w:val="20"/>
                <w:szCs w:val="20"/>
                <w:color w:val="auto"/>
              </w:rPr>
            </w:pPr>
            <w:r>
              <w:rPr>
                <w:rFonts w:ascii="Arial" w:cs="Arial" w:eastAsia="Arial" w:hAnsi="Arial"/>
                <w:sz w:val="16"/>
                <w:szCs w:val="16"/>
                <w:color w:val="auto"/>
              </w:rPr>
              <w:t>128,543</w:t>
            </w:r>
          </w:p>
        </w:tc>
        <w:tc>
          <w:tcPr>
            <w:tcW w:w="1000" w:type="dxa"/>
            <w:vAlign w:val="bottom"/>
          </w:tcPr>
          <w:p>
            <w:pPr>
              <w:jc w:val="right"/>
              <w:ind w:right="178"/>
              <w:spacing w:after="0" w:line="176" w:lineRule="exact"/>
              <w:rPr>
                <w:sz w:val="20"/>
                <w:szCs w:val="20"/>
                <w:color w:val="auto"/>
              </w:rPr>
            </w:pPr>
            <w:r>
              <w:rPr>
                <w:rFonts w:ascii="Arial" w:cs="Arial" w:eastAsia="Arial" w:hAnsi="Arial"/>
                <w:sz w:val="16"/>
                <w:szCs w:val="16"/>
                <w:color w:val="auto"/>
              </w:rPr>
              <w:t>4,873</w:t>
            </w:r>
          </w:p>
        </w:tc>
        <w:tc>
          <w:tcPr>
            <w:tcW w:w="1000" w:type="dxa"/>
            <w:vAlign w:val="bottom"/>
          </w:tcPr>
          <w:p>
            <w:pPr>
              <w:jc w:val="right"/>
              <w:ind w:right="158"/>
              <w:spacing w:after="0" w:line="176" w:lineRule="exact"/>
              <w:rPr>
                <w:sz w:val="20"/>
                <w:szCs w:val="20"/>
                <w:color w:val="auto"/>
              </w:rPr>
            </w:pPr>
            <w:r>
              <w:rPr>
                <w:rFonts w:ascii="Arial" w:cs="Arial" w:eastAsia="Arial" w:hAnsi="Arial"/>
                <w:sz w:val="16"/>
                <w:szCs w:val="16"/>
                <w:color w:val="auto"/>
              </w:rPr>
              <w:t>37,628</w:t>
            </w:r>
          </w:p>
        </w:tc>
        <w:tc>
          <w:tcPr>
            <w:tcW w:w="1060" w:type="dxa"/>
            <w:vAlign w:val="bottom"/>
          </w:tcPr>
          <w:p>
            <w:pPr>
              <w:jc w:val="right"/>
              <w:ind w:right="198"/>
              <w:spacing w:after="0" w:line="176" w:lineRule="exact"/>
              <w:rPr>
                <w:sz w:val="20"/>
                <w:szCs w:val="20"/>
                <w:color w:val="auto"/>
              </w:rPr>
            </w:pPr>
            <w:r>
              <w:rPr>
                <w:rFonts w:ascii="Arial" w:cs="Arial" w:eastAsia="Arial" w:hAnsi="Arial"/>
                <w:sz w:val="16"/>
                <w:szCs w:val="16"/>
                <w:color w:val="auto"/>
              </w:rPr>
              <w:t>52,151</w:t>
            </w:r>
          </w:p>
        </w:tc>
        <w:tc>
          <w:tcPr>
            <w:tcW w:w="1020" w:type="dxa"/>
            <w:vAlign w:val="bottom"/>
          </w:tcPr>
          <w:p>
            <w:pPr>
              <w:jc w:val="right"/>
              <w:ind w:right="198"/>
              <w:spacing w:after="0" w:line="176" w:lineRule="exact"/>
              <w:rPr>
                <w:sz w:val="20"/>
                <w:szCs w:val="20"/>
                <w:color w:val="auto"/>
              </w:rPr>
            </w:pPr>
            <w:r>
              <w:rPr>
                <w:rFonts w:ascii="Arial" w:cs="Arial" w:eastAsia="Arial" w:hAnsi="Arial"/>
                <w:sz w:val="16"/>
                <w:szCs w:val="16"/>
                <w:color w:val="auto"/>
              </w:rPr>
              <w:t>33,892</w:t>
            </w:r>
          </w:p>
        </w:tc>
        <w:tc>
          <w:tcPr>
            <w:tcW w:w="50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r>
      <w:tr>
        <w:trPr>
          <w:trHeight w:val="208"/>
        </w:trPr>
        <w:tc>
          <w:tcPr>
            <w:tcW w:w="100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44,101</w:t>
            </w:r>
          </w:p>
        </w:tc>
        <w:tc>
          <w:tcPr>
            <w:tcW w:w="108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87,799</w:t>
            </w:r>
          </w:p>
        </w:tc>
        <w:tc>
          <w:tcPr>
            <w:tcW w:w="100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(52)</w:t>
            </w:r>
          </w:p>
        </w:tc>
        <w:tc>
          <w:tcPr>
            <w:tcW w:w="100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13,831</w:t>
            </w:r>
          </w:p>
        </w:tc>
        <w:tc>
          <w:tcPr>
            <w:tcW w:w="10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30,173</w:t>
            </w:r>
          </w:p>
        </w:tc>
        <w:tc>
          <w:tcPr>
            <w:tcW w:w="10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17,326</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100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30,654</w:t>
            </w:r>
          </w:p>
        </w:tc>
        <w:tc>
          <w:tcPr>
            <w:tcW w:w="108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40,744</w:t>
            </w:r>
          </w:p>
        </w:tc>
        <w:tc>
          <w:tcPr>
            <w:tcW w:w="100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4,925</w:t>
            </w:r>
          </w:p>
        </w:tc>
        <w:tc>
          <w:tcPr>
            <w:tcW w:w="100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23,797</w:t>
            </w:r>
          </w:p>
        </w:tc>
        <w:tc>
          <w:tcPr>
            <w:tcW w:w="10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21,978</w:t>
            </w:r>
          </w:p>
        </w:tc>
        <w:tc>
          <w:tcPr>
            <w:tcW w:w="10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16,566</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764"/>
        </w:trPr>
        <w:tc>
          <w:tcPr>
            <w:tcW w:w="1000" w:type="dxa"/>
            <w:vAlign w:val="bottom"/>
          </w:tcPr>
          <w:p>
            <w:pPr>
              <w:jc w:val="right"/>
              <w:ind w:right="158"/>
              <w:spacing w:after="0"/>
              <w:rPr>
                <w:sz w:val="20"/>
                <w:szCs w:val="20"/>
                <w:color w:val="auto"/>
              </w:rPr>
            </w:pPr>
            <w:r>
              <w:rPr>
                <w:rFonts w:ascii="Arial" w:cs="Arial" w:eastAsia="Arial" w:hAnsi="Arial"/>
                <w:sz w:val="16"/>
                <w:szCs w:val="16"/>
                <w:color w:val="auto"/>
              </w:rPr>
              <w:t>31,924</w:t>
            </w:r>
          </w:p>
        </w:tc>
        <w:tc>
          <w:tcPr>
            <w:tcW w:w="1080" w:type="dxa"/>
            <w:vAlign w:val="bottom"/>
          </w:tcPr>
          <w:p>
            <w:pPr>
              <w:jc w:val="right"/>
              <w:ind w:right="298"/>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78"/>
              <w:spacing w:after="0"/>
              <w:rPr>
                <w:sz w:val="20"/>
                <w:szCs w:val="20"/>
                <w:color w:val="auto"/>
              </w:rPr>
            </w:pPr>
            <w:r>
              <w:rPr>
                <w:rFonts w:ascii="Arial" w:cs="Arial" w:eastAsia="Arial" w:hAnsi="Arial"/>
                <w:sz w:val="16"/>
                <w:szCs w:val="16"/>
                <w:color w:val="auto"/>
              </w:rPr>
              <w:t>71,031</w:t>
            </w:r>
          </w:p>
        </w:tc>
        <w:tc>
          <w:tcPr>
            <w:tcW w:w="1000" w:type="dxa"/>
            <w:vAlign w:val="bottom"/>
          </w:tcPr>
          <w:p>
            <w:pPr>
              <w:jc w:val="right"/>
              <w:ind w:right="238"/>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8"/>
              <w:spacing w:after="0"/>
              <w:rPr>
                <w:sz w:val="20"/>
                <w:szCs w:val="20"/>
                <w:color w:val="auto"/>
              </w:rPr>
            </w:pPr>
            <w:r>
              <w:rPr>
                <w:rFonts w:ascii="Arial" w:cs="Arial" w:eastAsia="Arial" w:hAnsi="Arial"/>
                <w:sz w:val="16"/>
                <w:szCs w:val="16"/>
                <w:color w:val="auto"/>
              </w:rPr>
              <w:t>286,124</w:t>
            </w:r>
          </w:p>
        </w:tc>
        <w:tc>
          <w:tcPr>
            <w:tcW w:w="1020" w:type="dxa"/>
            <w:vAlign w:val="bottom"/>
          </w:tcPr>
          <w:p>
            <w:pPr>
              <w:jc w:val="right"/>
              <w:ind w:right="278"/>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96"/>
        </w:trPr>
        <w:tc>
          <w:tcPr>
            <w:tcW w:w="1000" w:type="dxa"/>
            <w:vAlign w:val="bottom"/>
          </w:tcPr>
          <w:p>
            <w:pPr>
              <w:jc w:val="right"/>
              <w:ind w:right="158"/>
              <w:spacing w:after="0"/>
              <w:rPr>
                <w:sz w:val="20"/>
                <w:szCs w:val="20"/>
                <w:color w:val="auto"/>
              </w:rPr>
            </w:pPr>
            <w:r>
              <w:rPr>
                <w:rFonts w:ascii="Arial" w:cs="Arial" w:eastAsia="Arial" w:hAnsi="Arial"/>
                <w:sz w:val="16"/>
                <w:szCs w:val="16"/>
                <w:color w:val="auto"/>
              </w:rPr>
              <w:t>8,895</w:t>
            </w:r>
          </w:p>
        </w:tc>
        <w:tc>
          <w:tcPr>
            <w:tcW w:w="1080" w:type="dxa"/>
            <w:vAlign w:val="bottom"/>
          </w:tcPr>
          <w:p>
            <w:pPr>
              <w:jc w:val="right"/>
              <w:ind w:right="298"/>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78"/>
              <w:spacing w:after="0"/>
              <w:rPr>
                <w:sz w:val="20"/>
                <w:szCs w:val="20"/>
                <w:color w:val="auto"/>
              </w:rPr>
            </w:pPr>
            <w:r>
              <w:rPr>
                <w:rFonts w:ascii="Arial" w:cs="Arial" w:eastAsia="Arial" w:hAnsi="Arial"/>
                <w:sz w:val="16"/>
                <w:szCs w:val="16"/>
                <w:color w:val="auto"/>
              </w:rPr>
              <w:t>50,826</w:t>
            </w:r>
          </w:p>
        </w:tc>
        <w:tc>
          <w:tcPr>
            <w:tcW w:w="1000" w:type="dxa"/>
            <w:vAlign w:val="bottom"/>
          </w:tcPr>
          <w:p>
            <w:pPr>
              <w:jc w:val="right"/>
              <w:ind w:right="238"/>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8"/>
              <w:spacing w:after="0"/>
              <w:rPr>
                <w:sz w:val="20"/>
                <w:szCs w:val="20"/>
                <w:color w:val="auto"/>
              </w:rPr>
            </w:pPr>
            <w:r>
              <w:rPr>
                <w:rFonts w:ascii="Arial" w:cs="Arial" w:eastAsia="Arial" w:hAnsi="Arial"/>
                <w:sz w:val="16"/>
                <w:szCs w:val="16"/>
                <w:color w:val="auto"/>
              </w:rPr>
              <w:t>99,193</w:t>
            </w:r>
          </w:p>
        </w:tc>
        <w:tc>
          <w:tcPr>
            <w:tcW w:w="1020" w:type="dxa"/>
            <w:vAlign w:val="bottom"/>
          </w:tcPr>
          <w:p>
            <w:pPr>
              <w:jc w:val="right"/>
              <w:ind w:right="278"/>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96"/>
        </w:trPr>
        <w:tc>
          <w:tcPr>
            <w:tcW w:w="1000" w:type="dxa"/>
            <w:vAlign w:val="bottom"/>
          </w:tcPr>
          <w:p>
            <w:pPr>
              <w:jc w:val="right"/>
              <w:ind w:right="158"/>
              <w:spacing w:after="0"/>
              <w:rPr>
                <w:sz w:val="20"/>
                <w:szCs w:val="20"/>
                <w:color w:val="auto"/>
              </w:rPr>
            </w:pPr>
            <w:r>
              <w:rPr>
                <w:rFonts w:ascii="Arial" w:cs="Arial" w:eastAsia="Arial" w:hAnsi="Arial"/>
                <w:sz w:val="16"/>
                <w:szCs w:val="16"/>
                <w:color w:val="auto"/>
              </w:rPr>
              <w:t>3,386</w:t>
            </w:r>
          </w:p>
        </w:tc>
        <w:tc>
          <w:tcPr>
            <w:tcW w:w="1080" w:type="dxa"/>
            <w:vAlign w:val="bottom"/>
          </w:tcPr>
          <w:p>
            <w:pPr>
              <w:jc w:val="right"/>
              <w:ind w:right="298"/>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78"/>
              <w:spacing w:after="0"/>
              <w:rPr>
                <w:sz w:val="20"/>
                <w:szCs w:val="20"/>
                <w:color w:val="auto"/>
              </w:rPr>
            </w:pPr>
            <w:r>
              <w:rPr>
                <w:rFonts w:ascii="Arial" w:cs="Arial" w:eastAsia="Arial" w:hAnsi="Arial"/>
                <w:sz w:val="16"/>
                <w:szCs w:val="16"/>
                <w:color w:val="auto"/>
              </w:rPr>
              <w:t>2,761</w:t>
            </w:r>
          </w:p>
        </w:tc>
        <w:tc>
          <w:tcPr>
            <w:tcW w:w="1000" w:type="dxa"/>
            <w:vAlign w:val="bottom"/>
          </w:tcPr>
          <w:p>
            <w:pPr>
              <w:jc w:val="right"/>
              <w:ind w:right="238"/>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8"/>
              <w:spacing w:after="0"/>
              <w:rPr>
                <w:sz w:val="20"/>
                <w:szCs w:val="20"/>
                <w:color w:val="auto"/>
              </w:rPr>
            </w:pPr>
            <w:r>
              <w:rPr>
                <w:rFonts w:ascii="Arial" w:cs="Arial" w:eastAsia="Arial" w:hAnsi="Arial"/>
                <w:sz w:val="16"/>
                <w:szCs w:val="16"/>
                <w:color w:val="auto"/>
              </w:rPr>
              <w:t>11,260</w:t>
            </w:r>
          </w:p>
        </w:tc>
        <w:tc>
          <w:tcPr>
            <w:tcW w:w="1020" w:type="dxa"/>
            <w:vAlign w:val="bottom"/>
          </w:tcPr>
          <w:p>
            <w:pPr>
              <w:jc w:val="right"/>
              <w:ind w:right="278"/>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r>
      <w:tr>
        <w:trPr>
          <w:trHeight w:val="208"/>
        </w:trPr>
        <w:tc>
          <w:tcPr>
            <w:tcW w:w="100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6,374</w:t>
            </w:r>
          </w:p>
        </w:tc>
        <w:tc>
          <w:tcPr>
            <w:tcW w:w="100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59,409</w:t>
            </w:r>
          </w:p>
        </w:tc>
        <w:tc>
          <w:tcPr>
            <w:tcW w:w="102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r>
      <w:tr>
        <w:trPr>
          <w:trHeight w:val="176"/>
        </w:trPr>
        <w:tc>
          <w:tcPr>
            <w:tcW w:w="1000" w:type="dxa"/>
            <w:vAlign w:val="bottom"/>
          </w:tcPr>
          <w:p>
            <w:pPr>
              <w:jc w:val="right"/>
              <w:ind w:right="158"/>
              <w:spacing w:after="0" w:line="176" w:lineRule="exact"/>
              <w:rPr>
                <w:sz w:val="20"/>
                <w:szCs w:val="20"/>
                <w:color w:val="auto"/>
              </w:rPr>
            </w:pPr>
            <w:r>
              <w:rPr>
                <w:rFonts w:ascii="Arial" w:cs="Arial" w:eastAsia="Arial" w:hAnsi="Arial"/>
                <w:sz w:val="16"/>
                <w:szCs w:val="16"/>
                <w:color w:val="auto"/>
              </w:rPr>
              <w:t>19,643</w:t>
            </w:r>
          </w:p>
        </w:tc>
        <w:tc>
          <w:tcPr>
            <w:tcW w:w="1080" w:type="dxa"/>
            <w:vAlign w:val="bottom"/>
          </w:tcPr>
          <w:p>
            <w:pPr>
              <w:jc w:val="right"/>
              <w:ind w:right="298"/>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178"/>
              <w:spacing w:after="0" w:line="176" w:lineRule="exact"/>
              <w:rPr>
                <w:sz w:val="20"/>
                <w:szCs w:val="20"/>
                <w:color w:val="auto"/>
              </w:rPr>
            </w:pPr>
            <w:r>
              <w:rPr>
                <w:rFonts w:ascii="Arial" w:cs="Arial" w:eastAsia="Arial" w:hAnsi="Arial"/>
                <w:sz w:val="16"/>
                <w:szCs w:val="16"/>
                <w:color w:val="auto"/>
              </w:rPr>
              <w:t>11,070</w:t>
            </w:r>
          </w:p>
        </w:tc>
        <w:tc>
          <w:tcPr>
            <w:tcW w:w="1000" w:type="dxa"/>
            <w:vAlign w:val="bottom"/>
          </w:tcPr>
          <w:p>
            <w:pPr>
              <w:jc w:val="right"/>
              <w:ind w:right="238"/>
              <w:spacing w:after="0" w:line="176"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198"/>
              <w:spacing w:after="0" w:line="176" w:lineRule="exact"/>
              <w:rPr>
                <w:sz w:val="20"/>
                <w:szCs w:val="20"/>
                <w:color w:val="auto"/>
              </w:rPr>
            </w:pPr>
            <w:r>
              <w:rPr>
                <w:rFonts w:ascii="Arial" w:cs="Arial" w:eastAsia="Arial" w:hAnsi="Arial"/>
                <w:sz w:val="16"/>
                <w:szCs w:val="16"/>
                <w:color w:val="auto"/>
              </w:rPr>
              <w:t>116,262</w:t>
            </w:r>
          </w:p>
        </w:tc>
        <w:tc>
          <w:tcPr>
            <w:tcW w:w="1020" w:type="dxa"/>
            <w:vAlign w:val="bottom"/>
          </w:tcPr>
          <w:p>
            <w:pPr>
              <w:jc w:val="right"/>
              <w:ind w:right="278"/>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r>
      <w:tr>
        <w:trPr>
          <w:trHeight w:val="208"/>
        </w:trPr>
        <w:tc>
          <w:tcPr>
            <w:tcW w:w="100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10,970</w:t>
            </w:r>
          </w:p>
        </w:tc>
        <w:tc>
          <w:tcPr>
            <w:tcW w:w="108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5,534</w:t>
            </w:r>
          </w:p>
        </w:tc>
        <w:tc>
          <w:tcPr>
            <w:tcW w:w="100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61,550</w:t>
            </w:r>
          </w:p>
        </w:tc>
        <w:tc>
          <w:tcPr>
            <w:tcW w:w="102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r>
      <w:tr>
        <w:trPr>
          <w:trHeight w:val="189"/>
        </w:trPr>
        <w:tc>
          <w:tcPr>
            <w:tcW w:w="100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8,673</w:t>
            </w:r>
          </w:p>
        </w:tc>
        <w:tc>
          <w:tcPr>
            <w:tcW w:w="108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5,536</w:t>
            </w:r>
          </w:p>
        </w:tc>
        <w:tc>
          <w:tcPr>
            <w:tcW w:w="100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54,712</w:t>
            </w:r>
          </w:p>
        </w:tc>
        <w:tc>
          <w:tcPr>
            <w:tcW w:w="102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6"/>
                <w:szCs w:val="16"/>
                <w:color w:val="auto"/>
              </w:rPr>
            </w:pPr>
          </w:p>
        </w:tc>
      </w:tr>
      <w:tr>
        <w:trPr>
          <w:trHeight w:val="776"/>
        </w:trPr>
        <w:tc>
          <w:tcPr>
            <w:tcW w:w="100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39,327</w:t>
            </w:r>
          </w:p>
        </w:tc>
        <w:tc>
          <w:tcPr>
            <w:tcW w:w="108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40,744</w:t>
            </w:r>
          </w:p>
        </w:tc>
        <w:tc>
          <w:tcPr>
            <w:tcW w:w="100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10,461</w:t>
            </w:r>
          </w:p>
        </w:tc>
        <w:tc>
          <w:tcPr>
            <w:tcW w:w="100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23,797</w:t>
            </w:r>
          </w:p>
        </w:tc>
        <w:tc>
          <w:tcPr>
            <w:tcW w:w="10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76,690</w:t>
            </w:r>
          </w:p>
        </w:tc>
        <w:tc>
          <w:tcPr>
            <w:tcW w:w="10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16,566</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bl>
    <w:p>
      <w:pPr>
        <w:spacing w:after="0" w:line="210" w:lineRule="exact"/>
        <w:rPr>
          <w:sz w:val="20"/>
          <w:szCs w:val="20"/>
          <w:color w:val="auto"/>
        </w:rPr>
      </w:pPr>
    </w:p>
    <w:p>
      <w:pPr>
        <w:sectPr>
          <w:pgSz w:w="11900" w:h="16838" w:orient="portrait"/>
          <w:cols w:equalWidth="0" w:num="2">
            <w:col w:w="3560" w:space="720"/>
            <w:col w:w="6660"/>
          </w:cols>
          <w:pgMar w:left="820" w:top="871" w:right="139" w:bottom="1440" w:gutter="0" w:footer="0" w:header="0"/>
          <w:type w:val="continuous"/>
        </w:sectPr>
      </w:pPr>
    </w:p>
    <w:p>
      <w:pPr>
        <w:spacing w:after="0" w:line="22" w:lineRule="exact"/>
        <w:rPr>
          <w:sz w:val="20"/>
          <w:szCs w:val="20"/>
          <w:color w:val="auto"/>
        </w:rPr>
      </w:pPr>
    </w:p>
    <w:p>
      <w:pPr>
        <w:ind w:left="300" w:right="40" w:hanging="294"/>
        <w:spacing w:after="0" w:line="271" w:lineRule="auto"/>
        <w:tabs>
          <w:tab w:leader="none" w:pos="343"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Includes discounted future net cash flows attributable to Imperial Oil Limited of $25,160 million in 2013 and $30,189 million in 2014, in which there is a 30.4 noncontrolling interest.</w:t>
      </w:r>
    </w:p>
    <w:p>
      <w:pPr>
        <w:spacing w:after="0" w:line="1"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871" w:right="13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12"/>
        </w:trPr>
        <w:tc>
          <w:tcPr>
            <w:tcW w:w="580" w:type="dxa"/>
            <w:vAlign w:val="bottom"/>
          </w:tcPr>
          <w:p>
            <w:pPr>
              <w:spacing w:after="0"/>
              <w:rPr>
                <w:sz w:val="18"/>
                <w:szCs w:val="18"/>
                <w:color w:val="auto"/>
              </w:rPr>
            </w:pPr>
          </w:p>
        </w:tc>
        <w:tc>
          <w:tcPr>
            <w:tcW w:w="8140" w:type="dxa"/>
            <w:vAlign w:val="bottom"/>
            <w:gridSpan w:val="3"/>
          </w:tcPr>
          <w:p>
            <w:pPr>
              <w:spacing w:after="0"/>
              <w:rPr>
                <w:sz w:val="20"/>
                <w:szCs w:val="20"/>
                <w:color w:val="auto"/>
              </w:rPr>
            </w:pPr>
            <w:r>
              <w:rPr>
                <w:rFonts w:ascii="Arial" w:cs="Arial" w:eastAsia="Arial" w:hAnsi="Arial"/>
                <w:sz w:val="16"/>
                <w:szCs w:val="16"/>
                <w:b w:val="1"/>
                <w:bCs w:val="1"/>
                <w:color w:val="auto"/>
                <w:w w:val="94"/>
              </w:rPr>
              <w:t>Change in Standardized Measure of Discounted Future Net Cash Flows Relating to Proved Oil and Gas Reserves</w:t>
            </w:r>
          </w:p>
        </w:tc>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93"/>
        </w:trPr>
        <w:tc>
          <w:tcPr>
            <w:tcW w:w="580" w:type="dxa"/>
            <w:vAlign w:val="bottom"/>
          </w:tcPr>
          <w:p>
            <w:pPr>
              <w:spacing w:after="0"/>
              <w:rPr>
                <w:sz w:val="24"/>
                <w:szCs w:val="24"/>
                <w:color w:val="auto"/>
              </w:rPr>
            </w:pPr>
          </w:p>
        </w:tc>
        <w:tc>
          <w:tcPr>
            <w:tcW w:w="5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Consolidated and Equity Interests</w:t>
            </w:r>
          </w:p>
        </w:tc>
        <w:tc>
          <w:tcPr>
            <w:tcW w:w="1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2012</w:t>
            </w: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66"/>
        </w:trPr>
        <w:tc>
          <w:tcPr>
            <w:tcW w:w="5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w:t>
            </w:r>
          </w:p>
        </w:tc>
      </w:tr>
      <w:tr>
        <w:trPr>
          <w:trHeight w:val="196"/>
        </w:trPr>
        <w:tc>
          <w:tcPr>
            <w:tcW w:w="58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3"/>
                <w:szCs w:val="13"/>
                <w:b w:val="1"/>
                <w:bCs w:val="1"/>
                <w:color w:val="auto"/>
                <w:w w:val="88"/>
              </w:rPr>
              <w:t>Share of</w:t>
            </w: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Consolidat</w:t>
            </w:r>
          </w:p>
        </w:tc>
      </w:tr>
      <w:tr>
        <w:trPr>
          <w:trHeight w:val="196"/>
        </w:trPr>
        <w:tc>
          <w:tcPr>
            <w:tcW w:w="58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jc w:val="center"/>
              <w:ind w:right="149"/>
              <w:spacing w:after="0"/>
              <w:rPr>
                <w:sz w:val="20"/>
                <w:szCs w:val="20"/>
                <w:color w:val="auto"/>
              </w:rPr>
            </w:pPr>
            <w:r>
              <w:rPr>
                <w:rFonts w:ascii="Arial" w:cs="Arial" w:eastAsia="Arial" w:hAnsi="Arial"/>
                <w:sz w:val="13"/>
                <w:szCs w:val="13"/>
                <w:b w:val="1"/>
                <w:bCs w:val="1"/>
                <w:color w:val="auto"/>
                <w:w w:val="89"/>
              </w:rPr>
              <w:t>Consolidated</w:t>
            </w:r>
          </w:p>
        </w:tc>
        <w:tc>
          <w:tcPr>
            <w:tcW w:w="1760" w:type="dxa"/>
            <w:vAlign w:val="bottom"/>
          </w:tcPr>
          <w:p>
            <w:pPr>
              <w:jc w:val="center"/>
              <w:spacing w:after="0"/>
              <w:rPr>
                <w:sz w:val="20"/>
                <w:szCs w:val="20"/>
                <w:color w:val="auto"/>
              </w:rPr>
            </w:pPr>
            <w:r>
              <w:rPr>
                <w:rFonts w:ascii="Arial" w:cs="Arial" w:eastAsia="Arial" w:hAnsi="Arial"/>
                <w:sz w:val="13"/>
                <w:szCs w:val="13"/>
                <w:b w:val="1"/>
                <w:bCs w:val="1"/>
                <w:color w:val="auto"/>
                <w:w w:val="93"/>
              </w:rPr>
              <w:t>Equity Method</w:t>
            </w: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and Equit</w:t>
            </w:r>
          </w:p>
        </w:tc>
      </w:tr>
      <w:tr>
        <w:trPr>
          <w:trHeight w:val="196"/>
        </w:trPr>
        <w:tc>
          <w:tcPr>
            <w:tcW w:w="58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jc w:val="center"/>
              <w:ind w:right="129"/>
              <w:spacing w:after="0"/>
              <w:rPr>
                <w:sz w:val="20"/>
                <w:szCs w:val="20"/>
                <w:color w:val="auto"/>
              </w:rPr>
            </w:pPr>
            <w:r>
              <w:rPr>
                <w:rFonts w:ascii="Arial" w:cs="Arial" w:eastAsia="Arial" w:hAnsi="Arial"/>
                <w:sz w:val="13"/>
                <w:szCs w:val="13"/>
                <w:b w:val="1"/>
                <w:bCs w:val="1"/>
                <w:color w:val="auto"/>
                <w:w w:val="87"/>
              </w:rPr>
              <w:t>Subsidiaries</w:t>
            </w:r>
          </w:p>
        </w:tc>
        <w:tc>
          <w:tcPr>
            <w:tcW w:w="1760" w:type="dxa"/>
            <w:vAlign w:val="bottom"/>
          </w:tcPr>
          <w:p>
            <w:pPr>
              <w:jc w:val="center"/>
              <w:spacing w:after="0"/>
              <w:rPr>
                <w:sz w:val="20"/>
                <w:szCs w:val="20"/>
                <w:color w:val="auto"/>
              </w:rPr>
            </w:pPr>
            <w:r>
              <w:rPr>
                <w:rFonts w:ascii="Arial" w:cs="Arial" w:eastAsia="Arial" w:hAnsi="Arial"/>
                <w:sz w:val="13"/>
                <w:szCs w:val="13"/>
                <w:b w:val="1"/>
                <w:bCs w:val="1"/>
                <w:color w:val="auto"/>
                <w:w w:val="84"/>
              </w:rPr>
              <w:t>Investees</w:t>
            </w: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Interests</w:t>
            </w:r>
          </w:p>
        </w:tc>
      </w:tr>
      <w:tr>
        <w:trPr>
          <w:trHeight w:val="23"/>
        </w:trPr>
        <w:tc>
          <w:tcPr>
            <w:tcW w:w="58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65"/>
        </w:trPr>
        <w:tc>
          <w:tcPr>
            <w:tcW w:w="5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60" w:type="dxa"/>
            <w:vAlign w:val="bottom"/>
          </w:tcPr>
          <w:p>
            <w:pPr>
              <w:jc w:val="right"/>
              <w:ind w:right="364"/>
              <w:spacing w:after="0"/>
              <w:rPr>
                <w:sz w:val="20"/>
                <w:szCs w:val="20"/>
                <w:color w:val="auto"/>
              </w:rPr>
            </w:pPr>
            <w:r>
              <w:rPr>
                <w:rFonts w:ascii="Arial" w:cs="Arial" w:eastAsia="Arial" w:hAnsi="Arial"/>
                <w:sz w:val="13"/>
                <w:szCs w:val="13"/>
                <w:i w:val="1"/>
                <w:iCs w:val="1"/>
                <w:color w:val="auto"/>
              </w:rPr>
              <w:t>(millions of dollars)</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14"/>
        </w:trPr>
        <w:tc>
          <w:tcPr>
            <w:tcW w:w="58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Discounted future net cash flows as of December 31, 2011</w:t>
            </w:r>
          </w:p>
        </w:tc>
        <w:tc>
          <w:tcPr>
            <w:tcW w:w="3040" w:type="dxa"/>
            <w:vAlign w:val="bottom"/>
            <w:gridSpan w:val="2"/>
          </w:tcPr>
          <w:p>
            <w:pPr>
              <w:jc w:val="right"/>
              <w:ind w:right="549"/>
              <w:spacing w:after="0"/>
              <w:rPr>
                <w:sz w:val="20"/>
                <w:szCs w:val="20"/>
                <w:color w:val="auto"/>
              </w:rPr>
            </w:pPr>
            <w:r>
              <w:rPr>
                <w:rFonts w:ascii="Arial" w:cs="Arial" w:eastAsia="Arial" w:hAnsi="Arial"/>
                <w:sz w:val="16"/>
                <w:szCs w:val="16"/>
                <w:color w:val="auto"/>
              </w:rPr>
              <w:t>152,244</w:t>
            </w:r>
          </w:p>
        </w:tc>
        <w:tc>
          <w:tcPr>
            <w:tcW w:w="1760" w:type="dxa"/>
            <w:vAlign w:val="bottom"/>
          </w:tcPr>
          <w:p>
            <w:pPr>
              <w:jc w:val="right"/>
              <w:ind w:right="464"/>
              <w:spacing w:after="0"/>
              <w:rPr>
                <w:sz w:val="20"/>
                <w:szCs w:val="20"/>
                <w:color w:val="auto"/>
              </w:rPr>
            </w:pPr>
            <w:r>
              <w:rPr>
                <w:rFonts w:ascii="Arial" w:cs="Arial" w:eastAsia="Arial" w:hAnsi="Arial"/>
                <w:sz w:val="16"/>
                <w:szCs w:val="16"/>
                <w:color w:val="auto"/>
              </w:rPr>
              <w:t>86,560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238,80</w:t>
            </w:r>
          </w:p>
        </w:tc>
      </w:tr>
      <w:tr>
        <w:trPr>
          <w:trHeight w:val="381"/>
        </w:trPr>
        <w:tc>
          <w:tcPr>
            <w:tcW w:w="58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Value of reserves added during the year due to extensions, discoveries,</w:t>
            </w:r>
          </w:p>
        </w:tc>
        <w:tc>
          <w:tcPr>
            <w:tcW w:w="1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5100" w:type="dxa"/>
            <w:vAlign w:val="bottom"/>
          </w:tcPr>
          <w:p>
            <w:pPr>
              <w:ind w:left="240"/>
              <w:spacing w:after="0"/>
              <w:rPr>
                <w:sz w:val="20"/>
                <w:szCs w:val="20"/>
                <w:color w:val="auto"/>
              </w:rPr>
            </w:pPr>
            <w:r>
              <w:rPr>
                <w:rFonts w:ascii="Arial" w:cs="Arial" w:eastAsia="Arial" w:hAnsi="Arial"/>
                <w:sz w:val="16"/>
                <w:szCs w:val="16"/>
                <w:color w:val="auto"/>
              </w:rPr>
              <w:t>improved recovery and net purchases less related costs</w:t>
            </w:r>
          </w:p>
        </w:tc>
        <w:tc>
          <w:tcPr>
            <w:tcW w:w="3040" w:type="dxa"/>
            <w:vAlign w:val="bottom"/>
            <w:gridSpan w:val="2"/>
          </w:tcPr>
          <w:p>
            <w:pPr>
              <w:jc w:val="right"/>
              <w:ind w:right="549"/>
              <w:spacing w:after="0"/>
              <w:rPr>
                <w:sz w:val="20"/>
                <w:szCs w:val="20"/>
                <w:color w:val="auto"/>
              </w:rPr>
            </w:pPr>
            <w:r>
              <w:rPr>
                <w:rFonts w:ascii="Arial" w:cs="Arial" w:eastAsia="Arial" w:hAnsi="Arial"/>
                <w:sz w:val="16"/>
                <w:szCs w:val="16"/>
                <w:color w:val="auto"/>
              </w:rPr>
              <w:t>7,952</w:t>
            </w:r>
          </w:p>
        </w:tc>
        <w:tc>
          <w:tcPr>
            <w:tcW w:w="1760" w:type="dxa"/>
            <w:vAlign w:val="bottom"/>
          </w:tcPr>
          <w:p>
            <w:pPr>
              <w:jc w:val="right"/>
              <w:ind w:right="464"/>
              <w:spacing w:after="0"/>
              <w:rPr>
                <w:sz w:val="20"/>
                <w:szCs w:val="20"/>
                <w:color w:val="auto"/>
              </w:rPr>
            </w:pPr>
            <w:r>
              <w:rPr>
                <w:rFonts w:ascii="Arial" w:cs="Arial" w:eastAsia="Arial" w:hAnsi="Arial"/>
                <w:sz w:val="16"/>
                <w:szCs w:val="16"/>
                <w:color w:val="auto"/>
              </w:rPr>
              <w:t>531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8,48</w:t>
            </w:r>
          </w:p>
        </w:tc>
      </w:tr>
      <w:tr>
        <w:trPr>
          <w:trHeight w:val="196"/>
        </w:trPr>
        <w:tc>
          <w:tcPr>
            <w:tcW w:w="58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Changes in value of previous-year reserves due to:</w:t>
            </w: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100" w:type="dxa"/>
            <w:vAlign w:val="bottom"/>
          </w:tcPr>
          <w:p>
            <w:pPr>
              <w:ind w:left="240"/>
              <w:spacing w:after="0"/>
              <w:rPr>
                <w:sz w:val="20"/>
                <w:szCs w:val="20"/>
                <w:color w:val="auto"/>
              </w:rPr>
            </w:pPr>
            <w:r>
              <w:rPr>
                <w:rFonts w:ascii="Arial" w:cs="Arial" w:eastAsia="Arial" w:hAnsi="Arial"/>
                <w:sz w:val="16"/>
                <w:szCs w:val="16"/>
                <w:color w:val="auto"/>
              </w:rPr>
              <w:t>Sales and transfers of oil and gas produced during the year, net of</w:t>
            </w: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100" w:type="dxa"/>
            <w:vAlign w:val="bottom"/>
          </w:tcPr>
          <w:p>
            <w:pPr>
              <w:ind w:left="480"/>
              <w:spacing w:after="0"/>
              <w:rPr>
                <w:sz w:val="20"/>
                <w:szCs w:val="20"/>
                <w:color w:val="auto"/>
              </w:rPr>
            </w:pPr>
            <w:r>
              <w:rPr>
                <w:rFonts w:ascii="Arial" w:cs="Arial" w:eastAsia="Arial" w:hAnsi="Arial"/>
                <w:sz w:val="16"/>
                <w:szCs w:val="16"/>
                <w:color w:val="auto"/>
              </w:rPr>
              <w:t>production (lifting) costs</w:t>
            </w:r>
          </w:p>
        </w:tc>
        <w:tc>
          <w:tcPr>
            <w:tcW w:w="3040" w:type="dxa"/>
            <w:vAlign w:val="bottom"/>
            <w:gridSpan w:val="2"/>
          </w:tcPr>
          <w:p>
            <w:pPr>
              <w:jc w:val="right"/>
              <w:ind w:right="489"/>
              <w:spacing w:after="0"/>
              <w:rPr>
                <w:sz w:val="20"/>
                <w:szCs w:val="20"/>
                <w:color w:val="auto"/>
              </w:rPr>
            </w:pPr>
            <w:r>
              <w:rPr>
                <w:rFonts w:ascii="Arial" w:cs="Arial" w:eastAsia="Arial" w:hAnsi="Arial"/>
                <w:sz w:val="16"/>
                <w:szCs w:val="16"/>
                <w:color w:val="auto"/>
              </w:rPr>
              <w:t>(51,752)</w:t>
            </w:r>
          </w:p>
        </w:tc>
        <w:tc>
          <w:tcPr>
            <w:tcW w:w="1760" w:type="dxa"/>
            <w:vAlign w:val="bottom"/>
          </w:tcPr>
          <w:p>
            <w:pPr>
              <w:jc w:val="right"/>
              <w:ind w:right="404"/>
              <w:spacing w:after="0"/>
              <w:rPr>
                <w:sz w:val="20"/>
                <w:szCs w:val="20"/>
                <w:color w:val="auto"/>
              </w:rPr>
            </w:pPr>
            <w:r>
              <w:rPr>
                <w:rFonts w:ascii="Arial" w:cs="Arial" w:eastAsia="Arial" w:hAnsi="Arial"/>
                <w:sz w:val="16"/>
                <w:szCs w:val="16"/>
                <w:color w:val="auto"/>
              </w:rPr>
              <w:t>(23,022)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(74,77</w:t>
            </w:r>
          </w:p>
        </w:tc>
      </w:tr>
      <w:tr>
        <w:trPr>
          <w:trHeight w:val="196"/>
        </w:trPr>
        <w:tc>
          <w:tcPr>
            <w:tcW w:w="580" w:type="dxa"/>
            <w:vAlign w:val="bottom"/>
          </w:tcPr>
          <w:p>
            <w:pPr>
              <w:spacing w:after="0"/>
              <w:rPr>
                <w:sz w:val="17"/>
                <w:szCs w:val="17"/>
                <w:color w:val="auto"/>
              </w:rPr>
            </w:pPr>
          </w:p>
        </w:tc>
        <w:tc>
          <w:tcPr>
            <w:tcW w:w="5100" w:type="dxa"/>
            <w:vAlign w:val="bottom"/>
          </w:tcPr>
          <w:p>
            <w:pPr>
              <w:ind w:left="240"/>
              <w:spacing w:after="0"/>
              <w:rPr>
                <w:sz w:val="20"/>
                <w:szCs w:val="20"/>
                <w:color w:val="auto"/>
              </w:rPr>
            </w:pPr>
            <w:r>
              <w:rPr>
                <w:rFonts w:ascii="Arial" w:cs="Arial" w:eastAsia="Arial" w:hAnsi="Arial"/>
                <w:sz w:val="16"/>
                <w:szCs w:val="16"/>
                <w:color w:val="auto"/>
              </w:rPr>
              <w:t>Development costs incurred during the year</w:t>
            </w:r>
          </w:p>
        </w:tc>
        <w:tc>
          <w:tcPr>
            <w:tcW w:w="3040" w:type="dxa"/>
            <w:vAlign w:val="bottom"/>
            <w:gridSpan w:val="2"/>
          </w:tcPr>
          <w:p>
            <w:pPr>
              <w:jc w:val="right"/>
              <w:ind w:right="549"/>
              <w:spacing w:after="0"/>
              <w:rPr>
                <w:sz w:val="20"/>
                <w:szCs w:val="20"/>
                <w:color w:val="auto"/>
              </w:rPr>
            </w:pPr>
            <w:r>
              <w:rPr>
                <w:rFonts w:ascii="Arial" w:cs="Arial" w:eastAsia="Arial" w:hAnsi="Arial"/>
                <w:sz w:val="16"/>
                <w:szCs w:val="16"/>
                <w:color w:val="auto"/>
              </w:rPr>
              <w:t>24,596</w:t>
            </w:r>
          </w:p>
        </w:tc>
        <w:tc>
          <w:tcPr>
            <w:tcW w:w="1760" w:type="dxa"/>
            <w:vAlign w:val="bottom"/>
          </w:tcPr>
          <w:p>
            <w:pPr>
              <w:jc w:val="right"/>
              <w:ind w:right="464"/>
              <w:spacing w:after="0"/>
              <w:rPr>
                <w:sz w:val="20"/>
                <w:szCs w:val="20"/>
                <w:color w:val="auto"/>
              </w:rPr>
            </w:pPr>
            <w:r>
              <w:rPr>
                <w:rFonts w:ascii="Arial" w:cs="Arial" w:eastAsia="Arial" w:hAnsi="Arial"/>
                <w:sz w:val="16"/>
                <w:szCs w:val="16"/>
                <w:color w:val="auto"/>
              </w:rPr>
              <w:t>1,186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25,78</w:t>
            </w:r>
          </w:p>
        </w:tc>
      </w:tr>
      <w:tr>
        <w:trPr>
          <w:trHeight w:val="196"/>
        </w:trPr>
        <w:tc>
          <w:tcPr>
            <w:tcW w:w="580" w:type="dxa"/>
            <w:vAlign w:val="bottom"/>
          </w:tcPr>
          <w:p>
            <w:pPr>
              <w:spacing w:after="0"/>
              <w:rPr>
                <w:sz w:val="17"/>
                <w:szCs w:val="17"/>
                <w:color w:val="auto"/>
              </w:rPr>
            </w:pPr>
          </w:p>
        </w:tc>
        <w:tc>
          <w:tcPr>
            <w:tcW w:w="5100" w:type="dxa"/>
            <w:vAlign w:val="bottom"/>
          </w:tcPr>
          <w:p>
            <w:pPr>
              <w:ind w:left="240"/>
              <w:spacing w:after="0"/>
              <w:rPr>
                <w:sz w:val="20"/>
                <w:szCs w:val="20"/>
                <w:color w:val="auto"/>
              </w:rPr>
            </w:pPr>
            <w:r>
              <w:rPr>
                <w:rFonts w:ascii="Arial" w:cs="Arial" w:eastAsia="Arial" w:hAnsi="Arial"/>
                <w:sz w:val="16"/>
                <w:szCs w:val="16"/>
                <w:color w:val="auto"/>
              </w:rPr>
              <w:t>Net change in prices, lifting and development costs</w:t>
            </w:r>
          </w:p>
        </w:tc>
        <w:tc>
          <w:tcPr>
            <w:tcW w:w="3040" w:type="dxa"/>
            <w:vAlign w:val="bottom"/>
            <w:gridSpan w:val="2"/>
          </w:tcPr>
          <w:p>
            <w:pPr>
              <w:jc w:val="right"/>
              <w:ind w:right="489"/>
              <w:spacing w:after="0"/>
              <w:rPr>
                <w:sz w:val="20"/>
                <w:szCs w:val="20"/>
                <w:color w:val="auto"/>
              </w:rPr>
            </w:pPr>
            <w:r>
              <w:rPr>
                <w:rFonts w:ascii="Arial" w:cs="Arial" w:eastAsia="Arial" w:hAnsi="Arial"/>
                <w:sz w:val="16"/>
                <w:szCs w:val="16"/>
                <w:color w:val="auto"/>
              </w:rPr>
              <w:t>(31,382)</w:t>
            </w:r>
          </w:p>
        </w:tc>
        <w:tc>
          <w:tcPr>
            <w:tcW w:w="1760" w:type="dxa"/>
            <w:vAlign w:val="bottom"/>
          </w:tcPr>
          <w:p>
            <w:pPr>
              <w:jc w:val="right"/>
              <w:ind w:right="464"/>
              <w:spacing w:after="0"/>
              <w:rPr>
                <w:sz w:val="20"/>
                <w:szCs w:val="20"/>
                <w:color w:val="auto"/>
              </w:rPr>
            </w:pPr>
            <w:r>
              <w:rPr>
                <w:rFonts w:ascii="Arial" w:cs="Arial" w:eastAsia="Arial" w:hAnsi="Arial"/>
                <w:sz w:val="16"/>
                <w:szCs w:val="16"/>
                <w:color w:val="auto"/>
              </w:rPr>
              <w:t>5,656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(25,72</w:t>
            </w:r>
          </w:p>
        </w:tc>
      </w:tr>
      <w:tr>
        <w:trPr>
          <w:trHeight w:val="196"/>
        </w:trPr>
        <w:tc>
          <w:tcPr>
            <w:tcW w:w="580" w:type="dxa"/>
            <w:vAlign w:val="bottom"/>
          </w:tcPr>
          <w:p>
            <w:pPr>
              <w:spacing w:after="0"/>
              <w:rPr>
                <w:sz w:val="17"/>
                <w:szCs w:val="17"/>
                <w:color w:val="auto"/>
              </w:rPr>
            </w:pPr>
          </w:p>
        </w:tc>
        <w:tc>
          <w:tcPr>
            <w:tcW w:w="5100" w:type="dxa"/>
            <w:vAlign w:val="bottom"/>
          </w:tcPr>
          <w:p>
            <w:pPr>
              <w:ind w:left="240"/>
              <w:spacing w:after="0"/>
              <w:rPr>
                <w:sz w:val="20"/>
                <w:szCs w:val="20"/>
                <w:color w:val="auto"/>
              </w:rPr>
            </w:pPr>
            <w:r>
              <w:rPr>
                <w:rFonts w:ascii="Arial" w:cs="Arial" w:eastAsia="Arial" w:hAnsi="Arial"/>
                <w:sz w:val="16"/>
                <w:szCs w:val="16"/>
                <w:color w:val="auto"/>
              </w:rPr>
              <w:t>Revisions of previous reserves estimates</w:t>
            </w:r>
          </w:p>
        </w:tc>
        <w:tc>
          <w:tcPr>
            <w:tcW w:w="3040" w:type="dxa"/>
            <w:vAlign w:val="bottom"/>
            <w:gridSpan w:val="2"/>
          </w:tcPr>
          <w:p>
            <w:pPr>
              <w:jc w:val="right"/>
              <w:ind w:right="549"/>
              <w:spacing w:after="0"/>
              <w:rPr>
                <w:sz w:val="20"/>
                <w:szCs w:val="20"/>
                <w:color w:val="auto"/>
              </w:rPr>
            </w:pPr>
            <w:r>
              <w:rPr>
                <w:rFonts w:ascii="Arial" w:cs="Arial" w:eastAsia="Arial" w:hAnsi="Arial"/>
                <w:sz w:val="16"/>
                <w:szCs w:val="16"/>
                <w:color w:val="auto"/>
              </w:rPr>
              <w:t>3,876</w:t>
            </w:r>
          </w:p>
        </w:tc>
        <w:tc>
          <w:tcPr>
            <w:tcW w:w="1760" w:type="dxa"/>
            <w:vAlign w:val="bottom"/>
          </w:tcPr>
          <w:p>
            <w:pPr>
              <w:jc w:val="right"/>
              <w:ind w:right="464"/>
              <w:spacing w:after="0"/>
              <w:rPr>
                <w:sz w:val="20"/>
                <w:szCs w:val="20"/>
                <w:color w:val="auto"/>
              </w:rPr>
            </w:pPr>
            <w:r>
              <w:rPr>
                <w:rFonts w:ascii="Arial" w:cs="Arial" w:eastAsia="Arial" w:hAnsi="Arial"/>
                <w:sz w:val="16"/>
                <w:szCs w:val="16"/>
                <w:color w:val="auto"/>
              </w:rPr>
              <w:t>7,018</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10,89</w:t>
            </w:r>
          </w:p>
        </w:tc>
      </w:tr>
      <w:tr>
        <w:trPr>
          <w:trHeight w:val="196"/>
        </w:trPr>
        <w:tc>
          <w:tcPr>
            <w:tcW w:w="580" w:type="dxa"/>
            <w:vAlign w:val="bottom"/>
          </w:tcPr>
          <w:p>
            <w:pPr>
              <w:spacing w:after="0"/>
              <w:rPr>
                <w:sz w:val="17"/>
                <w:szCs w:val="17"/>
                <w:color w:val="auto"/>
              </w:rPr>
            </w:pPr>
          </w:p>
        </w:tc>
        <w:tc>
          <w:tcPr>
            <w:tcW w:w="5100" w:type="dxa"/>
            <w:vAlign w:val="bottom"/>
          </w:tcPr>
          <w:p>
            <w:pPr>
              <w:ind w:left="240"/>
              <w:spacing w:after="0"/>
              <w:rPr>
                <w:sz w:val="20"/>
                <w:szCs w:val="20"/>
                <w:color w:val="auto"/>
              </w:rPr>
            </w:pPr>
            <w:r>
              <w:rPr>
                <w:rFonts w:ascii="Arial" w:cs="Arial" w:eastAsia="Arial" w:hAnsi="Arial"/>
                <w:sz w:val="16"/>
                <w:szCs w:val="16"/>
                <w:color w:val="auto"/>
              </w:rPr>
              <w:t>Accretion of discount</w:t>
            </w:r>
          </w:p>
        </w:tc>
        <w:tc>
          <w:tcPr>
            <w:tcW w:w="3040" w:type="dxa"/>
            <w:vAlign w:val="bottom"/>
            <w:gridSpan w:val="2"/>
          </w:tcPr>
          <w:p>
            <w:pPr>
              <w:jc w:val="right"/>
              <w:ind w:right="549"/>
              <w:spacing w:after="0"/>
              <w:rPr>
                <w:sz w:val="20"/>
                <w:szCs w:val="20"/>
                <w:color w:val="auto"/>
              </w:rPr>
            </w:pPr>
            <w:r>
              <w:rPr>
                <w:rFonts w:ascii="Arial" w:cs="Arial" w:eastAsia="Arial" w:hAnsi="Arial"/>
                <w:sz w:val="16"/>
                <w:szCs w:val="16"/>
                <w:color w:val="auto"/>
              </w:rPr>
              <w:t>19,676</w:t>
            </w:r>
          </w:p>
        </w:tc>
        <w:tc>
          <w:tcPr>
            <w:tcW w:w="1760" w:type="dxa"/>
            <w:vAlign w:val="bottom"/>
          </w:tcPr>
          <w:p>
            <w:pPr>
              <w:jc w:val="right"/>
              <w:ind w:right="464"/>
              <w:spacing w:after="0"/>
              <w:rPr>
                <w:sz w:val="20"/>
                <w:szCs w:val="20"/>
                <w:color w:val="auto"/>
              </w:rPr>
            </w:pPr>
            <w:r>
              <w:rPr>
                <w:rFonts w:ascii="Arial" w:cs="Arial" w:eastAsia="Arial" w:hAnsi="Arial"/>
                <w:sz w:val="16"/>
                <w:szCs w:val="16"/>
                <w:color w:val="auto"/>
              </w:rPr>
              <w:t>8,846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28,52</w:t>
            </w:r>
          </w:p>
        </w:tc>
      </w:tr>
      <w:tr>
        <w:trPr>
          <w:trHeight w:val="208"/>
        </w:trPr>
        <w:tc>
          <w:tcPr>
            <w:tcW w:w="5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Net change in income taxes</w:t>
            </w:r>
          </w:p>
        </w:tc>
        <w:tc>
          <w:tcPr>
            <w:tcW w:w="3040" w:type="dxa"/>
            <w:vAlign w:val="bottom"/>
            <w:gridSpan w:val="2"/>
          </w:tcPr>
          <w:p>
            <w:pPr>
              <w:jc w:val="right"/>
              <w:ind w:right="549"/>
              <w:spacing w:after="0"/>
              <w:rPr>
                <w:sz w:val="20"/>
                <w:szCs w:val="20"/>
                <w:color w:val="auto"/>
              </w:rPr>
            </w:pPr>
            <w:r>
              <w:rPr>
                <w:rFonts w:ascii="Arial" w:cs="Arial" w:eastAsia="Arial" w:hAnsi="Arial"/>
                <w:sz w:val="16"/>
                <w:szCs w:val="16"/>
                <w:color w:val="auto"/>
              </w:rPr>
              <w:t>12,339</w:t>
            </w:r>
          </w:p>
        </w:tc>
        <w:tc>
          <w:tcPr>
            <w:tcW w:w="1760" w:type="dxa"/>
            <w:vAlign w:val="bottom"/>
          </w:tcPr>
          <w:p>
            <w:pPr>
              <w:jc w:val="right"/>
              <w:ind w:right="464"/>
              <w:spacing w:after="0"/>
              <w:rPr>
                <w:sz w:val="20"/>
                <w:szCs w:val="20"/>
                <w:color w:val="auto"/>
              </w:rPr>
            </w:pPr>
            <w:r>
              <w:rPr>
                <w:rFonts w:ascii="Arial" w:cs="Arial" w:eastAsia="Arial" w:hAnsi="Arial"/>
                <w:sz w:val="16"/>
                <w:szCs w:val="16"/>
                <w:color w:val="auto"/>
              </w:rPr>
              <w:t>463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12,80</w:t>
            </w:r>
          </w:p>
        </w:tc>
      </w:tr>
      <w:tr>
        <w:trPr>
          <w:trHeight w:val="201"/>
        </w:trPr>
        <w:tc>
          <w:tcPr>
            <w:tcW w:w="580" w:type="dxa"/>
            <w:vAlign w:val="bottom"/>
          </w:tcPr>
          <w:p>
            <w:pPr>
              <w:spacing w:after="0"/>
              <w:rPr>
                <w:sz w:val="17"/>
                <w:szCs w:val="17"/>
                <w:color w:val="auto"/>
              </w:rPr>
            </w:pPr>
          </w:p>
        </w:tc>
        <w:tc>
          <w:tcPr>
            <w:tcW w:w="5100" w:type="dxa"/>
            <w:vAlign w:val="bottom"/>
          </w:tcPr>
          <w:p>
            <w:pPr>
              <w:ind w:left="480"/>
              <w:spacing w:after="0"/>
              <w:rPr>
                <w:sz w:val="20"/>
                <w:szCs w:val="20"/>
                <w:color w:val="auto"/>
              </w:rPr>
            </w:pPr>
            <w:r>
              <w:rPr>
                <w:rFonts w:ascii="Arial" w:cs="Arial" w:eastAsia="Arial" w:hAnsi="Arial"/>
                <w:sz w:val="16"/>
                <w:szCs w:val="16"/>
                <w:color w:val="auto"/>
              </w:rPr>
              <w:t>Total change in the standardized measure during the year</w:t>
            </w:r>
          </w:p>
        </w:tc>
        <w:tc>
          <w:tcPr>
            <w:tcW w:w="1320" w:type="dxa"/>
            <w:vAlign w:val="bottom"/>
          </w:tcPr>
          <w:p>
            <w:pPr>
              <w:spacing w:after="0"/>
              <w:rPr>
                <w:sz w:val="17"/>
                <w:szCs w:val="17"/>
                <w:color w:val="auto"/>
              </w:rPr>
            </w:pPr>
          </w:p>
        </w:tc>
        <w:tc>
          <w:tcPr>
            <w:tcW w:w="1720" w:type="dxa"/>
            <w:vAlign w:val="bottom"/>
            <w:tcBorders>
              <w:top w:val="single" w:sz="8" w:color="auto"/>
            </w:tcBorders>
          </w:tcPr>
          <w:p>
            <w:pPr>
              <w:jc w:val="right"/>
              <w:ind w:right="489"/>
              <w:spacing w:after="0"/>
              <w:rPr>
                <w:sz w:val="20"/>
                <w:szCs w:val="20"/>
                <w:color w:val="auto"/>
              </w:rPr>
            </w:pPr>
            <w:r>
              <w:rPr>
                <w:rFonts w:ascii="Arial" w:cs="Arial" w:eastAsia="Arial" w:hAnsi="Arial"/>
                <w:sz w:val="16"/>
                <w:szCs w:val="16"/>
                <w:color w:val="auto"/>
              </w:rPr>
              <w:t>(14,695)</w:t>
            </w:r>
          </w:p>
        </w:tc>
        <w:tc>
          <w:tcPr>
            <w:tcW w:w="1760" w:type="dxa"/>
            <w:vAlign w:val="bottom"/>
            <w:tcBorders>
              <w:top w:val="single" w:sz="8" w:color="auto"/>
            </w:tcBorders>
          </w:tcPr>
          <w:p>
            <w:pPr>
              <w:jc w:val="right"/>
              <w:ind w:right="464"/>
              <w:spacing w:after="0"/>
              <w:rPr>
                <w:sz w:val="20"/>
                <w:szCs w:val="20"/>
                <w:color w:val="auto"/>
              </w:rPr>
            </w:pPr>
            <w:r>
              <w:rPr>
                <w:rFonts w:ascii="Arial" w:cs="Arial" w:eastAsia="Arial" w:hAnsi="Arial"/>
                <w:sz w:val="16"/>
                <w:szCs w:val="16"/>
                <w:color w:val="auto"/>
              </w:rPr>
              <w:t>678</w:t>
            </w: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(14,01</w:t>
            </w:r>
          </w:p>
        </w:tc>
      </w:tr>
      <w:tr>
        <w:trPr>
          <w:trHeight w:val="380"/>
        </w:trPr>
        <w:tc>
          <w:tcPr>
            <w:tcW w:w="58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Discounted future net cash flows as of December 31, 2012</w:t>
            </w:r>
          </w:p>
        </w:tc>
        <w:tc>
          <w:tcPr>
            <w:tcW w:w="3040" w:type="dxa"/>
            <w:vAlign w:val="bottom"/>
            <w:gridSpan w:val="2"/>
          </w:tcPr>
          <w:p>
            <w:pPr>
              <w:jc w:val="right"/>
              <w:ind w:right="549"/>
              <w:spacing w:after="0"/>
              <w:rPr>
                <w:sz w:val="20"/>
                <w:szCs w:val="20"/>
                <w:color w:val="auto"/>
              </w:rPr>
            </w:pPr>
            <w:r>
              <w:rPr>
                <w:rFonts w:ascii="Arial" w:cs="Arial" w:eastAsia="Arial" w:hAnsi="Arial"/>
                <w:sz w:val="16"/>
                <w:szCs w:val="16"/>
                <w:color w:val="auto"/>
              </w:rPr>
              <w:t>137,549</w:t>
            </w:r>
          </w:p>
        </w:tc>
        <w:tc>
          <w:tcPr>
            <w:tcW w:w="1760" w:type="dxa"/>
            <w:vAlign w:val="bottom"/>
          </w:tcPr>
          <w:p>
            <w:pPr>
              <w:jc w:val="right"/>
              <w:ind w:right="464"/>
              <w:spacing w:after="0"/>
              <w:rPr>
                <w:sz w:val="20"/>
                <w:szCs w:val="20"/>
                <w:color w:val="auto"/>
              </w:rPr>
            </w:pPr>
            <w:r>
              <w:rPr>
                <w:rFonts w:ascii="Arial" w:cs="Arial" w:eastAsia="Arial" w:hAnsi="Arial"/>
                <w:sz w:val="16"/>
                <w:szCs w:val="16"/>
                <w:color w:val="auto"/>
              </w:rPr>
              <w:t>87,238</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224,78</w:t>
            </w:r>
          </w:p>
        </w:tc>
      </w:tr>
      <w:tr>
        <w:trPr>
          <w:trHeight w:val="385"/>
        </w:trPr>
        <w:tc>
          <w:tcPr>
            <w:tcW w:w="580" w:type="dxa"/>
            <w:vAlign w:val="bottom"/>
          </w:tcPr>
          <w:p>
            <w:pPr>
              <w:spacing w:after="0"/>
              <w:rPr>
                <w:sz w:val="24"/>
                <w:szCs w:val="24"/>
                <w:color w:val="auto"/>
              </w:rPr>
            </w:pPr>
          </w:p>
        </w:tc>
        <w:tc>
          <w:tcPr>
            <w:tcW w:w="5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Consolidated and Equity Interests</w:t>
            </w:r>
          </w:p>
        </w:tc>
        <w:tc>
          <w:tcPr>
            <w:tcW w:w="1320" w:type="dxa"/>
            <w:vAlign w:val="bottom"/>
            <w:tcBorders>
              <w:bottom w:val="single" w:sz="8" w:color="auto"/>
            </w:tcBorders>
          </w:tcPr>
          <w:p>
            <w:pPr>
              <w:spacing w:after="0"/>
              <w:rPr>
                <w:sz w:val="24"/>
                <w:szCs w:val="24"/>
                <w:color w:val="auto"/>
              </w:rPr>
            </w:pPr>
          </w:p>
        </w:tc>
        <w:tc>
          <w:tcPr>
            <w:tcW w:w="1720" w:type="dxa"/>
            <w:vAlign w:val="bottom"/>
            <w:tcBorders>
              <w:top w:val="single" w:sz="8" w:color="auto"/>
              <w:bottom w:val="single" w:sz="8" w:color="auto"/>
            </w:tcBorders>
          </w:tcPr>
          <w:p>
            <w:pPr>
              <w:spacing w:after="0"/>
              <w:rPr>
                <w:sz w:val="24"/>
                <w:szCs w:val="24"/>
                <w:color w:val="auto"/>
              </w:rPr>
            </w:pPr>
          </w:p>
        </w:tc>
        <w:tc>
          <w:tcPr>
            <w:tcW w:w="1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2013</w:t>
            </w:r>
          </w:p>
        </w:tc>
        <w:tc>
          <w:tcPr>
            <w:tcW w:w="9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r>
      <w:tr>
        <w:trPr>
          <w:trHeight w:val="166"/>
        </w:trPr>
        <w:tc>
          <w:tcPr>
            <w:tcW w:w="5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w:t>
            </w:r>
          </w:p>
        </w:tc>
      </w:tr>
      <w:tr>
        <w:trPr>
          <w:trHeight w:val="196"/>
        </w:trPr>
        <w:tc>
          <w:tcPr>
            <w:tcW w:w="58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3"/>
                <w:szCs w:val="13"/>
                <w:b w:val="1"/>
                <w:bCs w:val="1"/>
                <w:color w:val="auto"/>
                <w:w w:val="88"/>
              </w:rPr>
              <w:t>Share of</w:t>
            </w: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Consolidat</w:t>
            </w:r>
          </w:p>
        </w:tc>
      </w:tr>
      <w:tr>
        <w:trPr>
          <w:trHeight w:val="196"/>
        </w:trPr>
        <w:tc>
          <w:tcPr>
            <w:tcW w:w="58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jc w:val="center"/>
              <w:ind w:right="149"/>
              <w:spacing w:after="0"/>
              <w:rPr>
                <w:sz w:val="20"/>
                <w:szCs w:val="20"/>
                <w:color w:val="auto"/>
              </w:rPr>
            </w:pPr>
            <w:r>
              <w:rPr>
                <w:rFonts w:ascii="Arial" w:cs="Arial" w:eastAsia="Arial" w:hAnsi="Arial"/>
                <w:sz w:val="13"/>
                <w:szCs w:val="13"/>
                <w:b w:val="1"/>
                <w:bCs w:val="1"/>
                <w:color w:val="auto"/>
                <w:w w:val="89"/>
              </w:rPr>
              <w:t>Consolidated</w:t>
            </w:r>
          </w:p>
        </w:tc>
        <w:tc>
          <w:tcPr>
            <w:tcW w:w="1760" w:type="dxa"/>
            <w:vAlign w:val="bottom"/>
          </w:tcPr>
          <w:p>
            <w:pPr>
              <w:jc w:val="center"/>
              <w:spacing w:after="0"/>
              <w:rPr>
                <w:sz w:val="20"/>
                <w:szCs w:val="20"/>
                <w:color w:val="auto"/>
              </w:rPr>
            </w:pPr>
            <w:r>
              <w:rPr>
                <w:rFonts w:ascii="Arial" w:cs="Arial" w:eastAsia="Arial" w:hAnsi="Arial"/>
                <w:sz w:val="13"/>
                <w:szCs w:val="13"/>
                <w:b w:val="1"/>
                <w:bCs w:val="1"/>
                <w:color w:val="auto"/>
                <w:w w:val="93"/>
              </w:rPr>
              <w:t>Equity Method</w:t>
            </w: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and Equit</w:t>
            </w:r>
          </w:p>
        </w:tc>
      </w:tr>
      <w:tr>
        <w:trPr>
          <w:trHeight w:val="196"/>
        </w:trPr>
        <w:tc>
          <w:tcPr>
            <w:tcW w:w="58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jc w:val="center"/>
              <w:ind w:right="129"/>
              <w:spacing w:after="0"/>
              <w:rPr>
                <w:sz w:val="20"/>
                <w:szCs w:val="20"/>
                <w:color w:val="auto"/>
              </w:rPr>
            </w:pPr>
            <w:r>
              <w:rPr>
                <w:rFonts w:ascii="Arial" w:cs="Arial" w:eastAsia="Arial" w:hAnsi="Arial"/>
                <w:sz w:val="13"/>
                <w:szCs w:val="13"/>
                <w:b w:val="1"/>
                <w:bCs w:val="1"/>
                <w:color w:val="auto"/>
                <w:w w:val="87"/>
              </w:rPr>
              <w:t>Subsidiaries</w:t>
            </w:r>
          </w:p>
        </w:tc>
        <w:tc>
          <w:tcPr>
            <w:tcW w:w="1760" w:type="dxa"/>
            <w:vAlign w:val="bottom"/>
          </w:tcPr>
          <w:p>
            <w:pPr>
              <w:jc w:val="center"/>
              <w:spacing w:after="0"/>
              <w:rPr>
                <w:sz w:val="20"/>
                <w:szCs w:val="20"/>
                <w:color w:val="auto"/>
              </w:rPr>
            </w:pPr>
            <w:r>
              <w:rPr>
                <w:rFonts w:ascii="Arial" w:cs="Arial" w:eastAsia="Arial" w:hAnsi="Arial"/>
                <w:sz w:val="13"/>
                <w:szCs w:val="13"/>
                <w:b w:val="1"/>
                <w:bCs w:val="1"/>
                <w:color w:val="auto"/>
                <w:w w:val="84"/>
              </w:rPr>
              <w:t>Investees</w:t>
            </w: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Interests</w:t>
            </w:r>
          </w:p>
        </w:tc>
      </w:tr>
      <w:tr>
        <w:trPr>
          <w:trHeight w:val="23"/>
        </w:trPr>
        <w:tc>
          <w:tcPr>
            <w:tcW w:w="58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65"/>
        </w:trPr>
        <w:tc>
          <w:tcPr>
            <w:tcW w:w="5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60" w:type="dxa"/>
            <w:vAlign w:val="bottom"/>
          </w:tcPr>
          <w:p>
            <w:pPr>
              <w:jc w:val="right"/>
              <w:ind w:right="364"/>
              <w:spacing w:after="0"/>
              <w:rPr>
                <w:sz w:val="20"/>
                <w:szCs w:val="20"/>
                <w:color w:val="auto"/>
              </w:rPr>
            </w:pPr>
            <w:r>
              <w:rPr>
                <w:rFonts w:ascii="Arial" w:cs="Arial" w:eastAsia="Arial" w:hAnsi="Arial"/>
                <w:sz w:val="13"/>
                <w:szCs w:val="13"/>
                <w:i w:val="1"/>
                <w:iCs w:val="1"/>
                <w:color w:val="auto"/>
              </w:rPr>
              <w:t>(millions of dollars)</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14"/>
        </w:trPr>
        <w:tc>
          <w:tcPr>
            <w:tcW w:w="58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Discounted future net cash flows as of December 31, 2012</w:t>
            </w:r>
          </w:p>
        </w:tc>
        <w:tc>
          <w:tcPr>
            <w:tcW w:w="3040" w:type="dxa"/>
            <w:vAlign w:val="bottom"/>
            <w:gridSpan w:val="2"/>
          </w:tcPr>
          <w:p>
            <w:pPr>
              <w:jc w:val="right"/>
              <w:ind w:right="549"/>
              <w:spacing w:after="0"/>
              <w:rPr>
                <w:sz w:val="20"/>
                <w:szCs w:val="20"/>
                <w:color w:val="auto"/>
              </w:rPr>
            </w:pPr>
            <w:r>
              <w:rPr>
                <w:rFonts w:ascii="Arial" w:cs="Arial" w:eastAsia="Arial" w:hAnsi="Arial"/>
                <w:sz w:val="16"/>
                <w:szCs w:val="16"/>
                <w:color w:val="auto"/>
              </w:rPr>
              <w:t>137,549</w:t>
            </w:r>
          </w:p>
        </w:tc>
        <w:tc>
          <w:tcPr>
            <w:tcW w:w="1760" w:type="dxa"/>
            <w:vAlign w:val="bottom"/>
          </w:tcPr>
          <w:p>
            <w:pPr>
              <w:jc w:val="right"/>
              <w:ind w:right="464"/>
              <w:spacing w:after="0"/>
              <w:rPr>
                <w:sz w:val="20"/>
                <w:szCs w:val="20"/>
                <w:color w:val="auto"/>
              </w:rPr>
            </w:pPr>
            <w:r>
              <w:rPr>
                <w:rFonts w:ascii="Arial" w:cs="Arial" w:eastAsia="Arial" w:hAnsi="Arial"/>
                <w:sz w:val="16"/>
                <w:szCs w:val="16"/>
                <w:color w:val="auto"/>
              </w:rPr>
              <w:t>87,238</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224,78</w:t>
            </w:r>
          </w:p>
        </w:tc>
      </w:tr>
      <w:tr>
        <w:trPr>
          <w:trHeight w:val="381"/>
        </w:trPr>
        <w:tc>
          <w:tcPr>
            <w:tcW w:w="58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Value of reserves added during the year due to extensions, discoveries,</w:t>
            </w:r>
          </w:p>
        </w:tc>
        <w:tc>
          <w:tcPr>
            <w:tcW w:w="1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5100" w:type="dxa"/>
            <w:vAlign w:val="bottom"/>
          </w:tcPr>
          <w:p>
            <w:pPr>
              <w:ind w:left="240"/>
              <w:spacing w:after="0"/>
              <w:rPr>
                <w:sz w:val="20"/>
                <w:szCs w:val="20"/>
                <w:color w:val="auto"/>
              </w:rPr>
            </w:pPr>
            <w:r>
              <w:rPr>
                <w:rFonts w:ascii="Arial" w:cs="Arial" w:eastAsia="Arial" w:hAnsi="Arial"/>
                <w:sz w:val="16"/>
                <w:szCs w:val="16"/>
                <w:color w:val="auto"/>
              </w:rPr>
              <w:t>improved recovery and net purchases less related costs</w:t>
            </w:r>
          </w:p>
        </w:tc>
        <w:tc>
          <w:tcPr>
            <w:tcW w:w="3040" w:type="dxa"/>
            <w:vAlign w:val="bottom"/>
            <w:gridSpan w:val="2"/>
          </w:tcPr>
          <w:p>
            <w:pPr>
              <w:jc w:val="right"/>
              <w:ind w:right="549"/>
              <w:spacing w:after="0"/>
              <w:rPr>
                <w:sz w:val="20"/>
                <w:szCs w:val="20"/>
                <w:color w:val="auto"/>
              </w:rPr>
            </w:pPr>
            <w:r>
              <w:rPr>
                <w:rFonts w:ascii="Arial" w:cs="Arial" w:eastAsia="Arial" w:hAnsi="Arial"/>
                <w:sz w:val="16"/>
                <w:szCs w:val="16"/>
                <w:color w:val="auto"/>
              </w:rPr>
              <w:t>11,928</w:t>
            </w:r>
          </w:p>
        </w:tc>
        <w:tc>
          <w:tcPr>
            <w:tcW w:w="1760" w:type="dxa"/>
            <w:vAlign w:val="bottom"/>
          </w:tcPr>
          <w:p>
            <w:pPr>
              <w:jc w:val="right"/>
              <w:ind w:right="464"/>
              <w:spacing w:after="0"/>
              <w:rPr>
                <w:sz w:val="20"/>
                <w:szCs w:val="20"/>
                <w:color w:val="auto"/>
              </w:rPr>
            </w:pPr>
            <w:r>
              <w:rPr>
                <w:rFonts w:ascii="Arial" w:cs="Arial" w:eastAsia="Arial" w:hAnsi="Arial"/>
                <w:sz w:val="16"/>
                <w:szCs w:val="16"/>
                <w:color w:val="auto"/>
              </w:rPr>
              <w:t>48</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11,97</w:t>
            </w:r>
          </w:p>
        </w:tc>
      </w:tr>
      <w:tr>
        <w:trPr>
          <w:trHeight w:val="196"/>
        </w:trPr>
        <w:tc>
          <w:tcPr>
            <w:tcW w:w="58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Changes in value of previous-year reserves due to:</w:t>
            </w: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100" w:type="dxa"/>
            <w:vAlign w:val="bottom"/>
          </w:tcPr>
          <w:p>
            <w:pPr>
              <w:ind w:left="240"/>
              <w:spacing w:after="0"/>
              <w:rPr>
                <w:sz w:val="20"/>
                <w:szCs w:val="20"/>
                <w:color w:val="auto"/>
              </w:rPr>
            </w:pPr>
            <w:r>
              <w:rPr>
                <w:rFonts w:ascii="Arial" w:cs="Arial" w:eastAsia="Arial" w:hAnsi="Arial"/>
                <w:sz w:val="16"/>
                <w:szCs w:val="16"/>
                <w:color w:val="auto"/>
              </w:rPr>
              <w:t>Sales and transfers of oil and gas produced during the year, net of</w:t>
            </w: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100" w:type="dxa"/>
            <w:vAlign w:val="bottom"/>
          </w:tcPr>
          <w:p>
            <w:pPr>
              <w:ind w:left="480"/>
              <w:spacing w:after="0"/>
              <w:rPr>
                <w:sz w:val="20"/>
                <w:szCs w:val="20"/>
                <w:color w:val="auto"/>
              </w:rPr>
            </w:pPr>
            <w:r>
              <w:rPr>
                <w:rFonts w:ascii="Arial" w:cs="Arial" w:eastAsia="Arial" w:hAnsi="Arial"/>
                <w:sz w:val="16"/>
                <w:szCs w:val="16"/>
                <w:color w:val="auto"/>
              </w:rPr>
              <w:t>production (lifting) costs</w:t>
            </w:r>
          </w:p>
        </w:tc>
        <w:tc>
          <w:tcPr>
            <w:tcW w:w="3040" w:type="dxa"/>
            <w:vAlign w:val="bottom"/>
            <w:gridSpan w:val="2"/>
          </w:tcPr>
          <w:p>
            <w:pPr>
              <w:jc w:val="right"/>
              <w:ind w:right="489"/>
              <w:spacing w:after="0"/>
              <w:rPr>
                <w:sz w:val="20"/>
                <w:szCs w:val="20"/>
                <w:color w:val="auto"/>
              </w:rPr>
            </w:pPr>
            <w:r>
              <w:rPr>
                <w:rFonts w:ascii="Arial" w:cs="Arial" w:eastAsia="Arial" w:hAnsi="Arial"/>
                <w:sz w:val="16"/>
                <w:szCs w:val="16"/>
                <w:color w:val="auto"/>
              </w:rPr>
              <w:t>(48,742)</w:t>
            </w:r>
          </w:p>
        </w:tc>
        <w:tc>
          <w:tcPr>
            <w:tcW w:w="1760" w:type="dxa"/>
            <w:vAlign w:val="bottom"/>
          </w:tcPr>
          <w:p>
            <w:pPr>
              <w:jc w:val="right"/>
              <w:ind w:right="404"/>
              <w:spacing w:after="0"/>
              <w:rPr>
                <w:sz w:val="20"/>
                <w:szCs w:val="20"/>
                <w:color w:val="auto"/>
              </w:rPr>
            </w:pPr>
            <w:r>
              <w:rPr>
                <w:rFonts w:ascii="Arial" w:cs="Arial" w:eastAsia="Arial" w:hAnsi="Arial"/>
                <w:sz w:val="16"/>
                <w:szCs w:val="16"/>
                <w:color w:val="auto"/>
              </w:rPr>
              <w:t>(23,757)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(72,49</w:t>
            </w:r>
          </w:p>
        </w:tc>
      </w:tr>
      <w:tr>
        <w:trPr>
          <w:trHeight w:val="196"/>
        </w:trPr>
        <w:tc>
          <w:tcPr>
            <w:tcW w:w="580" w:type="dxa"/>
            <w:vAlign w:val="bottom"/>
          </w:tcPr>
          <w:p>
            <w:pPr>
              <w:spacing w:after="0"/>
              <w:rPr>
                <w:sz w:val="17"/>
                <w:szCs w:val="17"/>
                <w:color w:val="auto"/>
              </w:rPr>
            </w:pPr>
          </w:p>
        </w:tc>
        <w:tc>
          <w:tcPr>
            <w:tcW w:w="5100" w:type="dxa"/>
            <w:vAlign w:val="bottom"/>
          </w:tcPr>
          <w:p>
            <w:pPr>
              <w:ind w:left="240"/>
              <w:spacing w:after="0"/>
              <w:rPr>
                <w:sz w:val="20"/>
                <w:szCs w:val="20"/>
                <w:color w:val="auto"/>
              </w:rPr>
            </w:pPr>
            <w:r>
              <w:rPr>
                <w:rFonts w:ascii="Arial" w:cs="Arial" w:eastAsia="Arial" w:hAnsi="Arial"/>
                <w:sz w:val="16"/>
                <w:szCs w:val="16"/>
                <w:color w:val="auto"/>
              </w:rPr>
              <w:t>Development costs incurred during the year</w:t>
            </w:r>
          </w:p>
        </w:tc>
        <w:tc>
          <w:tcPr>
            <w:tcW w:w="3040" w:type="dxa"/>
            <w:vAlign w:val="bottom"/>
            <w:gridSpan w:val="2"/>
          </w:tcPr>
          <w:p>
            <w:pPr>
              <w:jc w:val="right"/>
              <w:ind w:right="549"/>
              <w:spacing w:after="0"/>
              <w:rPr>
                <w:sz w:val="20"/>
                <w:szCs w:val="20"/>
                <w:color w:val="auto"/>
              </w:rPr>
            </w:pPr>
            <w:r>
              <w:rPr>
                <w:rFonts w:ascii="Arial" w:cs="Arial" w:eastAsia="Arial" w:hAnsi="Arial"/>
                <w:sz w:val="16"/>
                <w:szCs w:val="16"/>
                <w:color w:val="auto"/>
              </w:rPr>
              <w:t>24,821</w:t>
            </w:r>
          </w:p>
        </w:tc>
        <w:tc>
          <w:tcPr>
            <w:tcW w:w="1760" w:type="dxa"/>
            <w:vAlign w:val="bottom"/>
          </w:tcPr>
          <w:p>
            <w:pPr>
              <w:jc w:val="right"/>
              <w:ind w:right="464"/>
              <w:spacing w:after="0"/>
              <w:rPr>
                <w:sz w:val="20"/>
                <w:szCs w:val="20"/>
                <w:color w:val="auto"/>
              </w:rPr>
            </w:pPr>
            <w:r>
              <w:rPr>
                <w:rFonts w:ascii="Arial" w:cs="Arial" w:eastAsia="Arial" w:hAnsi="Arial"/>
                <w:sz w:val="16"/>
                <w:szCs w:val="16"/>
                <w:color w:val="auto"/>
              </w:rPr>
              <w:t>1,389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26,21</w:t>
            </w:r>
          </w:p>
        </w:tc>
      </w:tr>
      <w:tr>
        <w:trPr>
          <w:trHeight w:val="196"/>
        </w:trPr>
        <w:tc>
          <w:tcPr>
            <w:tcW w:w="580" w:type="dxa"/>
            <w:vAlign w:val="bottom"/>
          </w:tcPr>
          <w:p>
            <w:pPr>
              <w:spacing w:after="0"/>
              <w:rPr>
                <w:sz w:val="17"/>
                <w:szCs w:val="17"/>
                <w:color w:val="auto"/>
              </w:rPr>
            </w:pPr>
          </w:p>
        </w:tc>
        <w:tc>
          <w:tcPr>
            <w:tcW w:w="5100" w:type="dxa"/>
            <w:vAlign w:val="bottom"/>
          </w:tcPr>
          <w:p>
            <w:pPr>
              <w:ind w:left="240"/>
              <w:spacing w:after="0"/>
              <w:rPr>
                <w:sz w:val="20"/>
                <w:szCs w:val="20"/>
                <w:color w:val="auto"/>
              </w:rPr>
            </w:pPr>
            <w:r>
              <w:rPr>
                <w:rFonts w:ascii="Arial" w:cs="Arial" w:eastAsia="Arial" w:hAnsi="Arial"/>
                <w:sz w:val="16"/>
                <w:szCs w:val="16"/>
                <w:color w:val="auto"/>
              </w:rPr>
              <w:t>Net change in prices, lifting and development costs</w:t>
            </w:r>
          </w:p>
        </w:tc>
        <w:tc>
          <w:tcPr>
            <w:tcW w:w="3040" w:type="dxa"/>
            <w:vAlign w:val="bottom"/>
            <w:gridSpan w:val="2"/>
          </w:tcPr>
          <w:p>
            <w:pPr>
              <w:jc w:val="right"/>
              <w:ind w:right="489"/>
              <w:spacing w:after="0"/>
              <w:rPr>
                <w:sz w:val="20"/>
                <w:szCs w:val="20"/>
                <w:color w:val="auto"/>
              </w:rPr>
            </w:pPr>
            <w:r>
              <w:rPr>
                <w:rFonts w:ascii="Arial" w:cs="Arial" w:eastAsia="Arial" w:hAnsi="Arial"/>
                <w:sz w:val="16"/>
                <w:szCs w:val="16"/>
                <w:color w:val="auto"/>
              </w:rPr>
              <w:t>(32,423)</w:t>
            </w:r>
          </w:p>
        </w:tc>
        <w:tc>
          <w:tcPr>
            <w:tcW w:w="1760" w:type="dxa"/>
            <w:vAlign w:val="bottom"/>
          </w:tcPr>
          <w:p>
            <w:pPr>
              <w:jc w:val="right"/>
              <w:ind w:right="404"/>
              <w:spacing w:after="0"/>
              <w:rPr>
                <w:sz w:val="20"/>
                <w:szCs w:val="20"/>
                <w:color w:val="auto"/>
              </w:rPr>
            </w:pPr>
            <w:r>
              <w:rPr>
                <w:rFonts w:ascii="Arial" w:cs="Arial" w:eastAsia="Arial" w:hAnsi="Arial"/>
                <w:sz w:val="16"/>
                <w:szCs w:val="16"/>
                <w:color w:val="auto"/>
              </w:rPr>
              <w:t>(5,296)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(37,71</w:t>
            </w:r>
          </w:p>
        </w:tc>
      </w:tr>
      <w:tr>
        <w:trPr>
          <w:trHeight w:val="196"/>
        </w:trPr>
        <w:tc>
          <w:tcPr>
            <w:tcW w:w="580" w:type="dxa"/>
            <w:vAlign w:val="bottom"/>
          </w:tcPr>
          <w:p>
            <w:pPr>
              <w:spacing w:after="0"/>
              <w:rPr>
                <w:sz w:val="17"/>
                <w:szCs w:val="17"/>
                <w:color w:val="auto"/>
              </w:rPr>
            </w:pPr>
          </w:p>
        </w:tc>
        <w:tc>
          <w:tcPr>
            <w:tcW w:w="5100" w:type="dxa"/>
            <w:vAlign w:val="bottom"/>
          </w:tcPr>
          <w:p>
            <w:pPr>
              <w:ind w:left="240"/>
              <w:spacing w:after="0"/>
              <w:rPr>
                <w:sz w:val="20"/>
                <w:szCs w:val="20"/>
                <w:color w:val="auto"/>
              </w:rPr>
            </w:pPr>
            <w:r>
              <w:rPr>
                <w:rFonts w:ascii="Arial" w:cs="Arial" w:eastAsia="Arial" w:hAnsi="Arial"/>
                <w:sz w:val="16"/>
                <w:szCs w:val="16"/>
                <w:color w:val="auto"/>
              </w:rPr>
              <w:t>Revisions of previous reserves estimates</w:t>
            </w:r>
          </w:p>
        </w:tc>
        <w:tc>
          <w:tcPr>
            <w:tcW w:w="3040" w:type="dxa"/>
            <w:vAlign w:val="bottom"/>
            <w:gridSpan w:val="2"/>
          </w:tcPr>
          <w:p>
            <w:pPr>
              <w:jc w:val="right"/>
              <w:ind w:right="549"/>
              <w:spacing w:after="0"/>
              <w:rPr>
                <w:sz w:val="20"/>
                <w:szCs w:val="20"/>
                <w:color w:val="auto"/>
              </w:rPr>
            </w:pPr>
            <w:r>
              <w:rPr>
                <w:rFonts w:ascii="Arial" w:cs="Arial" w:eastAsia="Arial" w:hAnsi="Arial"/>
                <w:sz w:val="16"/>
                <w:szCs w:val="16"/>
                <w:color w:val="auto"/>
              </w:rPr>
              <w:t>24,353</w:t>
            </w:r>
          </w:p>
        </w:tc>
        <w:tc>
          <w:tcPr>
            <w:tcW w:w="1760" w:type="dxa"/>
            <w:vAlign w:val="bottom"/>
          </w:tcPr>
          <w:p>
            <w:pPr>
              <w:jc w:val="right"/>
              <w:ind w:right="464"/>
              <w:spacing w:after="0"/>
              <w:rPr>
                <w:sz w:val="20"/>
                <w:szCs w:val="20"/>
                <w:color w:val="auto"/>
              </w:rPr>
            </w:pPr>
            <w:r>
              <w:rPr>
                <w:rFonts w:ascii="Arial" w:cs="Arial" w:eastAsia="Arial" w:hAnsi="Arial"/>
                <w:sz w:val="16"/>
                <w:szCs w:val="16"/>
                <w:color w:val="auto"/>
              </w:rPr>
              <w:t>4,960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29,31</w:t>
            </w:r>
          </w:p>
        </w:tc>
      </w:tr>
      <w:tr>
        <w:trPr>
          <w:trHeight w:val="196"/>
        </w:trPr>
        <w:tc>
          <w:tcPr>
            <w:tcW w:w="580" w:type="dxa"/>
            <w:vAlign w:val="bottom"/>
          </w:tcPr>
          <w:p>
            <w:pPr>
              <w:spacing w:after="0"/>
              <w:rPr>
                <w:sz w:val="17"/>
                <w:szCs w:val="17"/>
                <w:color w:val="auto"/>
              </w:rPr>
            </w:pPr>
          </w:p>
        </w:tc>
        <w:tc>
          <w:tcPr>
            <w:tcW w:w="5100" w:type="dxa"/>
            <w:vAlign w:val="bottom"/>
          </w:tcPr>
          <w:p>
            <w:pPr>
              <w:ind w:left="240"/>
              <w:spacing w:after="0"/>
              <w:rPr>
                <w:sz w:val="20"/>
                <w:szCs w:val="20"/>
                <w:color w:val="auto"/>
              </w:rPr>
            </w:pPr>
            <w:r>
              <w:rPr>
                <w:rFonts w:ascii="Arial" w:cs="Arial" w:eastAsia="Arial" w:hAnsi="Arial"/>
                <w:sz w:val="16"/>
                <w:szCs w:val="16"/>
                <w:color w:val="auto"/>
              </w:rPr>
              <w:t>Accretion of discount</w:t>
            </w:r>
          </w:p>
        </w:tc>
        <w:tc>
          <w:tcPr>
            <w:tcW w:w="3040" w:type="dxa"/>
            <w:vAlign w:val="bottom"/>
            <w:gridSpan w:val="2"/>
          </w:tcPr>
          <w:p>
            <w:pPr>
              <w:jc w:val="right"/>
              <w:ind w:right="549"/>
              <w:spacing w:after="0"/>
              <w:rPr>
                <w:sz w:val="20"/>
                <w:szCs w:val="20"/>
                <w:color w:val="auto"/>
              </w:rPr>
            </w:pPr>
            <w:r>
              <w:rPr>
                <w:rFonts w:ascii="Arial" w:cs="Arial" w:eastAsia="Arial" w:hAnsi="Arial"/>
                <w:sz w:val="16"/>
                <w:szCs w:val="16"/>
                <w:color w:val="auto"/>
              </w:rPr>
              <w:t>20,596</w:t>
            </w:r>
          </w:p>
        </w:tc>
        <w:tc>
          <w:tcPr>
            <w:tcW w:w="1760" w:type="dxa"/>
            <w:vAlign w:val="bottom"/>
          </w:tcPr>
          <w:p>
            <w:pPr>
              <w:jc w:val="right"/>
              <w:ind w:right="464"/>
              <w:spacing w:after="0"/>
              <w:rPr>
                <w:sz w:val="20"/>
                <w:szCs w:val="20"/>
                <w:color w:val="auto"/>
              </w:rPr>
            </w:pPr>
            <w:r>
              <w:rPr>
                <w:rFonts w:ascii="Arial" w:cs="Arial" w:eastAsia="Arial" w:hAnsi="Arial"/>
                <w:sz w:val="16"/>
                <w:szCs w:val="16"/>
                <w:color w:val="auto"/>
              </w:rPr>
              <w:t>9,830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30,42</w:t>
            </w:r>
          </w:p>
        </w:tc>
      </w:tr>
      <w:tr>
        <w:trPr>
          <w:trHeight w:val="208"/>
        </w:trPr>
        <w:tc>
          <w:tcPr>
            <w:tcW w:w="5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Net change in income taxes</w:t>
            </w:r>
          </w:p>
        </w:tc>
        <w:tc>
          <w:tcPr>
            <w:tcW w:w="3040" w:type="dxa"/>
            <w:vAlign w:val="bottom"/>
            <w:gridSpan w:val="2"/>
          </w:tcPr>
          <w:p>
            <w:pPr>
              <w:jc w:val="right"/>
              <w:ind w:right="549"/>
              <w:spacing w:after="0"/>
              <w:rPr>
                <w:sz w:val="20"/>
                <w:szCs w:val="20"/>
                <w:color w:val="auto"/>
              </w:rPr>
            </w:pPr>
            <w:r>
              <w:rPr>
                <w:rFonts w:ascii="Arial" w:cs="Arial" w:eastAsia="Arial" w:hAnsi="Arial"/>
                <w:sz w:val="16"/>
                <w:szCs w:val="16"/>
                <w:color w:val="auto"/>
              </w:rPr>
              <w:t>996</w:t>
            </w:r>
          </w:p>
        </w:tc>
        <w:tc>
          <w:tcPr>
            <w:tcW w:w="1760" w:type="dxa"/>
            <w:vAlign w:val="bottom"/>
          </w:tcPr>
          <w:p>
            <w:pPr>
              <w:jc w:val="right"/>
              <w:ind w:right="464"/>
              <w:spacing w:after="0"/>
              <w:rPr>
                <w:sz w:val="20"/>
                <w:szCs w:val="20"/>
                <w:color w:val="auto"/>
              </w:rPr>
            </w:pPr>
            <w:r>
              <w:rPr>
                <w:rFonts w:ascii="Arial" w:cs="Arial" w:eastAsia="Arial" w:hAnsi="Arial"/>
                <w:sz w:val="16"/>
                <w:szCs w:val="16"/>
                <w:color w:val="auto"/>
              </w:rPr>
              <w:t>6,455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7,45</w:t>
            </w:r>
          </w:p>
        </w:tc>
      </w:tr>
      <w:tr>
        <w:trPr>
          <w:trHeight w:val="201"/>
        </w:trPr>
        <w:tc>
          <w:tcPr>
            <w:tcW w:w="580" w:type="dxa"/>
            <w:vAlign w:val="bottom"/>
          </w:tcPr>
          <w:p>
            <w:pPr>
              <w:spacing w:after="0"/>
              <w:rPr>
                <w:sz w:val="17"/>
                <w:szCs w:val="17"/>
                <w:color w:val="auto"/>
              </w:rPr>
            </w:pPr>
          </w:p>
        </w:tc>
        <w:tc>
          <w:tcPr>
            <w:tcW w:w="5100" w:type="dxa"/>
            <w:vAlign w:val="bottom"/>
          </w:tcPr>
          <w:p>
            <w:pPr>
              <w:ind w:left="480"/>
              <w:spacing w:after="0"/>
              <w:rPr>
                <w:sz w:val="20"/>
                <w:szCs w:val="20"/>
                <w:color w:val="auto"/>
              </w:rPr>
            </w:pPr>
            <w:r>
              <w:rPr>
                <w:rFonts w:ascii="Arial" w:cs="Arial" w:eastAsia="Arial" w:hAnsi="Arial"/>
                <w:sz w:val="16"/>
                <w:szCs w:val="16"/>
                <w:color w:val="auto"/>
              </w:rPr>
              <w:t>Total change in the standardized measure during the year</w:t>
            </w:r>
          </w:p>
        </w:tc>
        <w:tc>
          <w:tcPr>
            <w:tcW w:w="1320" w:type="dxa"/>
            <w:vAlign w:val="bottom"/>
          </w:tcPr>
          <w:p>
            <w:pPr>
              <w:spacing w:after="0"/>
              <w:rPr>
                <w:sz w:val="17"/>
                <w:szCs w:val="17"/>
                <w:color w:val="auto"/>
              </w:rPr>
            </w:pPr>
          </w:p>
        </w:tc>
        <w:tc>
          <w:tcPr>
            <w:tcW w:w="1720" w:type="dxa"/>
            <w:vAlign w:val="bottom"/>
            <w:tcBorders>
              <w:top w:val="single" w:sz="8" w:color="auto"/>
            </w:tcBorders>
          </w:tcPr>
          <w:p>
            <w:pPr>
              <w:jc w:val="right"/>
              <w:ind w:right="549"/>
              <w:spacing w:after="0"/>
              <w:rPr>
                <w:sz w:val="20"/>
                <w:szCs w:val="20"/>
                <w:color w:val="auto"/>
              </w:rPr>
            </w:pPr>
            <w:r>
              <w:rPr>
                <w:rFonts w:ascii="Arial" w:cs="Arial" w:eastAsia="Arial" w:hAnsi="Arial"/>
                <w:sz w:val="16"/>
                <w:szCs w:val="16"/>
                <w:color w:val="auto"/>
              </w:rPr>
              <w:t>1,529</w:t>
            </w:r>
          </w:p>
        </w:tc>
        <w:tc>
          <w:tcPr>
            <w:tcW w:w="1760" w:type="dxa"/>
            <w:vAlign w:val="bottom"/>
            <w:tcBorders>
              <w:top w:val="single" w:sz="8" w:color="auto"/>
            </w:tcBorders>
          </w:tcPr>
          <w:p>
            <w:pPr>
              <w:jc w:val="right"/>
              <w:ind w:right="404"/>
              <w:spacing w:after="0"/>
              <w:rPr>
                <w:sz w:val="20"/>
                <w:szCs w:val="20"/>
                <w:color w:val="auto"/>
              </w:rPr>
            </w:pPr>
            <w:r>
              <w:rPr>
                <w:rFonts w:ascii="Arial" w:cs="Arial" w:eastAsia="Arial" w:hAnsi="Arial"/>
                <w:sz w:val="16"/>
                <w:szCs w:val="16"/>
                <w:color w:val="auto"/>
              </w:rPr>
              <w:t>(6,371)</w:t>
            </w: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(4,84</w:t>
            </w:r>
          </w:p>
        </w:tc>
      </w:tr>
      <w:tr>
        <w:trPr>
          <w:trHeight w:val="380"/>
        </w:trPr>
        <w:tc>
          <w:tcPr>
            <w:tcW w:w="58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Discounted future net cash flows as of December 31, 2013</w:t>
            </w:r>
          </w:p>
        </w:tc>
        <w:tc>
          <w:tcPr>
            <w:tcW w:w="3040" w:type="dxa"/>
            <w:vAlign w:val="bottom"/>
            <w:gridSpan w:val="2"/>
          </w:tcPr>
          <w:p>
            <w:pPr>
              <w:jc w:val="right"/>
              <w:ind w:right="549"/>
              <w:spacing w:after="0"/>
              <w:rPr>
                <w:sz w:val="20"/>
                <w:szCs w:val="20"/>
                <w:color w:val="auto"/>
              </w:rPr>
            </w:pPr>
            <w:r>
              <w:rPr>
                <w:rFonts w:ascii="Arial" w:cs="Arial" w:eastAsia="Arial" w:hAnsi="Arial"/>
                <w:sz w:val="16"/>
                <w:szCs w:val="16"/>
                <w:color w:val="auto"/>
              </w:rPr>
              <w:t>139,078</w:t>
            </w:r>
          </w:p>
        </w:tc>
        <w:tc>
          <w:tcPr>
            <w:tcW w:w="1760" w:type="dxa"/>
            <w:vAlign w:val="bottom"/>
          </w:tcPr>
          <w:p>
            <w:pPr>
              <w:jc w:val="right"/>
              <w:ind w:right="464"/>
              <w:spacing w:after="0"/>
              <w:rPr>
                <w:sz w:val="20"/>
                <w:szCs w:val="20"/>
                <w:color w:val="auto"/>
              </w:rPr>
            </w:pPr>
            <w:r>
              <w:rPr>
                <w:rFonts w:ascii="Arial" w:cs="Arial" w:eastAsia="Arial" w:hAnsi="Arial"/>
                <w:sz w:val="16"/>
                <w:szCs w:val="16"/>
                <w:color w:val="auto"/>
              </w:rPr>
              <w:t>80,867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219,94</w:t>
            </w:r>
          </w:p>
        </w:tc>
      </w:tr>
      <w:tr>
        <w:trPr>
          <w:trHeight w:val="213"/>
        </w:trPr>
        <w:tc>
          <w:tcPr>
            <w:tcW w:w="5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320" w:type="dxa"/>
            <w:vAlign w:val="bottom"/>
          </w:tcPr>
          <w:p>
            <w:pPr>
              <w:jc w:val="right"/>
              <w:ind w:right="518"/>
              <w:spacing w:after="0"/>
              <w:rPr>
                <w:sz w:val="20"/>
                <w:szCs w:val="20"/>
                <w:color w:val="auto"/>
              </w:rPr>
            </w:pPr>
            <w:r>
              <w:rPr>
                <w:rFonts w:ascii="Arial" w:cs="Arial" w:eastAsia="Arial" w:hAnsi="Arial"/>
                <w:sz w:val="16"/>
                <w:szCs w:val="16"/>
                <w:color w:val="auto"/>
              </w:rPr>
              <w:t>110</w:t>
            </w:r>
          </w:p>
        </w:tc>
        <w:tc>
          <w:tcPr>
            <w:tcW w:w="17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r>
      <w:tr>
        <w:trPr>
          <w:trHeight w:val="745"/>
        </w:trPr>
        <w:tc>
          <w:tcPr>
            <w:tcW w:w="580" w:type="dxa"/>
            <w:vAlign w:val="bottom"/>
            <w:tcBorders>
              <w:bottom w:val="single" w:sz="8" w:color="808080"/>
            </w:tcBorders>
          </w:tcPr>
          <w:p>
            <w:pPr>
              <w:spacing w:after="0"/>
              <w:rPr>
                <w:sz w:val="24"/>
                <w:szCs w:val="24"/>
                <w:color w:val="auto"/>
              </w:rPr>
            </w:pPr>
          </w:p>
        </w:tc>
        <w:tc>
          <w:tcPr>
            <w:tcW w:w="51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809" w:right="1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12"/>
        </w:trPr>
        <w:tc>
          <w:tcPr>
            <w:tcW w:w="580" w:type="dxa"/>
            <w:vAlign w:val="bottom"/>
          </w:tcPr>
          <w:p>
            <w:pPr>
              <w:spacing w:after="0"/>
              <w:rPr>
                <w:sz w:val="18"/>
                <w:szCs w:val="18"/>
                <w:color w:val="auto"/>
              </w:rPr>
            </w:pPr>
          </w:p>
        </w:tc>
        <w:tc>
          <w:tcPr>
            <w:tcW w:w="8140" w:type="dxa"/>
            <w:vAlign w:val="bottom"/>
            <w:gridSpan w:val="3"/>
          </w:tcPr>
          <w:p>
            <w:pPr>
              <w:spacing w:after="0"/>
              <w:rPr>
                <w:sz w:val="20"/>
                <w:szCs w:val="20"/>
                <w:color w:val="auto"/>
              </w:rPr>
            </w:pPr>
            <w:r>
              <w:rPr>
                <w:rFonts w:ascii="Arial" w:cs="Arial" w:eastAsia="Arial" w:hAnsi="Arial"/>
                <w:sz w:val="16"/>
                <w:szCs w:val="16"/>
                <w:b w:val="1"/>
                <w:bCs w:val="1"/>
                <w:color w:val="auto"/>
                <w:w w:val="94"/>
              </w:rPr>
              <w:t>Change in Standardized Measure of Discounted Future Net Cash Flows Relating to Proved Oil and Gas Reserves</w:t>
            </w:r>
          </w:p>
        </w:tc>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93"/>
        </w:trPr>
        <w:tc>
          <w:tcPr>
            <w:tcW w:w="580" w:type="dxa"/>
            <w:vAlign w:val="bottom"/>
          </w:tcPr>
          <w:p>
            <w:pPr>
              <w:spacing w:after="0"/>
              <w:rPr>
                <w:sz w:val="24"/>
                <w:szCs w:val="24"/>
                <w:color w:val="auto"/>
              </w:rPr>
            </w:pPr>
          </w:p>
        </w:tc>
        <w:tc>
          <w:tcPr>
            <w:tcW w:w="5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Consolidated and Equity Interests (continued)</w:t>
            </w:r>
          </w:p>
        </w:tc>
        <w:tc>
          <w:tcPr>
            <w:tcW w:w="1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2014</w:t>
            </w: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66"/>
        </w:trPr>
        <w:tc>
          <w:tcPr>
            <w:tcW w:w="5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w:t>
            </w:r>
          </w:p>
        </w:tc>
      </w:tr>
      <w:tr>
        <w:trPr>
          <w:trHeight w:val="196"/>
        </w:trPr>
        <w:tc>
          <w:tcPr>
            <w:tcW w:w="58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3"/>
                <w:szCs w:val="13"/>
                <w:b w:val="1"/>
                <w:bCs w:val="1"/>
                <w:color w:val="auto"/>
                <w:w w:val="88"/>
              </w:rPr>
              <w:t>Share of</w:t>
            </w: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Consolidat</w:t>
            </w:r>
          </w:p>
        </w:tc>
      </w:tr>
      <w:tr>
        <w:trPr>
          <w:trHeight w:val="196"/>
        </w:trPr>
        <w:tc>
          <w:tcPr>
            <w:tcW w:w="58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jc w:val="right"/>
              <w:ind w:right="529"/>
              <w:spacing w:after="0"/>
              <w:rPr>
                <w:sz w:val="20"/>
                <w:szCs w:val="20"/>
                <w:color w:val="auto"/>
              </w:rPr>
            </w:pPr>
            <w:r>
              <w:rPr>
                <w:rFonts w:ascii="Arial" w:cs="Arial" w:eastAsia="Arial" w:hAnsi="Arial"/>
                <w:sz w:val="13"/>
                <w:szCs w:val="13"/>
                <w:b w:val="1"/>
                <w:bCs w:val="1"/>
                <w:color w:val="auto"/>
              </w:rPr>
              <w:t>Consolidated</w:t>
            </w:r>
          </w:p>
        </w:tc>
        <w:tc>
          <w:tcPr>
            <w:tcW w:w="1760" w:type="dxa"/>
            <w:vAlign w:val="bottom"/>
          </w:tcPr>
          <w:p>
            <w:pPr>
              <w:jc w:val="center"/>
              <w:spacing w:after="0"/>
              <w:rPr>
                <w:sz w:val="20"/>
                <w:szCs w:val="20"/>
                <w:color w:val="auto"/>
              </w:rPr>
            </w:pPr>
            <w:r>
              <w:rPr>
                <w:rFonts w:ascii="Arial" w:cs="Arial" w:eastAsia="Arial" w:hAnsi="Arial"/>
                <w:sz w:val="13"/>
                <w:szCs w:val="13"/>
                <w:b w:val="1"/>
                <w:bCs w:val="1"/>
                <w:color w:val="auto"/>
                <w:w w:val="93"/>
              </w:rPr>
              <w:t>Equity Method</w:t>
            </w: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and Equit</w:t>
            </w:r>
          </w:p>
        </w:tc>
      </w:tr>
      <w:tr>
        <w:trPr>
          <w:trHeight w:val="196"/>
        </w:trPr>
        <w:tc>
          <w:tcPr>
            <w:tcW w:w="58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jc w:val="right"/>
              <w:ind w:right="549"/>
              <w:spacing w:after="0"/>
              <w:rPr>
                <w:sz w:val="20"/>
                <w:szCs w:val="20"/>
                <w:color w:val="auto"/>
              </w:rPr>
            </w:pPr>
            <w:r>
              <w:rPr>
                <w:rFonts w:ascii="Arial" w:cs="Arial" w:eastAsia="Arial" w:hAnsi="Arial"/>
                <w:sz w:val="13"/>
                <w:szCs w:val="13"/>
                <w:b w:val="1"/>
                <w:bCs w:val="1"/>
                <w:color w:val="auto"/>
              </w:rPr>
              <w:t>Subsidiaries</w:t>
            </w:r>
          </w:p>
        </w:tc>
        <w:tc>
          <w:tcPr>
            <w:tcW w:w="1760" w:type="dxa"/>
            <w:vAlign w:val="bottom"/>
          </w:tcPr>
          <w:p>
            <w:pPr>
              <w:jc w:val="center"/>
              <w:spacing w:after="0"/>
              <w:rPr>
                <w:sz w:val="20"/>
                <w:szCs w:val="20"/>
                <w:color w:val="auto"/>
              </w:rPr>
            </w:pPr>
            <w:r>
              <w:rPr>
                <w:rFonts w:ascii="Arial" w:cs="Arial" w:eastAsia="Arial" w:hAnsi="Arial"/>
                <w:sz w:val="13"/>
                <w:szCs w:val="13"/>
                <w:b w:val="1"/>
                <w:bCs w:val="1"/>
                <w:color w:val="auto"/>
                <w:w w:val="84"/>
              </w:rPr>
              <w:t>Investees</w:t>
            </w: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Interests</w:t>
            </w:r>
          </w:p>
        </w:tc>
      </w:tr>
      <w:tr>
        <w:trPr>
          <w:trHeight w:val="23"/>
        </w:trPr>
        <w:tc>
          <w:tcPr>
            <w:tcW w:w="58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65"/>
        </w:trPr>
        <w:tc>
          <w:tcPr>
            <w:tcW w:w="5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60" w:type="dxa"/>
            <w:vAlign w:val="bottom"/>
          </w:tcPr>
          <w:p>
            <w:pPr>
              <w:jc w:val="right"/>
              <w:ind w:right="364"/>
              <w:spacing w:after="0"/>
              <w:rPr>
                <w:sz w:val="20"/>
                <w:szCs w:val="20"/>
                <w:color w:val="auto"/>
              </w:rPr>
            </w:pPr>
            <w:r>
              <w:rPr>
                <w:rFonts w:ascii="Arial" w:cs="Arial" w:eastAsia="Arial" w:hAnsi="Arial"/>
                <w:sz w:val="13"/>
                <w:szCs w:val="13"/>
                <w:i w:val="1"/>
                <w:iCs w:val="1"/>
                <w:color w:val="auto"/>
              </w:rPr>
              <w:t>(millions of dollars)</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14"/>
        </w:trPr>
        <w:tc>
          <w:tcPr>
            <w:tcW w:w="58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Discounted future net cash flows as of December 31, 2013</w:t>
            </w:r>
          </w:p>
        </w:tc>
        <w:tc>
          <w:tcPr>
            <w:tcW w:w="3040" w:type="dxa"/>
            <w:vAlign w:val="bottom"/>
            <w:gridSpan w:val="2"/>
          </w:tcPr>
          <w:p>
            <w:pPr>
              <w:jc w:val="right"/>
              <w:ind w:right="549"/>
              <w:spacing w:after="0"/>
              <w:rPr>
                <w:sz w:val="20"/>
                <w:szCs w:val="20"/>
                <w:color w:val="auto"/>
              </w:rPr>
            </w:pPr>
            <w:r>
              <w:rPr>
                <w:rFonts w:ascii="Arial" w:cs="Arial" w:eastAsia="Arial" w:hAnsi="Arial"/>
                <w:sz w:val="16"/>
                <w:szCs w:val="16"/>
                <w:color w:val="auto"/>
              </w:rPr>
              <w:t>139,078</w:t>
            </w:r>
          </w:p>
        </w:tc>
        <w:tc>
          <w:tcPr>
            <w:tcW w:w="1760" w:type="dxa"/>
            <w:vAlign w:val="bottom"/>
          </w:tcPr>
          <w:p>
            <w:pPr>
              <w:jc w:val="right"/>
              <w:ind w:right="464"/>
              <w:spacing w:after="0"/>
              <w:rPr>
                <w:sz w:val="20"/>
                <w:szCs w:val="20"/>
                <w:color w:val="auto"/>
              </w:rPr>
            </w:pPr>
            <w:r>
              <w:rPr>
                <w:rFonts w:ascii="Arial" w:cs="Arial" w:eastAsia="Arial" w:hAnsi="Arial"/>
                <w:sz w:val="16"/>
                <w:szCs w:val="16"/>
                <w:color w:val="auto"/>
              </w:rPr>
              <w:t>80,867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219,94</w:t>
            </w:r>
          </w:p>
        </w:tc>
      </w:tr>
      <w:tr>
        <w:trPr>
          <w:trHeight w:val="381"/>
        </w:trPr>
        <w:tc>
          <w:tcPr>
            <w:tcW w:w="58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Value of reserves added during the year due to extensions, discoveries,</w:t>
            </w:r>
          </w:p>
        </w:tc>
        <w:tc>
          <w:tcPr>
            <w:tcW w:w="1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5100" w:type="dxa"/>
            <w:vAlign w:val="bottom"/>
          </w:tcPr>
          <w:p>
            <w:pPr>
              <w:ind w:left="240"/>
              <w:spacing w:after="0"/>
              <w:rPr>
                <w:sz w:val="20"/>
                <w:szCs w:val="20"/>
                <w:color w:val="auto"/>
              </w:rPr>
            </w:pPr>
            <w:r>
              <w:rPr>
                <w:rFonts w:ascii="Arial" w:cs="Arial" w:eastAsia="Arial" w:hAnsi="Arial"/>
                <w:sz w:val="16"/>
                <w:szCs w:val="16"/>
                <w:color w:val="auto"/>
              </w:rPr>
              <w:t>improved recovery and net purchases less related costs</w:t>
            </w:r>
          </w:p>
        </w:tc>
        <w:tc>
          <w:tcPr>
            <w:tcW w:w="3040" w:type="dxa"/>
            <w:vAlign w:val="bottom"/>
            <w:gridSpan w:val="2"/>
          </w:tcPr>
          <w:p>
            <w:pPr>
              <w:jc w:val="right"/>
              <w:ind w:right="549"/>
              <w:spacing w:after="0"/>
              <w:rPr>
                <w:sz w:val="20"/>
                <w:szCs w:val="20"/>
                <w:color w:val="auto"/>
              </w:rPr>
            </w:pPr>
            <w:r>
              <w:rPr>
                <w:rFonts w:ascii="Arial" w:cs="Arial" w:eastAsia="Arial" w:hAnsi="Arial"/>
                <w:sz w:val="16"/>
                <w:szCs w:val="16"/>
                <w:color w:val="auto"/>
              </w:rPr>
              <w:t>3,497</w:t>
            </w:r>
          </w:p>
        </w:tc>
        <w:tc>
          <w:tcPr>
            <w:tcW w:w="1760" w:type="dxa"/>
            <w:vAlign w:val="bottom"/>
          </w:tcPr>
          <w:p>
            <w:pPr>
              <w:jc w:val="right"/>
              <w:ind w:right="464"/>
              <w:spacing w:after="0"/>
              <w:rPr>
                <w:sz w:val="20"/>
                <w:szCs w:val="20"/>
                <w:color w:val="auto"/>
              </w:rPr>
            </w:pPr>
            <w:r>
              <w:rPr>
                <w:rFonts w:ascii="Arial" w:cs="Arial" w:eastAsia="Arial" w:hAnsi="Arial"/>
                <w:sz w:val="16"/>
                <w:szCs w:val="16"/>
                <w:color w:val="auto"/>
              </w:rPr>
              <w:t>94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3,59</w:t>
            </w:r>
          </w:p>
        </w:tc>
      </w:tr>
      <w:tr>
        <w:trPr>
          <w:trHeight w:val="196"/>
        </w:trPr>
        <w:tc>
          <w:tcPr>
            <w:tcW w:w="58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Changes in value of previous-year reserves due to:</w:t>
            </w: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100" w:type="dxa"/>
            <w:vAlign w:val="bottom"/>
          </w:tcPr>
          <w:p>
            <w:pPr>
              <w:ind w:left="240"/>
              <w:spacing w:after="0"/>
              <w:rPr>
                <w:sz w:val="20"/>
                <w:szCs w:val="20"/>
                <w:color w:val="auto"/>
              </w:rPr>
            </w:pPr>
            <w:r>
              <w:rPr>
                <w:rFonts w:ascii="Arial" w:cs="Arial" w:eastAsia="Arial" w:hAnsi="Arial"/>
                <w:sz w:val="16"/>
                <w:szCs w:val="16"/>
                <w:color w:val="auto"/>
              </w:rPr>
              <w:t>Sales and transfers of oil and gas produced during the year, net of</w:t>
            </w: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100" w:type="dxa"/>
            <w:vAlign w:val="bottom"/>
          </w:tcPr>
          <w:p>
            <w:pPr>
              <w:ind w:left="480"/>
              <w:spacing w:after="0"/>
              <w:rPr>
                <w:sz w:val="20"/>
                <w:szCs w:val="20"/>
                <w:color w:val="auto"/>
              </w:rPr>
            </w:pPr>
            <w:r>
              <w:rPr>
                <w:rFonts w:ascii="Arial" w:cs="Arial" w:eastAsia="Arial" w:hAnsi="Arial"/>
                <w:sz w:val="16"/>
                <w:szCs w:val="16"/>
                <w:color w:val="auto"/>
              </w:rPr>
              <w:t>production (lifting) costs</w:t>
            </w:r>
          </w:p>
        </w:tc>
        <w:tc>
          <w:tcPr>
            <w:tcW w:w="3040" w:type="dxa"/>
            <w:vAlign w:val="bottom"/>
            <w:gridSpan w:val="2"/>
          </w:tcPr>
          <w:p>
            <w:pPr>
              <w:jc w:val="right"/>
              <w:ind w:right="489"/>
              <w:spacing w:after="0"/>
              <w:rPr>
                <w:sz w:val="20"/>
                <w:szCs w:val="20"/>
                <w:color w:val="auto"/>
              </w:rPr>
            </w:pPr>
            <w:r>
              <w:rPr>
                <w:rFonts w:ascii="Arial" w:cs="Arial" w:eastAsia="Arial" w:hAnsi="Arial"/>
                <w:sz w:val="16"/>
                <w:szCs w:val="16"/>
                <w:color w:val="auto"/>
              </w:rPr>
              <w:t>(44,446)</w:t>
            </w:r>
          </w:p>
        </w:tc>
        <w:tc>
          <w:tcPr>
            <w:tcW w:w="1760" w:type="dxa"/>
            <w:vAlign w:val="bottom"/>
          </w:tcPr>
          <w:p>
            <w:pPr>
              <w:jc w:val="right"/>
              <w:ind w:right="404"/>
              <w:spacing w:after="0"/>
              <w:rPr>
                <w:sz w:val="20"/>
                <w:szCs w:val="20"/>
                <w:color w:val="auto"/>
              </w:rPr>
            </w:pPr>
            <w:r>
              <w:rPr>
                <w:rFonts w:ascii="Arial" w:cs="Arial" w:eastAsia="Arial" w:hAnsi="Arial"/>
                <w:sz w:val="16"/>
                <w:szCs w:val="16"/>
                <w:color w:val="auto"/>
              </w:rPr>
              <w:t>(18,366)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(62,81</w:t>
            </w:r>
          </w:p>
        </w:tc>
      </w:tr>
      <w:tr>
        <w:trPr>
          <w:trHeight w:val="196"/>
        </w:trPr>
        <w:tc>
          <w:tcPr>
            <w:tcW w:w="580" w:type="dxa"/>
            <w:vAlign w:val="bottom"/>
          </w:tcPr>
          <w:p>
            <w:pPr>
              <w:spacing w:after="0"/>
              <w:rPr>
                <w:sz w:val="17"/>
                <w:szCs w:val="17"/>
                <w:color w:val="auto"/>
              </w:rPr>
            </w:pPr>
          </w:p>
        </w:tc>
        <w:tc>
          <w:tcPr>
            <w:tcW w:w="5100" w:type="dxa"/>
            <w:vAlign w:val="bottom"/>
          </w:tcPr>
          <w:p>
            <w:pPr>
              <w:ind w:left="240"/>
              <w:spacing w:after="0"/>
              <w:rPr>
                <w:sz w:val="20"/>
                <w:szCs w:val="20"/>
                <w:color w:val="auto"/>
              </w:rPr>
            </w:pPr>
            <w:r>
              <w:rPr>
                <w:rFonts w:ascii="Arial" w:cs="Arial" w:eastAsia="Arial" w:hAnsi="Arial"/>
                <w:sz w:val="16"/>
                <w:szCs w:val="16"/>
                <w:color w:val="auto"/>
              </w:rPr>
              <w:t>Development costs incurred during the year</w:t>
            </w:r>
          </w:p>
        </w:tc>
        <w:tc>
          <w:tcPr>
            <w:tcW w:w="3040" w:type="dxa"/>
            <w:vAlign w:val="bottom"/>
            <w:gridSpan w:val="2"/>
          </w:tcPr>
          <w:p>
            <w:pPr>
              <w:jc w:val="right"/>
              <w:ind w:right="549"/>
              <w:spacing w:after="0"/>
              <w:rPr>
                <w:sz w:val="20"/>
                <w:szCs w:val="20"/>
                <w:color w:val="auto"/>
              </w:rPr>
            </w:pPr>
            <w:r>
              <w:rPr>
                <w:rFonts w:ascii="Arial" w:cs="Arial" w:eastAsia="Arial" w:hAnsi="Arial"/>
                <w:sz w:val="16"/>
                <w:szCs w:val="16"/>
                <w:color w:val="auto"/>
              </w:rPr>
              <w:t>24,189</w:t>
            </w:r>
          </w:p>
        </w:tc>
        <w:tc>
          <w:tcPr>
            <w:tcW w:w="1760" w:type="dxa"/>
            <w:vAlign w:val="bottom"/>
          </w:tcPr>
          <w:p>
            <w:pPr>
              <w:jc w:val="right"/>
              <w:ind w:right="464"/>
              <w:spacing w:after="0"/>
              <w:rPr>
                <w:sz w:val="20"/>
                <w:szCs w:val="20"/>
                <w:color w:val="auto"/>
              </w:rPr>
            </w:pPr>
            <w:r>
              <w:rPr>
                <w:rFonts w:ascii="Arial" w:cs="Arial" w:eastAsia="Arial" w:hAnsi="Arial"/>
                <w:sz w:val="16"/>
                <w:szCs w:val="16"/>
                <w:color w:val="auto"/>
              </w:rPr>
              <w:t>1,453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25,64</w:t>
            </w:r>
          </w:p>
        </w:tc>
      </w:tr>
      <w:tr>
        <w:trPr>
          <w:trHeight w:val="196"/>
        </w:trPr>
        <w:tc>
          <w:tcPr>
            <w:tcW w:w="580" w:type="dxa"/>
            <w:vAlign w:val="bottom"/>
          </w:tcPr>
          <w:p>
            <w:pPr>
              <w:spacing w:after="0"/>
              <w:rPr>
                <w:sz w:val="17"/>
                <w:szCs w:val="17"/>
                <w:color w:val="auto"/>
              </w:rPr>
            </w:pPr>
          </w:p>
        </w:tc>
        <w:tc>
          <w:tcPr>
            <w:tcW w:w="5100" w:type="dxa"/>
            <w:vAlign w:val="bottom"/>
          </w:tcPr>
          <w:p>
            <w:pPr>
              <w:ind w:left="240"/>
              <w:spacing w:after="0"/>
              <w:rPr>
                <w:sz w:val="20"/>
                <w:szCs w:val="20"/>
                <w:color w:val="auto"/>
              </w:rPr>
            </w:pPr>
            <w:r>
              <w:rPr>
                <w:rFonts w:ascii="Arial" w:cs="Arial" w:eastAsia="Arial" w:hAnsi="Arial"/>
                <w:sz w:val="16"/>
                <w:szCs w:val="16"/>
                <w:color w:val="auto"/>
              </w:rPr>
              <w:t>Net change in prices, lifting and development costs</w:t>
            </w:r>
          </w:p>
        </w:tc>
        <w:tc>
          <w:tcPr>
            <w:tcW w:w="3040" w:type="dxa"/>
            <w:vAlign w:val="bottom"/>
            <w:gridSpan w:val="2"/>
          </w:tcPr>
          <w:p>
            <w:pPr>
              <w:jc w:val="right"/>
              <w:ind w:right="489"/>
              <w:spacing w:after="0"/>
              <w:rPr>
                <w:sz w:val="20"/>
                <w:szCs w:val="20"/>
                <w:color w:val="auto"/>
              </w:rPr>
            </w:pPr>
            <w:r>
              <w:rPr>
                <w:rFonts w:ascii="Arial" w:cs="Arial" w:eastAsia="Arial" w:hAnsi="Arial"/>
                <w:sz w:val="16"/>
                <w:szCs w:val="16"/>
                <w:color w:val="auto"/>
              </w:rPr>
              <w:t>(50,672)</w:t>
            </w:r>
          </w:p>
        </w:tc>
        <w:tc>
          <w:tcPr>
            <w:tcW w:w="1760" w:type="dxa"/>
            <w:vAlign w:val="bottom"/>
          </w:tcPr>
          <w:p>
            <w:pPr>
              <w:jc w:val="right"/>
              <w:ind w:right="404"/>
              <w:spacing w:after="0"/>
              <w:rPr>
                <w:sz w:val="20"/>
                <w:szCs w:val="20"/>
                <w:color w:val="auto"/>
              </w:rPr>
            </w:pPr>
            <w:r>
              <w:rPr>
                <w:rFonts w:ascii="Arial" w:cs="Arial" w:eastAsia="Arial" w:hAnsi="Arial"/>
                <w:sz w:val="16"/>
                <w:szCs w:val="16"/>
                <w:color w:val="auto"/>
              </w:rPr>
              <w:t>(13,165)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(63,83</w:t>
            </w:r>
          </w:p>
        </w:tc>
      </w:tr>
      <w:tr>
        <w:trPr>
          <w:trHeight w:val="196"/>
        </w:trPr>
        <w:tc>
          <w:tcPr>
            <w:tcW w:w="580" w:type="dxa"/>
            <w:vAlign w:val="bottom"/>
          </w:tcPr>
          <w:p>
            <w:pPr>
              <w:spacing w:after="0"/>
              <w:rPr>
                <w:sz w:val="17"/>
                <w:szCs w:val="17"/>
                <w:color w:val="auto"/>
              </w:rPr>
            </w:pPr>
          </w:p>
        </w:tc>
        <w:tc>
          <w:tcPr>
            <w:tcW w:w="5100" w:type="dxa"/>
            <w:vAlign w:val="bottom"/>
          </w:tcPr>
          <w:p>
            <w:pPr>
              <w:ind w:left="240"/>
              <w:spacing w:after="0"/>
              <w:rPr>
                <w:sz w:val="20"/>
                <w:szCs w:val="20"/>
                <w:color w:val="auto"/>
              </w:rPr>
            </w:pPr>
            <w:r>
              <w:rPr>
                <w:rFonts w:ascii="Arial" w:cs="Arial" w:eastAsia="Arial" w:hAnsi="Arial"/>
                <w:sz w:val="16"/>
                <w:szCs w:val="16"/>
                <w:color w:val="auto"/>
              </w:rPr>
              <w:t>Revisions of previous reserves estimates</w:t>
            </w:r>
          </w:p>
        </w:tc>
        <w:tc>
          <w:tcPr>
            <w:tcW w:w="3040" w:type="dxa"/>
            <w:vAlign w:val="bottom"/>
            <w:gridSpan w:val="2"/>
          </w:tcPr>
          <w:p>
            <w:pPr>
              <w:jc w:val="right"/>
              <w:ind w:right="549"/>
              <w:spacing w:after="0"/>
              <w:rPr>
                <w:sz w:val="20"/>
                <w:szCs w:val="20"/>
                <w:color w:val="auto"/>
              </w:rPr>
            </w:pPr>
            <w:r>
              <w:rPr>
                <w:rFonts w:ascii="Arial" w:cs="Arial" w:eastAsia="Arial" w:hAnsi="Arial"/>
                <w:sz w:val="16"/>
                <w:szCs w:val="16"/>
                <w:color w:val="auto"/>
              </w:rPr>
              <w:t>35,072</w:t>
            </w:r>
          </w:p>
        </w:tc>
        <w:tc>
          <w:tcPr>
            <w:tcW w:w="1760" w:type="dxa"/>
            <w:vAlign w:val="bottom"/>
          </w:tcPr>
          <w:p>
            <w:pPr>
              <w:jc w:val="right"/>
              <w:ind w:right="464"/>
              <w:spacing w:after="0"/>
              <w:rPr>
                <w:sz w:val="20"/>
                <w:szCs w:val="20"/>
                <w:color w:val="auto"/>
              </w:rPr>
            </w:pPr>
            <w:r>
              <w:rPr>
                <w:rFonts w:ascii="Arial" w:cs="Arial" w:eastAsia="Arial" w:hAnsi="Arial"/>
                <w:sz w:val="16"/>
                <w:szCs w:val="16"/>
                <w:color w:val="auto"/>
              </w:rPr>
              <w:t>3,298</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38,37</w:t>
            </w:r>
          </w:p>
        </w:tc>
      </w:tr>
      <w:tr>
        <w:trPr>
          <w:trHeight w:val="196"/>
        </w:trPr>
        <w:tc>
          <w:tcPr>
            <w:tcW w:w="580" w:type="dxa"/>
            <w:vAlign w:val="bottom"/>
          </w:tcPr>
          <w:p>
            <w:pPr>
              <w:spacing w:after="0"/>
              <w:rPr>
                <w:sz w:val="17"/>
                <w:szCs w:val="17"/>
                <w:color w:val="auto"/>
              </w:rPr>
            </w:pPr>
          </w:p>
        </w:tc>
        <w:tc>
          <w:tcPr>
            <w:tcW w:w="5100" w:type="dxa"/>
            <w:vAlign w:val="bottom"/>
          </w:tcPr>
          <w:p>
            <w:pPr>
              <w:ind w:left="240"/>
              <w:spacing w:after="0"/>
              <w:rPr>
                <w:sz w:val="20"/>
                <w:szCs w:val="20"/>
                <w:color w:val="auto"/>
              </w:rPr>
            </w:pPr>
            <w:r>
              <w:rPr>
                <w:rFonts w:ascii="Arial" w:cs="Arial" w:eastAsia="Arial" w:hAnsi="Arial"/>
                <w:sz w:val="16"/>
                <w:szCs w:val="16"/>
                <w:color w:val="auto"/>
              </w:rPr>
              <w:t>Accretion of discount</w:t>
            </w:r>
          </w:p>
        </w:tc>
        <w:tc>
          <w:tcPr>
            <w:tcW w:w="3040" w:type="dxa"/>
            <w:vAlign w:val="bottom"/>
            <w:gridSpan w:val="2"/>
          </w:tcPr>
          <w:p>
            <w:pPr>
              <w:jc w:val="right"/>
              <w:ind w:right="549"/>
              <w:spacing w:after="0"/>
              <w:rPr>
                <w:sz w:val="20"/>
                <w:szCs w:val="20"/>
                <w:color w:val="auto"/>
              </w:rPr>
            </w:pPr>
            <w:r>
              <w:rPr>
                <w:rFonts w:ascii="Arial" w:cs="Arial" w:eastAsia="Arial" w:hAnsi="Arial"/>
                <w:sz w:val="16"/>
                <w:szCs w:val="16"/>
                <w:color w:val="auto"/>
              </w:rPr>
              <w:t>20,098</w:t>
            </w:r>
          </w:p>
        </w:tc>
        <w:tc>
          <w:tcPr>
            <w:tcW w:w="1760" w:type="dxa"/>
            <w:vAlign w:val="bottom"/>
          </w:tcPr>
          <w:p>
            <w:pPr>
              <w:jc w:val="right"/>
              <w:ind w:right="464"/>
              <w:spacing w:after="0"/>
              <w:rPr>
                <w:sz w:val="20"/>
                <w:szCs w:val="20"/>
                <w:color w:val="auto"/>
              </w:rPr>
            </w:pPr>
            <w:r>
              <w:rPr>
                <w:rFonts w:ascii="Arial" w:cs="Arial" w:eastAsia="Arial" w:hAnsi="Arial"/>
                <w:sz w:val="16"/>
                <w:szCs w:val="16"/>
                <w:color w:val="auto"/>
              </w:rPr>
              <w:t>8,987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29,08</w:t>
            </w:r>
          </w:p>
        </w:tc>
      </w:tr>
      <w:tr>
        <w:trPr>
          <w:trHeight w:val="208"/>
        </w:trPr>
        <w:tc>
          <w:tcPr>
            <w:tcW w:w="5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Net change in income taxes</w:t>
            </w:r>
          </w:p>
        </w:tc>
        <w:tc>
          <w:tcPr>
            <w:tcW w:w="3040" w:type="dxa"/>
            <w:vAlign w:val="bottom"/>
            <w:gridSpan w:val="2"/>
          </w:tcPr>
          <w:p>
            <w:pPr>
              <w:jc w:val="right"/>
              <w:ind w:right="549"/>
              <w:spacing w:after="0"/>
              <w:rPr>
                <w:sz w:val="20"/>
                <w:szCs w:val="20"/>
                <w:color w:val="auto"/>
              </w:rPr>
            </w:pPr>
            <w:r>
              <w:rPr>
                <w:rFonts w:ascii="Arial" w:cs="Arial" w:eastAsia="Arial" w:hAnsi="Arial"/>
                <w:sz w:val="16"/>
                <w:szCs w:val="16"/>
                <w:color w:val="auto"/>
              </w:rPr>
              <w:t>11,848</w:t>
            </w:r>
          </w:p>
        </w:tc>
        <w:tc>
          <w:tcPr>
            <w:tcW w:w="1760" w:type="dxa"/>
            <w:vAlign w:val="bottom"/>
          </w:tcPr>
          <w:p>
            <w:pPr>
              <w:jc w:val="right"/>
              <w:ind w:right="464"/>
              <w:spacing w:after="0"/>
              <w:rPr>
                <w:sz w:val="20"/>
                <w:szCs w:val="20"/>
                <w:color w:val="auto"/>
              </w:rPr>
            </w:pPr>
            <w:r>
              <w:rPr>
                <w:rFonts w:ascii="Arial" w:cs="Arial" w:eastAsia="Arial" w:hAnsi="Arial"/>
                <w:sz w:val="16"/>
                <w:szCs w:val="16"/>
                <w:color w:val="auto"/>
              </w:rPr>
              <w:t>5,753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17,60</w:t>
            </w:r>
          </w:p>
        </w:tc>
      </w:tr>
      <w:tr>
        <w:trPr>
          <w:trHeight w:val="201"/>
        </w:trPr>
        <w:tc>
          <w:tcPr>
            <w:tcW w:w="580" w:type="dxa"/>
            <w:vAlign w:val="bottom"/>
          </w:tcPr>
          <w:p>
            <w:pPr>
              <w:spacing w:after="0"/>
              <w:rPr>
                <w:sz w:val="17"/>
                <w:szCs w:val="17"/>
                <w:color w:val="auto"/>
              </w:rPr>
            </w:pPr>
          </w:p>
        </w:tc>
        <w:tc>
          <w:tcPr>
            <w:tcW w:w="5100" w:type="dxa"/>
            <w:vAlign w:val="bottom"/>
          </w:tcPr>
          <w:p>
            <w:pPr>
              <w:ind w:left="480"/>
              <w:spacing w:after="0"/>
              <w:rPr>
                <w:sz w:val="20"/>
                <w:szCs w:val="20"/>
                <w:color w:val="auto"/>
              </w:rPr>
            </w:pPr>
            <w:r>
              <w:rPr>
                <w:rFonts w:ascii="Arial" w:cs="Arial" w:eastAsia="Arial" w:hAnsi="Arial"/>
                <w:sz w:val="16"/>
                <w:szCs w:val="16"/>
                <w:color w:val="auto"/>
              </w:rPr>
              <w:t>Total change in the standardized measure during the year</w:t>
            </w:r>
          </w:p>
        </w:tc>
        <w:tc>
          <w:tcPr>
            <w:tcW w:w="1320" w:type="dxa"/>
            <w:vAlign w:val="bottom"/>
          </w:tcPr>
          <w:p>
            <w:pPr>
              <w:spacing w:after="0"/>
              <w:rPr>
                <w:sz w:val="17"/>
                <w:szCs w:val="17"/>
                <w:color w:val="auto"/>
              </w:rPr>
            </w:pPr>
          </w:p>
        </w:tc>
        <w:tc>
          <w:tcPr>
            <w:tcW w:w="1720" w:type="dxa"/>
            <w:vAlign w:val="bottom"/>
            <w:tcBorders>
              <w:top w:val="single" w:sz="8" w:color="auto"/>
            </w:tcBorders>
          </w:tcPr>
          <w:p>
            <w:pPr>
              <w:jc w:val="right"/>
              <w:ind w:right="489"/>
              <w:spacing w:after="0"/>
              <w:rPr>
                <w:sz w:val="20"/>
                <w:szCs w:val="20"/>
                <w:color w:val="auto"/>
              </w:rPr>
            </w:pPr>
            <w:r>
              <w:rPr>
                <w:rFonts w:ascii="Arial" w:cs="Arial" w:eastAsia="Arial" w:hAnsi="Arial"/>
                <w:sz w:val="16"/>
                <w:szCs w:val="16"/>
                <w:color w:val="auto"/>
              </w:rPr>
              <w:t>(414)</w:t>
            </w:r>
          </w:p>
        </w:tc>
        <w:tc>
          <w:tcPr>
            <w:tcW w:w="1760" w:type="dxa"/>
            <w:vAlign w:val="bottom"/>
            <w:tcBorders>
              <w:top w:val="single" w:sz="8" w:color="auto"/>
            </w:tcBorders>
          </w:tcPr>
          <w:p>
            <w:pPr>
              <w:jc w:val="right"/>
              <w:ind w:right="404"/>
              <w:spacing w:after="0"/>
              <w:rPr>
                <w:sz w:val="20"/>
                <w:szCs w:val="20"/>
                <w:color w:val="auto"/>
              </w:rPr>
            </w:pPr>
            <w:r>
              <w:rPr>
                <w:rFonts w:ascii="Arial" w:cs="Arial" w:eastAsia="Arial" w:hAnsi="Arial"/>
                <w:sz w:val="16"/>
                <w:szCs w:val="16"/>
                <w:color w:val="auto"/>
              </w:rPr>
              <w:t>(11,946)</w:t>
            </w: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(12,36</w:t>
            </w:r>
          </w:p>
        </w:tc>
      </w:tr>
      <w:tr>
        <w:trPr>
          <w:trHeight w:val="380"/>
        </w:trPr>
        <w:tc>
          <w:tcPr>
            <w:tcW w:w="58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Discounted future net cash flows as of December 31, 2014</w:t>
            </w:r>
          </w:p>
        </w:tc>
        <w:tc>
          <w:tcPr>
            <w:tcW w:w="3040" w:type="dxa"/>
            <w:vAlign w:val="bottom"/>
            <w:gridSpan w:val="2"/>
          </w:tcPr>
          <w:p>
            <w:pPr>
              <w:jc w:val="right"/>
              <w:ind w:right="549"/>
              <w:spacing w:after="0"/>
              <w:rPr>
                <w:sz w:val="20"/>
                <w:szCs w:val="20"/>
                <w:color w:val="auto"/>
              </w:rPr>
            </w:pPr>
            <w:r>
              <w:rPr>
                <w:rFonts w:ascii="Arial" w:cs="Arial" w:eastAsia="Arial" w:hAnsi="Arial"/>
                <w:sz w:val="16"/>
                <w:szCs w:val="16"/>
                <w:color w:val="auto"/>
              </w:rPr>
              <w:t>138,664</w:t>
            </w:r>
          </w:p>
        </w:tc>
        <w:tc>
          <w:tcPr>
            <w:tcW w:w="1760" w:type="dxa"/>
            <w:vAlign w:val="bottom"/>
          </w:tcPr>
          <w:p>
            <w:pPr>
              <w:jc w:val="right"/>
              <w:ind w:right="464"/>
              <w:spacing w:after="0"/>
              <w:rPr>
                <w:sz w:val="20"/>
                <w:szCs w:val="20"/>
                <w:color w:val="auto"/>
              </w:rPr>
            </w:pPr>
            <w:r>
              <w:rPr>
                <w:rFonts w:ascii="Arial" w:cs="Arial" w:eastAsia="Arial" w:hAnsi="Arial"/>
                <w:sz w:val="16"/>
                <w:szCs w:val="16"/>
                <w:color w:val="auto"/>
              </w:rPr>
              <w:t>68,921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207,58</w:t>
            </w:r>
          </w:p>
        </w:tc>
      </w:tr>
      <w:tr>
        <w:trPr>
          <w:trHeight w:val="213"/>
        </w:trPr>
        <w:tc>
          <w:tcPr>
            <w:tcW w:w="5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320" w:type="dxa"/>
            <w:vAlign w:val="bottom"/>
          </w:tcPr>
          <w:p>
            <w:pPr>
              <w:jc w:val="right"/>
              <w:ind w:right="518"/>
              <w:spacing w:after="0"/>
              <w:rPr>
                <w:sz w:val="20"/>
                <w:szCs w:val="20"/>
                <w:color w:val="auto"/>
              </w:rPr>
            </w:pPr>
            <w:r>
              <w:rPr>
                <w:rFonts w:ascii="Arial" w:cs="Arial" w:eastAsia="Arial" w:hAnsi="Arial"/>
                <w:sz w:val="16"/>
                <w:szCs w:val="16"/>
                <w:color w:val="auto"/>
              </w:rPr>
              <w:t>111</w:t>
            </w:r>
          </w:p>
        </w:tc>
        <w:tc>
          <w:tcPr>
            <w:tcW w:w="17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r>
      <w:tr>
        <w:trPr>
          <w:trHeight w:val="745"/>
        </w:trPr>
        <w:tc>
          <w:tcPr>
            <w:tcW w:w="580" w:type="dxa"/>
            <w:vAlign w:val="bottom"/>
            <w:tcBorders>
              <w:bottom w:val="single" w:sz="8" w:color="808080"/>
            </w:tcBorders>
          </w:tcPr>
          <w:p>
            <w:pPr>
              <w:spacing w:after="0"/>
              <w:rPr>
                <w:sz w:val="24"/>
                <w:szCs w:val="24"/>
                <w:color w:val="auto"/>
              </w:rPr>
            </w:pPr>
          </w:p>
        </w:tc>
        <w:tc>
          <w:tcPr>
            <w:tcW w:w="51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809" w:right="1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b w:val="1"/>
          <w:bCs w:val="1"/>
          <w:color w:val="auto"/>
        </w:rPr>
        <w:t>OPERATING SUMMARY (unaudited)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80" w:type="dxa"/>
            <w:vAlign w:val="bottom"/>
          </w:tcPr>
          <w:p>
            <w:pPr>
              <w:spacing w:after="0"/>
              <w:rPr>
                <w:sz w:val="14"/>
                <w:szCs w:val="14"/>
                <w:color w:val="auto"/>
              </w:rPr>
            </w:pPr>
          </w:p>
        </w:tc>
        <w:tc>
          <w:tcPr>
            <w:tcW w:w="1120" w:type="dxa"/>
            <w:vAlign w:val="bottom"/>
          </w:tcPr>
          <w:p>
            <w:pPr>
              <w:jc w:val="right"/>
              <w:ind w:right="279"/>
              <w:spacing w:after="0"/>
              <w:rPr>
                <w:sz w:val="20"/>
                <w:szCs w:val="20"/>
                <w:color w:val="auto"/>
              </w:rPr>
            </w:pPr>
            <w:r>
              <w:rPr>
                <w:rFonts w:ascii="Arial" w:cs="Arial" w:eastAsia="Arial" w:hAnsi="Arial"/>
                <w:sz w:val="13"/>
                <w:szCs w:val="13"/>
                <w:b w:val="1"/>
                <w:bCs w:val="1"/>
                <w:color w:val="auto"/>
              </w:rPr>
              <w:t>2014</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2013</w:t>
            </w:r>
          </w:p>
        </w:tc>
        <w:tc>
          <w:tcPr>
            <w:tcW w:w="1640" w:type="dxa"/>
            <w:vAlign w:val="bottom"/>
          </w:tcPr>
          <w:p>
            <w:pPr>
              <w:jc w:val="right"/>
              <w:ind w:right="440"/>
              <w:spacing w:after="0"/>
              <w:rPr>
                <w:sz w:val="20"/>
                <w:szCs w:val="20"/>
                <w:color w:val="auto"/>
              </w:rPr>
            </w:pPr>
            <w:r>
              <w:rPr>
                <w:rFonts w:ascii="Arial" w:cs="Arial" w:eastAsia="Arial" w:hAnsi="Arial"/>
                <w:sz w:val="13"/>
                <w:szCs w:val="13"/>
                <w:b w:val="1"/>
                <w:bCs w:val="1"/>
                <w:color w:val="auto"/>
              </w:rPr>
              <w:t>2012</w:t>
            </w:r>
          </w:p>
        </w:tc>
        <w:tc>
          <w:tcPr>
            <w:tcW w:w="1280" w:type="dxa"/>
            <w:vAlign w:val="bottom"/>
          </w:tcPr>
          <w:p>
            <w:pPr>
              <w:jc w:val="right"/>
              <w:ind w:right="599"/>
              <w:spacing w:after="0"/>
              <w:rPr>
                <w:sz w:val="20"/>
                <w:szCs w:val="20"/>
                <w:color w:val="auto"/>
              </w:rPr>
            </w:pPr>
            <w:r>
              <w:rPr>
                <w:rFonts w:ascii="Arial" w:cs="Arial" w:eastAsia="Arial" w:hAnsi="Arial"/>
                <w:sz w:val="13"/>
                <w:szCs w:val="13"/>
                <w:b w:val="1"/>
                <w:bCs w:val="1"/>
                <w:color w:val="auto"/>
              </w:rPr>
              <w:t>2011</w:t>
            </w:r>
          </w:p>
        </w:tc>
      </w:tr>
      <w:tr>
        <w:trPr>
          <w:trHeight w:val="23"/>
        </w:trPr>
        <w:tc>
          <w:tcPr>
            <w:tcW w:w="6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6"/>
        </w:trPr>
        <w:tc>
          <w:tcPr>
            <w:tcW w:w="6080" w:type="dxa"/>
            <w:vAlign w:val="bottom"/>
          </w:tcPr>
          <w:p>
            <w:pPr>
              <w:spacing w:after="0" w:line="176" w:lineRule="exact"/>
              <w:rPr>
                <w:sz w:val="20"/>
                <w:szCs w:val="20"/>
                <w:color w:val="auto"/>
              </w:rPr>
            </w:pPr>
            <w:r>
              <w:rPr>
                <w:rFonts w:ascii="Arial" w:cs="Arial" w:eastAsia="Arial" w:hAnsi="Arial"/>
                <w:sz w:val="16"/>
                <w:szCs w:val="16"/>
                <w:color w:val="auto"/>
              </w:rPr>
              <w:t>Production of crude oil, natural gas liquids, bitumen and synthetic oil</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6"/>
        </w:trPr>
        <w:tc>
          <w:tcPr>
            <w:tcW w:w="6080" w:type="dxa"/>
            <w:vAlign w:val="bottom"/>
          </w:tcPr>
          <w:p>
            <w:pPr>
              <w:ind w:left="240"/>
              <w:spacing w:after="0"/>
              <w:rPr>
                <w:sz w:val="20"/>
                <w:szCs w:val="20"/>
                <w:color w:val="auto"/>
              </w:rPr>
            </w:pPr>
            <w:r>
              <w:rPr>
                <w:rFonts w:ascii="Arial" w:cs="Arial" w:eastAsia="Arial" w:hAnsi="Arial"/>
                <w:sz w:val="16"/>
                <w:szCs w:val="16"/>
                <w:color w:val="auto"/>
              </w:rPr>
              <w:t>Net production</w:t>
            </w: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40" w:type="dxa"/>
            <w:vAlign w:val="bottom"/>
          </w:tcPr>
          <w:p>
            <w:pPr>
              <w:jc w:val="center"/>
              <w:ind w:right="80"/>
              <w:spacing w:after="0"/>
              <w:rPr>
                <w:sz w:val="20"/>
                <w:szCs w:val="20"/>
                <w:color w:val="auto"/>
              </w:rPr>
            </w:pPr>
            <w:r>
              <w:rPr>
                <w:rFonts w:ascii="Arial" w:cs="Arial" w:eastAsia="Arial" w:hAnsi="Arial"/>
                <w:sz w:val="13"/>
                <w:szCs w:val="13"/>
                <w:i w:val="1"/>
                <w:iCs w:val="1"/>
                <w:color w:val="auto"/>
                <w:w w:val="91"/>
              </w:rPr>
              <w:t>(thousands of barrels daily)</w:t>
            </w:r>
          </w:p>
        </w:tc>
        <w:tc>
          <w:tcPr>
            <w:tcW w:w="1280" w:type="dxa"/>
            <w:vAlign w:val="bottom"/>
          </w:tcPr>
          <w:p>
            <w:pPr>
              <w:spacing w:after="0"/>
              <w:rPr>
                <w:sz w:val="17"/>
                <w:szCs w:val="17"/>
                <w:color w:val="auto"/>
              </w:rPr>
            </w:pPr>
          </w:p>
        </w:tc>
      </w:tr>
      <w:tr>
        <w:trPr>
          <w:trHeight w:val="196"/>
        </w:trPr>
        <w:tc>
          <w:tcPr>
            <w:tcW w:w="6080" w:type="dxa"/>
            <w:vAlign w:val="bottom"/>
          </w:tcPr>
          <w:p>
            <w:pPr>
              <w:ind w:left="480"/>
              <w:spacing w:after="0"/>
              <w:rPr>
                <w:sz w:val="20"/>
                <w:szCs w:val="20"/>
                <w:color w:val="auto"/>
              </w:rPr>
            </w:pPr>
            <w:r>
              <w:rPr>
                <w:rFonts w:ascii="Arial" w:cs="Arial" w:eastAsia="Arial" w:hAnsi="Arial"/>
                <w:sz w:val="16"/>
                <w:szCs w:val="16"/>
                <w:color w:val="auto"/>
              </w:rPr>
              <w:t>United States</w:t>
            </w: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454</w:t>
            </w:r>
          </w:p>
        </w:tc>
        <w:tc>
          <w:tcPr>
            <w:tcW w:w="820" w:type="dxa"/>
            <w:vAlign w:val="bottom"/>
          </w:tcPr>
          <w:p>
            <w:pPr>
              <w:jc w:val="right"/>
              <w:spacing w:after="0"/>
              <w:rPr>
                <w:sz w:val="20"/>
                <w:szCs w:val="20"/>
                <w:color w:val="auto"/>
              </w:rPr>
            </w:pPr>
            <w:r>
              <w:rPr>
                <w:rFonts w:ascii="Arial" w:cs="Arial" w:eastAsia="Arial" w:hAnsi="Arial"/>
                <w:sz w:val="16"/>
                <w:szCs w:val="16"/>
                <w:color w:val="auto"/>
              </w:rPr>
              <w:t>431</w:t>
            </w:r>
          </w:p>
        </w:tc>
        <w:tc>
          <w:tcPr>
            <w:tcW w:w="1640" w:type="dxa"/>
            <w:vAlign w:val="bottom"/>
          </w:tcPr>
          <w:p>
            <w:pPr>
              <w:jc w:val="right"/>
              <w:ind w:right="440"/>
              <w:spacing w:after="0"/>
              <w:rPr>
                <w:sz w:val="20"/>
                <w:szCs w:val="20"/>
                <w:color w:val="auto"/>
              </w:rPr>
            </w:pPr>
            <w:r>
              <w:rPr>
                <w:rFonts w:ascii="Arial" w:cs="Arial" w:eastAsia="Arial" w:hAnsi="Arial"/>
                <w:sz w:val="16"/>
                <w:szCs w:val="16"/>
                <w:color w:val="auto"/>
              </w:rPr>
              <w:t>418</w:t>
            </w:r>
          </w:p>
        </w:tc>
        <w:tc>
          <w:tcPr>
            <w:tcW w:w="1280" w:type="dxa"/>
            <w:vAlign w:val="bottom"/>
          </w:tcPr>
          <w:p>
            <w:pPr>
              <w:jc w:val="right"/>
              <w:ind w:right="599"/>
              <w:spacing w:after="0"/>
              <w:rPr>
                <w:sz w:val="20"/>
                <w:szCs w:val="20"/>
                <w:color w:val="auto"/>
              </w:rPr>
            </w:pPr>
            <w:r>
              <w:rPr>
                <w:rFonts w:ascii="Arial" w:cs="Arial" w:eastAsia="Arial" w:hAnsi="Arial"/>
                <w:sz w:val="16"/>
                <w:szCs w:val="16"/>
                <w:color w:val="auto"/>
              </w:rPr>
              <w:t>423</w:t>
            </w:r>
          </w:p>
        </w:tc>
      </w:tr>
      <w:tr>
        <w:trPr>
          <w:trHeight w:val="196"/>
        </w:trPr>
        <w:tc>
          <w:tcPr>
            <w:tcW w:w="6080" w:type="dxa"/>
            <w:vAlign w:val="bottom"/>
          </w:tcPr>
          <w:p>
            <w:pPr>
              <w:ind w:left="480"/>
              <w:spacing w:after="0"/>
              <w:rPr>
                <w:sz w:val="20"/>
                <w:szCs w:val="20"/>
                <w:color w:val="auto"/>
              </w:rPr>
            </w:pPr>
            <w:r>
              <w:rPr>
                <w:rFonts w:ascii="Arial" w:cs="Arial" w:eastAsia="Arial" w:hAnsi="Arial"/>
                <w:sz w:val="16"/>
                <w:szCs w:val="16"/>
                <w:color w:val="auto"/>
              </w:rPr>
              <w:t>Canada/South America</w:t>
            </w: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301</w:t>
            </w:r>
          </w:p>
        </w:tc>
        <w:tc>
          <w:tcPr>
            <w:tcW w:w="820" w:type="dxa"/>
            <w:vAlign w:val="bottom"/>
          </w:tcPr>
          <w:p>
            <w:pPr>
              <w:jc w:val="right"/>
              <w:spacing w:after="0"/>
              <w:rPr>
                <w:sz w:val="20"/>
                <w:szCs w:val="20"/>
                <w:color w:val="auto"/>
              </w:rPr>
            </w:pPr>
            <w:r>
              <w:rPr>
                <w:rFonts w:ascii="Arial" w:cs="Arial" w:eastAsia="Arial" w:hAnsi="Arial"/>
                <w:sz w:val="16"/>
                <w:szCs w:val="16"/>
                <w:color w:val="auto"/>
              </w:rPr>
              <w:t>280</w:t>
            </w:r>
          </w:p>
        </w:tc>
        <w:tc>
          <w:tcPr>
            <w:tcW w:w="1640" w:type="dxa"/>
            <w:vAlign w:val="bottom"/>
          </w:tcPr>
          <w:p>
            <w:pPr>
              <w:jc w:val="right"/>
              <w:ind w:right="440"/>
              <w:spacing w:after="0"/>
              <w:rPr>
                <w:sz w:val="20"/>
                <w:szCs w:val="20"/>
                <w:color w:val="auto"/>
              </w:rPr>
            </w:pPr>
            <w:r>
              <w:rPr>
                <w:rFonts w:ascii="Arial" w:cs="Arial" w:eastAsia="Arial" w:hAnsi="Arial"/>
                <w:sz w:val="16"/>
                <w:szCs w:val="16"/>
                <w:color w:val="auto"/>
              </w:rPr>
              <w:t>251</w:t>
            </w:r>
          </w:p>
        </w:tc>
        <w:tc>
          <w:tcPr>
            <w:tcW w:w="1280" w:type="dxa"/>
            <w:vAlign w:val="bottom"/>
          </w:tcPr>
          <w:p>
            <w:pPr>
              <w:jc w:val="right"/>
              <w:ind w:right="599"/>
              <w:spacing w:after="0"/>
              <w:rPr>
                <w:sz w:val="20"/>
                <w:szCs w:val="20"/>
                <w:color w:val="auto"/>
              </w:rPr>
            </w:pPr>
            <w:r>
              <w:rPr>
                <w:rFonts w:ascii="Arial" w:cs="Arial" w:eastAsia="Arial" w:hAnsi="Arial"/>
                <w:sz w:val="16"/>
                <w:szCs w:val="16"/>
                <w:color w:val="auto"/>
              </w:rPr>
              <w:t>252</w:t>
            </w:r>
          </w:p>
        </w:tc>
      </w:tr>
      <w:tr>
        <w:trPr>
          <w:trHeight w:val="196"/>
        </w:trPr>
        <w:tc>
          <w:tcPr>
            <w:tcW w:w="6080" w:type="dxa"/>
            <w:vAlign w:val="bottom"/>
          </w:tcPr>
          <w:p>
            <w:pPr>
              <w:ind w:left="480"/>
              <w:spacing w:after="0"/>
              <w:rPr>
                <w:sz w:val="20"/>
                <w:szCs w:val="20"/>
                <w:color w:val="auto"/>
              </w:rPr>
            </w:pPr>
            <w:r>
              <w:rPr>
                <w:rFonts w:ascii="Arial" w:cs="Arial" w:eastAsia="Arial" w:hAnsi="Arial"/>
                <w:sz w:val="16"/>
                <w:szCs w:val="16"/>
                <w:color w:val="auto"/>
              </w:rPr>
              <w:t>Europe</w:t>
            </w: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184</w:t>
            </w:r>
          </w:p>
        </w:tc>
        <w:tc>
          <w:tcPr>
            <w:tcW w:w="820" w:type="dxa"/>
            <w:vAlign w:val="bottom"/>
          </w:tcPr>
          <w:p>
            <w:pPr>
              <w:jc w:val="right"/>
              <w:spacing w:after="0"/>
              <w:rPr>
                <w:sz w:val="20"/>
                <w:szCs w:val="20"/>
                <w:color w:val="auto"/>
              </w:rPr>
            </w:pPr>
            <w:r>
              <w:rPr>
                <w:rFonts w:ascii="Arial" w:cs="Arial" w:eastAsia="Arial" w:hAnsi="Arial"/>
                <w:sz w:val="16"/>
                <w:szCs w:val="16"/>
                <w:color w:val="auto"/>
              </w:rPr>
              <w:t>190</w:t>
            </w:r>
          </w:p>
        </w:tc>
        <w:tc>
          <w:tcPr>
            <w:tcW w:w="1640" w:type="dxa"/>
            <w:vAlign w:val="bottom"/>
          </w:tcPr>
          <w:p>
            <w:pPr>
              <w:jc w:val="right"/>
              <w:ind w:right="440"/>
              <w:spacing w:after="0"/>
              <w:rPr>
                <w:sz w:val="20"/>
                <w:szCs w:val="20"/>
                <w:color w:val="auto"/>
              </w:rPr>
            </w:pPr>
            <w:r>
              <w:rPr>
                <w:rFonts w:ascii="Arial" w:cs="Arial" w:eastAsia="Arial" w:hAnsi="Arial"/>
                <w:sz w:val="16"/>
                <w:szCs w:val="16"/>
                <w:color w:val="auto"/>
              </w:rPr>
              <w:t>207</w:t>
            </w:r>
          </w:p>
        </w:tc>
        <w:tc>
          <w:tcPr>
            <w:tcW w:w="1280" w:type="dxa"/>
            <w:vAlign w:val="bottom"/>
          </w:tcPr>
          <w:p>
            <w:pPr>
              <w:jc w:val="right"/>
              <w:ind w:right="599"/>
              <w:spacing w:after="0"/>
              <w:rPr>
                <w:sz w:val="20"/>
                <w:szCs w:val="20"/>
                <w:color w:val="auto"/>
              </w:rPr>
            </w:pPr>
            <w:r>
              <w:rPr>
                <w:rFonts w:ascii="Arial" w:cs="Arial" w:eastAsia="Arial" w:hAnsi="Arial"/>
                <w:sz w:val="16"/>
                <w:szCs w:val="16"/>
                <w:color w:val="auto"/>
              </w:rPr>
              <w:t>270</w:t>
            </w:r>
          </w:p>
        </w:tc>
      </w:tr>
      <w:tr>
        <w:trPr>
          <w:trHeight w:val="196"/>
        </w:trPr>
        <w:tc>
          <w:tcPr>
            <w:tcW w:w="6080" w:type="dxa"/>
            <w:vAlign w:val="bottom"/>
          </w:tcPr>
          <w:p>
            <w:pPr>
              <w:ind w:left="480"/>
              <w:spacing w:after="0"/>
              <w:rPr>
                <w:sz w:val="20"/>
                <w:szCs w:val="20"/>
                <w:color w:val="auto"/>
              </w:rPr>
            </w:pPr>
            <w:r>
              <w:rPr>
                <w:rFonts w:ascii="Arial" w:cs="Arial" w:eastAsia="Arial" w:hAnsi="Arial"/>
                <w:sz w:val="16"/>
                <w:szCs w:val="16"/>
                <w:color w:val="auto"/>
              </w:rPr>
              <w:t>Africa</w:t>
            </w: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489</w:t>
            </w:r>
          </w:p>
        </w:tc>
        <w:tc>
          <w:tcPr>
            <w:tcW w:w="820" w:type="dxa"/>
            <w:vAlign w:val="bottom"/>
          </w:tcPr>
          <w:p>
            <w:pPr>
              <w:jc w:val="right"/>
              <w:spacing w:after="0"/>
              <w:rPr>
                <w:sz w:val="20"/>
                <w:szCs w:val="20"/>
                <w:color w:val="auto"/>
              </w:rPr>
            </w:pPr>
            <w:r>
              <w:rPr>
                <w:rFonts w:ascii="Arial" w:cs="Arial" w:eastAsia="Arial" w:hAnsi="Arial"/>
                <w:sz w:val="16"/>
                <w:szCs w:val="16"/>
                <w:color w:val="auto"/>
              </w:rPr>
              <w:t>469</w:t>
            </w:r>
          </w:p>
        </w:tc>
        <w:tc>
          <w:tcPr>
            <w:tcW w:w="1640" w:type="dxa"/>
            <w:vAlign w:val="bottom"/>
          </w:tcPr>
          <w:p>
            <w:pPr>
              <w:jc w:val="right"/>
              <w:ind w:right="440"/>
              <w:spacing w:after="0"/>
              <w:rPr>
                <w:sz w:val="20"/>
                <w:szCs w:val="20"/>
                <w:color w:val="auto"/>
              </w:rPr>
            </w:pPr>
            <w:r>
              <w:rPr>
                <w:rFonts w:ascii="Arial" w:cs="Arial" w:eastAsia="Arial" w:hAnsi="Arial"/>
                <w:sz w:val="16"/>
                <w:szCs w:val="16"/>
                <w:color w:val="auto"/>
              </w:rPr>
              <w:t>487</w:t>
            </w:r>
          </w:p>
        </w:tc>
        <w:tc>
          <w:tcPr>
            <w:tcW w:w="1280" w:type="dxa"/>
            <w:vAlign w:val="bottom"/>
          </w:tcPr>
          <w:p>
            <w:pPr>
              <w:jc w:val="right"/>
              <w:ind w:right="599"/>
              <w:spacing w:after="0"/>
              <w:rPr>
                <w:sz w:val="20"/>
                <w:szCs w:val="20"/>
                <w:color w:val="auto"/>
              </w:rPr>
            </w:pPr>
            <w:r>
              <w:rPr>
                <w:rFonts w:ascii="Arial" w:cs="Arial" w:eastAsia="Arial" w:hAnsi="Arial"/>
                <w:sz w:val="16"/>
                <w:szCs w:val="16"/>
                <w:color w:val="auto"/>
              </w:rPr>
              <w:t>508</w:t>
            </w:r>
          </w:p>
        </w:tc>
      </w:tr>
      <w:tr>
        <w:trPr>
          <w:trHeight w:val="196"/>
        </w:trPr>
        <w:tc>
          <w:tcPr>
            <w:tcW w:w="6080" w:type="dxa"/>
            <w:vAlign w:val="bottom"/>
          </w:tcPr>
          <w:p>
            <w:pPr>
              <w:ind w:left="480"/>
              <w:spacing w:after="0"/>
              <w:rPr>
                <w:sz w:val="20"/>
                <w:szCs w:val="20"/>
                <w:color w:val="auto"/>
              </w:rPr>
            </w:pPr>
            <w:r>
              <w:rPr>
                <w:rFonts w:ascii="Arial" w:cs="Arial" w:eastAsia="Arial" w:hAnsi="Arial"/>
                <w:sz w:val="16"/>
                <w:szCs w:val="16"/>
                <w:color w:val="auto"/>
              </w:rPr>
              <w:t>Asia</w:t>
            </w: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624</w:t>
            </w:r>
          </w:p>
        </w:tc>
        <w:tc>
          <w:tcPr>
            <w:tcW w:w="820" w:type="dxa"/>
            <w:vAlign w:val="bottom"/>
          </w:tcPr>
          <w:p>
            <w:pPr>
              <w:jc w:val="right"/>
              <w:spacing w:after="0"/>
              <w:rPr>
                <w:sz w:val="20"/>
                <w:szCs w:val="20"/>
                <w:color w:val="auto"/>
              </w:rPr>
            </w:pPr>
            <w:r>
              <w:rPr>
                <w:rFonts w:ascii="Arial" w:cs="Arial" w:eastAsia="Arial" w:hAnsi="Arial"/>
                <w:sz w:val="16"/>
                <w:szCs w:val="16"/>
                <w:color w:val="auto"/>
              </w:rPr>
              <w:t>784</w:t>
            </w:r>
          </w:p>
        </w:tc>
        <w:tc>
          <w:tcPr>
            <w:tcW w:w="1640" w:type="dxa"/>
            <w:vAlign w:val="bottom"/>
          </w:tcPr>
          <w:p>
            <w:pPr>
              <w:jc w:val="right"/>
              <w:ind w:right="440"/>
              <w:spacing w:after="0"/>
              <w:rPr>
                <w:sz w:val="20"/>
                <w:szCs w:val="20"/>
                <w:color w:val="auto"/>
              </w:rPr>
            </w:pPr>
            <w:r>
              <w:rPr>
                <w:rFonts w:ascii="Arial" w:cs="Arial" w:eastAsia="Arial" w:hAnsi="Arial"/>
                <w:sz w:val="16"/>
                <w:szCs w:val="16"/>
                <w:color w:val="auto"/>
              </w:rPr>
              <w:t>772</w:t>
            </w:r>
          </w:p>
        </w:tc>
        <w:tc>
          <w:tcPr>
            <w:tcW w:w="1280" w:type="dxa"/>
            <w:vAlign w:val="bottom"/>
          </w:tcPr>
          <w:p>
            <w:pPr>
              <w:jc w:val="right"/>
              <w:ind w:right="599"/>
              <w:spacing w:after="0"/>
              <w:rPr>
                <w:sz w:val="20"/>
                <w:szCs w:val="20"/>
                <w:color w:val="auto"/>
              </w:rPr>
            </w:pPr>
            <w:r>
              <w:rPr>
                <w:rFonts w:ascii="Arial" w:cs="Arial" w:eastAsia="Arial" w:hAnsi="Arial"/>
                <w:sz w:val="16"/>
                <w:szCs w:val="16"/>
                <w:color w:val="auto"/>
              </w:rPr>
              <w:t>808</w:t>
            </w:r>
          </w:p>
        </w:tc>
      </w:tr>
      <w:tr>
        <w:trPr>
          <w:trHeight w:val="208"/>
        </w:trPr>
        <w:tc>
          <w:tcPr>
            <w:tcW w:w="6080" w:type="dxa"/>
            <w:vAlign w:val="bottom"/>
          </w:tcPr>
          <w:p>
            <w:pPr>
              <w:ind w:left="480"/>
              <w:spacing w:after="0"/>
              <w:rPr>
                <w:sz w:val="20"/>
                <w:szCs w:val="20"/>
                <w:color w:val="auto"/>
              </w:rPr>
            </w:pPr>
            <w:r>
              <w:rPr>
                <w:rFonts w:ascii="Arial" w:cs="Arial" w:eastAsia="Arial" w:hAnsi="Arial"/>
                <w:sz w:val="16"/>
                <w:szCs w:val="16"/>
                <w:color w:val="auto"/>
              </w:rPr>
              <w:t>Australia/Oceania</w:t>
            </w: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59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6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50</w:t>
            </w: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51</w:t>
            </w:r>
          </w:p>
        </w:tc>
      </w:tr>
      <w:tr>
        <w:trPr>
          <w:trHeight w:val="189"/>
        </w:trPr>
        <w:tc>
          <w:tcPr>
            <w:tcW w:w="6080" w:type="dxa"/>
            <w:vAlign w:val="bottom"/>
          </w:tcPr>
          <w:p>
            <w:pPr>
              <w:ind w:left="240"/>
              <w:spacing w:after="0"/>
              <w:rPr>
                <w:sz w:val="20"/>
                <w:szCs w:val="20"/>
                <w:color w:val="auto"/>
              </w:rPr>
            </w:pPr>
            <w:r>
              <w:rPr>
                <w:rFonts w:ascii="Arial" w:cs="Arial" w:eastAsia="Arial" w:hAnsi="Arial"/>
                <w:sz w:val="16"/>
                <w:szCs w:val="16"/>
                <w:color w:val="auto"/>
              </w:rPr>
              <w:t>Worldwide</w:t>
            </w: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2,111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2,202</w:t>
            </w:r>
          </w:p>
        </w:tc>
        <w:tc>
          <w:tcPr>
            <w:tcW w:w="16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2,185</w:t>
            </w: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2,312</w:t>
            </w:r>
          </w:p>
        </w:tc>
      </w:tr>
      <w:tr>
        <w:trPr>
          <w:trHeight w:val="372"/>
        </w:trPr>
        <w:tc>
          <w:tcPr>
            <w:tcW w:w="6080" w:type="dxa"/>
            <w:vAlign w:val="bottom"/>
          </w:tcPr>
          <w:p>
            <w:pPr>
              <w:spacing w:after="0"/>
              <w:rPr>
                <w:sz w:val="20"/>
                <w:szCs w:val="20"/>
                <w:color w:val="auto"/>
              </w:rPr>
            </w:pPr>
            <w:r>
              <w:rPr>
                <w:rFonts w:ascii="Arial" w:cs="Arial" w:eastAsia="Arial" w:hAnsi="Arial"/>
                <w:sz w:val="16"/>
                <w:szCs w:val="16"/>
                <w:color w:val="auto"/>
              </w:rPr>
              <w:t>Natural gas production available for sale</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6080" w:type="dxa"/>
            <w:vAlign w:val="bottom"/>
          </w:tcPr>
          <w:p>
            <w:pPr>
              <w:ind w:left="240"/>
              <w:spacing w:after="0"/>
              <w:rPr>
                <w:sz w:val="20"/>
                <w:szCs w:val="20"/>
                <w:color w:val="auto"/>
              </w:rPr>
            </w:pPr>
            <w:r>
              <w:rPr>
                <w:rFonts w:ascii="Arial" w:cs="Arial" w:eastAsia="Arial" w:hAnsi="Arial"/>
                <w:sz w:val="16"/>
                <w:szCs w:val="16"/>
                <w:color w:val="auto"/>
              </w:rPr>
              <w:t>Net production</w:t>
            </w: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40" w:type="dxa"/>
            <w:vAlign w:val="bottom"/>
          </w:tcPr>
          <w:p>
            <w:pPr>
              <w:jc w:val="center"/>
              <w:ind w:right="80"/>
              <w:spacing w:after="0"/>
              <w:rPr>
                <w:sz w:val="20"/>
                <w:szCs w:val="20"/>
                <w:color w:val="auto"/>
              </w:rPr>
            </w:pPr>
            <w:r>
              <w:rPr>
                <w:rFonts w:ascii="Arial" w:cs="Arial" w:eastAsia="Arial" w:hAnsi="Arial"/>
                <w:sz w:val="13"/>
                <w:szCs w:val="13"/>
                <w:i w:val="1"/>
                <w:iCs w:val="1"/>
                <w:color w:val="auto"/>
                <w:w w:val="94"/>
              </w:rPr>
              <w:t>(millions of cubic feet daily)</w:t>
            </w:r>
          </w:p>
        </w:tc>
        <w:tc>
          <w:tcPr>
            <w:tcW w:w="1280" w:type="dxa"/>
            <w:vAlign w:val="bottom"/>
          </w:tcPr>
          <w:p>
            <w:pPr>
              <w:spacing w:after="0"/>
              <w:rPr>
                <w:sz w:val="17"/>
                <w:szCs w:val="17"/>
                <w:color w:val="auto"/>
              </w:rPr>
            </w:pPr>
          </w:p>
        </w:tc>
      </w:tr>
      <w:tr>
        <w:trPr>
          <w:trHeight w:val="196"/>
        </w:trPr>
        <w:tc>
          <w:tcPr>
            <w:tcW w:w="6080" w:type="dxa"/>
            <w:vAlign w:val="bottom"/>
          </w:tcPr>
          <w:p>
            <w:pPr>
              <w:ind w:left="480"/>
              <w:spacing w:after="0"/>
              <w:rPr>
                <w:sz w:val="20"/>
                <w:szCs w:val="20"/>
                <w:color w:val="auto"/>
              </w:rPr>
            </w:pPr>
            <w:r>
              <w:rPr>
                <w:rFonts w:ascii="Arial" w:cs="Arial" w:eastAsia="Arial" w:hAnsi="Arial"/>
                <w:sz w:val="16"/>
                <w:szCs w:val="16"/>
                <w:color w:val="auto"/>
              </w:rPr>
              <w:t>United States</w:t>
            </w: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3,404</w:t>
            </w:r>
          </w:p>
        </w:tc>
        <w:tc>
          <w:tcPr>
            <w:tcW w:w="820" w:type="dxa"/>
            <w:vAlign w:val="bottom"/>
          </w:tcPr>
          <w:p>
            <w:pPr>
              <w:jc w:val="right"/>
              <w:spacing w:after="0"/>
              <w:rPr>
                <w:sz w:val="20"/>
                <w:szCs w:val="20"/>
                <w:color w:val="auto"/>
              </w:rPr>
            </w:pPr>
            <w:r>
              <w:rPr>
                <w:rFonts w:ascii="Arial" w:cs="Arial" w:eastAsia="Arial" w:hAnsi="Arial"/>
                <w:sz w:val="16"/>
                <w:szCs w:val="16"/>
                <w:color w:val="auto"/>
              </w:rPr>
              <w:t>3,545</w:t>
            </w:r>
          </w:p>
        </w:tc>
        <w:tc>
          <w:tcPr>
            <w:tcW w:w="1640" w:type="dxa"/>
            <w:vAlign w:val="bottom"/>
          </w:tcPr>
          <w:p>
            <w:pPr>
              <w:jc w:val="right"/>
              <w:ind w:right="440"/>
              <w:spacing w:after="0"/>
              <w:rPr>
                <w:sz w:val="20"/>
                <w:szCs w:val="20"/>
                <w:color w:val="auto"/>
              </w:rPr>
            </w:pPr>
            <w:r>
              <w:rPr>
                <w:rFonts w:ascii="Arial" w:cs="Arial" w:eastAsia="Arial" w:hAnsi="Arial"/>
                <w:sz w:val="16"/>
                <w:szCs w:val="16"/>
                <w:color w:val="auto"/>
              </w:rPr>
              <w:t>3,822</w:t>
            </w:r>
          </w:p>
        </w:tc>
        <w:tc>
          <w:tcPr>
            <w:tcW w:w="1280" w:type="dxa"/>
            <w:vAlign w:val="bottom"/>
          </w:tcPr>
          <w:p>
            <w:pPr>
              <w:jc w:val="right"/>
              <w:ind w:right="599"/>
              <w:spacing w:after="0"/>
              <w:rPr>
                <w:sz w:val="20"/>
                <w:szCs w:val="20"/>
                <w:color w:val="auto"/>
              </w:rPr>
            </w:pPr>
            <w:r>
              <w:rPr>
                <w:rFonts w:ascii="Arial" w:cs="Arial" w:eastAsia="Arial" w:hAnsi="Arial"/>
                <w:sz w:val="16"/>
                <w:szCs w:val="16"/>
                <w:color w:val="auto"/>
              </w:rPr>
              <w:t>3,917</w:t>
            </w:r>
          </w:p>
        </w:tc>
      </w:tr>
      <w:tr>
        <w:trPr>
          <w:trHeight w:val="196"/>
        </w:trPr>
        <w:tc>
          <w:tcPr>
            <w:tcW w:w="6080" w:type="dxa"/>
            <w:vAlign w:val="bottom"/>
          </w:tcPr>
          <w:p>
            <w:pPr>
              <w:ind w:left="480"/>
              <w:spacing w:after="0"/>
              <w:rPr>
                <w:sz w:val="20"/>
                <w:szCs w:val="20"/>
                <w:color w:val="auto"/>
              </w:rPr>
            </w:pPr>
            <w:r>
              <w:rPr>
                <w:rFonts w:ascii="Arial" w:cs="Arial" w:eastAsia="Arial" w:hAnsi="Arial"/>
                <w:sz w:val="16"/>
                <w:szCs w:val="16"/>
                <w:color w:val="auto"/>
              </w:rPr>
              <w:t>Canada/South America</w:t>
            </w: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310</w:t>
            </w:r>
          </w:p>
        </w:tc>
        <w:tc>
          <w:tcPr>
            <w:tcW w:w="820" w:type="dxa"/>
            <w:vAlign w:val="bottom"/>
          </w:tcPr>
          <w:p>
            <w:pPr>
              <w:jc w:val="right"/>
              <w:spacing w:after="0"/>
              <w:rPr>
                <w:sz w:val="20"/>
                <w:szCs w:val="20"/>
                <w:color w:val="auto"/>
              </w:rPr>
            </w:pPr>
            <w:r>
              <w:rPr>
                <w:rFonts w:ascii="Arial" w:cs="Arial" w:eastAsia="Arial" w:hAnsi="Arial"/>
                <w:sz w:val="16"/>
                <w:szCs w:val="16"/>
                <w:color w:val="auto"/>
              </w:rPr>
              <w:t>354</w:t>
            </w:r>
          </w:p>
        </w:tc>
        <w:tc>
          <w:tcPr>
            <w:tcW w:w="1640" w:type="dxa"/>
            <w:vAlign w:val="bottom"/>
          </w:tcPr>
          <w:p>
            <w:pPr>
              <w:jc w:val="right"/>
              <w:ind w:right="440"/>
              <w:spacing w:after="0"/>
              <w:rPr>
                <w:sz w:val="20"/>
                <w:szCs w:val="20"/>
                <w:color w:val="auto"/>
              </w:rPr>
            </w:pPr>
            <w:r>
              <w:rPr>
                <w:rFonts w:ascii="Arial" w:cs="Arial" w:eastAsia="Arial" w:hAnsi="Arial"/>
                <w:sz w:val="16"/>
                <w:szCs w:val="16"/>
                <w:color w:val="auto"/>
              </w:rPr>
              <w:t>362</w:t>
            </w:r>
          </w:p>
        </w:tc>
        <w:tc>
          <w:tcPr>
            <w:tcW w:w="1280" w:type="dxa"/>
            <w:vAlign w:val="bottom"/>
          </w:tcPr>
          <w:p>
            <w:pPr>
              <w:jc w:val="right"/>
              <w:ind w:right="599"/>
              <w:spacing w:after="0"/>
              <w:rPr>
                <w:sz w:val="20"/>
                <w:szCs w:val="20"/>
                <w:color w:val="auto"/>
              </w:rPr>
            </w:pPr>
            <w:r>
              <w:rPr>
                <w:rFonts w:ascii="Arial" w:cs="Arial" w:eastAsia="Arial" w:hAnsi="Arial"/>
                <w:sz w:val="16"/>
                <w:szCs w:val="16"/>
                <w:color w:val="auto"/>
              </w:rPr>
              <w:t>412</w:t>
            </w:r>
          </w:p>
        </w:tc>
      </w:tr>
      <w:tr>
        <w:trPr>
          <w:trHeight w:val="196"/>
        </w:trPr>
        <w:tc>
          <w:tcPr>
            <w:tcW w:w="6080" w:type="dxa"/>
            <w:vAlign w:val="bottom"/>
          </w:tcPr>
          <w:p>
            <w:pPr>
              <w:ind w:left="480"/>
              <w:spacing w:after="0"/>
              <w:rPr>
                <w:sz w:val="20"/>
                <w:szCs w:val="20"/>
                <w:color w:val="auto"/>
              </w:rPr>
            </w:pPr>
            <w:r>
              <w:rPr>
                <w:rFonts w:ascii="Arial" w:cs="Arial" w:eastAsia="Arial" w:hAnsi="Arial"/>
                <w:sz w:val="16"/>
                <w:szCs w:val="16"/>
                <w:color w:val="auto"/>
              </w:rPr>
              <w:t>Europe</w:t>
            </w: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2,816</w:t>
            </w:r>
          </w:p>
        </w:tc>
        <w:tc>
          <w:tcPr>
            <w:tcW w:w="820" w:type="dxa"/>
            <w:vAlign w:val="bottom"/>
          </w:tcPr>
          <w:p>
            <w:pPr>
              <w:jc w:val="right"/>
              <w:spacing w:after="0"/>
              <w:rPr>
                <w:sz w:val="20"/>
                <w:szCs w:val="20"/>
                <w:color w:val="auto"/>
              </w:rPr>
            </w:pPr>
            <w:r>
              <w:rPr>
                <w:rFonts w:ascii="Arial" w:cs="Arial" w:eastAsia="Arial" w:hAnsi="Arial"/>
                <w:sz w:val="16"/>
                <w:szCs w:val="16"/>
                <w:color w:val="auto"/>
              </w:rPr>
              <w:t>3,251</w:t>
            </w:r>
          </w:p>
        </w:tc>
        <w:tc>
          <w:tcPr>
            <w:tcW w:w="1640" w:type="dxa"/>
            <w:vAlign w:val="bottom"/>
          </w:tcPr>
          <w:p>
            <w:pPr>
              <w:jc w:val="right"/>
              <w:ind w:right="440"/>
              <w:spacing w:after="0"/>
              <w:rPr>
                <w:sz w:val="20"/>
                <w:szCs w:val="20"/>
                <w:color w:val="auto"/>
              </w:rPr>
            </w:pPr>
            <w:r>
              <w:rPr>
                <w:rFonts w:ascii="Arial" w:cs="Arial" w:eastAsia="Arial" w:hAnsi="Arial"/>
                <w:sz w:val="16"/>
                <w:szCs w:val="16"/>
                <w:color w:val="auto"/>
              </w:rPr>
              <w:t>3,220</w:t>
            </w:r>
          </w:p>
        </w:tc>
        <w:tc>
          <w:tcPr>
            <w:tcW w:w="1280" w:type="dxa"/>
            <w:vAlign w:val="bottom"/>
          </w:tcPr>
          <w:p>
            <w:pPr>
              <w:jc w:val="right"/>
              <w:ind w:right="599"/>
              <w:spacing w:after="0"/>
              <w:rPr>
                <w:sz w:val="20"/>
                <w:szCs w:val="20"/>
                <w:color w:val="auto"/>
              </w:rPr>
            </w:pPr>
            <w:r>
              <w:rPr>
                <w:rFonts w:ascii="Arial" w:cs="Arial" w:eastAsia="Arial" w:hAnsi="Arial"/>
                <w:sz w:val="16"/>
                <w:szCs w:val="16"/>
                <w:color w:val="auto"/>
              </w:rPr>
              <w:t>3,448</w:t>
            </w:r>
          </w:p>
        </w:tc>
      </w:tr>
      <w:tr>
        <w:trPr>
          <w:trHeight w:val="196"/>
        </w:trPr>
        <w:tc>
          <w:tcPr>
            <w:tcW w:w="6080" w:type="dxa"/>
            <w:vAlign w:val="bottom"/>
          </w:tcPr>
          <w:p>
            <w:pPr>
              <w:ind w:left="480"/>
              <w:spacing w:after="0"/>
              <w:rPr>
                <w:sz w:val="20"/>
                <w:szCs w:val="20"/>
                <w:color w:val="auto"/>
              </w:rPr>
            </w:pPr>
            <w:r>
              <w:rPr>
                <w:rFonts w:ascii="Arial" w:cs="Arial" w:eastAsia="Arial" w:hAnsi="Arial"/>
                <w:sz w:val="16"/>
                <w:szCs w:val="16"/>
                <w:color w:val="auto"/>
              </w:rPr>
              <w:t>Africa</w:t>
            </w: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4</w:t>
            </w:r>
          </w:p>
        </w:tc>
        <w:tc>
          <w:tcPr>
            <w:tcW w:w="820" w:type="dxa"/>
            <w:vAlign w:val="bottom"/>
          </w:tcPr>
          <w:p>
            <w:pPr>
              <w:jc w:val="right"/>
              <w:spacing w:after="0"/>
              <w:rPr>
                <w:sz w:val="20"/>
                <w:szCs w:val="20"/>
                <w:color w:val="auto"/>
              </w:rPr>
            </w:pPr>
            <w:r>
              <w:rPr>
                <w:rFonts w:ascii="Arial" w:cs="Arial" w:eastAsia="Arial" w:hAnsi="Arial"/>
                <w:sz w:val="16"/>
                <w:szCs w:val="16"/>
                <w:color w:val="auto"/>
              </w:rPr>
              <w:t>6</w:t>
            </w:r>
          </w:p>
        </w:tc>
        <w:tc>
          <w:tcPr>
            <w:tcW w:w="1640" w:type="dxa"/>
            <w:vAlign w:val="bottom"/>
          </w:tcPr>
          <w:p>
            <w:pPr>
              <w:jc w:val="right"/>
              <w:ind w:right="440"/>
              <w:spacing w:after="0"/>
              <w:rPr>
                <w:sz w:val="20"/>
                <w:szCs w:val="20"/>
                <w:color w:val="auto"/>
              </w:rPr>
            </w:pPr>
            <w:r>
              <w:rPr>
                <w:rFonts w:ascii="Arial" w:cs="Arial" w:eastAsia="Arial" w:hAnsi="Arial"/>
                <w:sz w:val="16"/>
                <w:szCs w:val="16"/>
                <w:color w:val="auto"/>
              </w:rPr>
              <w:t>17</w:t>
            </w:r>
          </w:p>
        </w:tc>
        <w:tc>
          <w:tcPr>
            <w:tcW w:w="1280" w:type="dxa"/>
            <w:vAlign w:val="bottom"/>
          </w:tcPr>
          <w:p>
            <w:pPr>
              <w:jc w:val="right"/>
              <w:ind w:right="599"/>
              <w:spacing w:after="0"/>
              <w:rPr>
                <w:sz w:val="20"/>
                <w:szCs w:val="20"/>
                <w:color w:val="auto"/>
              </w:rPr>
            </w:pPr>
            <w:r>
              <w:rPr>
                <w:rFonts w:ascii="Arial" w:cs="Arial" w:eastAsia="Arial" w:hAnsi="Arial"/>
                <w:sz w:val="16"/>
                <w:szCs w:val="16"/>
                <w:color w:val="auto"/>
              </w:rPr>
              <w:t>7</w:t>
            </w:r>
          </w:p>
        </w:tc>
      </w:tr>
      <w:tr>
        <w:trPr>
          <w:trHeight w:val="196"/>
        </w:trPr>
        <w:tc>
          <w:tcPr>
            <w:tcW w:w="6080" w:type="dxa"/>
            <w:vAlign w:val="bottom"/>
          </w:tcPr>
          <w:p>
            <w:pPr>
              <w:ind w:left="480"/>
              <w:spacing w:after="0"/>
              <w:rPr>
                <w:sz w:val="20"/>
                <w:szCs w:val="20"/>
                <w:color w:val="auto"/>
              </w:rPr>
            </w:pPr>
            <w:r>
              <w:rPr>
                <w:rFonts w:ascii="Arial" w:cs="Arial" w:eastAsia="Arial" w:hAnsi="Arial"/>
                <w:sz w:val="16"/>
                <w:szCs w:val="16"/>
                <w:color w:val="auto"/>
              </w:rPr>
              <w:t>Asia</w:t>
            </w: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4,099</w:t>
            </w:r>
          </w:p>
        </w:tc>
        <w:tc>
          <w:tcPr>
            <w:tcW w:w="820" w:type="dxa"/>
            <w:vAlign w:val="bottom"/>
          </w:tcPr>
          <w:p>
            <w:pPr>
              <w:jc w:val="right"/>
              <w:spacing w:after="0"/>
              <w:rPr>
                <w:sz w:val="20"/>
                <w:szCs w:val="20"/>
                <w:color w:val="auto"/>
              </w:rPr>
            </w:pPr>
            <w:r>
              <w:rPr>
                <w:rFonts w:ascii="Arial" w:cs="Arial" w:eastAsia="Arial" w:hAnsi="Arial"/>
                <w:sz w:val="16"/>
                <w:szCs w:val="16"/>
                <w:color w:val="auto"/>
              </w:rPr>
              <w:t>4,329</w:t>
            </w:r>
          </w:p>
        </w:tc>
        <w:tc>
          <w:tcPr>
            <w:tcW w:w="1640" w:type="dxa"/>
            <w:vAlign w:val="bottom"/>
          </w:tcPr>
          <w:p>
            <w:pPr>
              <w:jc w:val="right"/>
              <w:ind w:right="440"/>
              <w:spacing w:after="0"/>
              <w:rPr>
                <w:sz w:val="20"/>
                <w:szCs w:val="20"/>
                <w:color w:val="auto"/>
              </w:rPr>
            </w:pPr>
            <w:r>
              <w:rPr>
                <w:rFonts w:ascii="Arial" w:cs="Arial" w:eastAsia="Arial" w:hAnsi="Arial"/>
                <w:sz w:val="16"/>
                <w:szCs w:val="16"/>
                <w:color w:val="auto"/>
              </w:rPr>
              <w:t>4,538</w:t>
            </w:r>
          </w:p>
        </w:tc>
        <w:tc>
          <w:tcPr>
            <w:tcW w:w="1280" w:type="dxa"/>
            <w:vAlign w:val="bottom"/>
          </w:tcPr>
          <w:p>
            <w:pPr>
              <w:jc w:val="right"/>
              <w:ind w:right="599"/>
              <w:spacing w:after="0"/>
              <w:rPr>
                <w:sz w:val="20"/>
                <w:szCs w:val="20"/>
                <w:color w:val="auto"/>
              </w:rPr>
            </w:pPr>
            <w:r>
              <w:rPr>
                <w:rFonts w:ascii="Arial" w:cs="Arial" w:eastAsia="Arial" w:hAnsi="Arial"/>
                <w:sz w:val="16"/>
                <w:szCs w:val="16"/>
                <w:color w:val="auto"/>
              </w:rPr>
              <w:t>5,047</w:t>
            </w:r>
          </w:p>
        </w:tc>
      </w:tr>
      <w:tr>
        <w:trPr>
          <w:trHeight w:val="208"/>
        </w:trPr>
        <w:tc>
          <w:tcPr>
            <w:tcW w:w="6080" w:type="dxa"/>
            <w:vAlign w:val="bottom"/>
          </w:tcPr>
          <w:p>
            <w:pPr>
              <w:ind w:left="480"/>
              <w:spacing w:after="0"/>
              <w:rPr>
                <w:sz w:val="20"/>
                <w:szCs w:val="20"/>
                <w:color w:val="auto"/>
              </w:rPr>
            </w:pPr>
            <w:r>
              <w:rPr>
                <w:rFonts w:ascii="Arial" w:cs="Arial" w:eastAsia="Arial" w:hAnsi="Arial"/>
                <w:sz w:val="16"/>
                <w:szCs w:val="16"/>
                <w:color w:val="auto"/>
              </w:rPr>
              <w:t>Australia/Oceania</w:t>
            </w: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512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16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363</w:t>
            </w: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331</w:t>
            </w:r>
          </w:p>
        </w:tc>
      </w:tr>
      <w:tr>
        <w:trPr>
          <w:trHeight w:val="189"/>
        </w:trPr>
        <w:tc>
          <w:tcPr>
            <w:tcW w:w="6080" w:type="dxa"/>
            <w:vAlign w:val="bottom"/>
          </w:tcPr>
          <w:p>
            <w:pPr>
              <w:ind w:left="240"/>
              <w:spacing w:after="0"/>
              <w:rPr>
                <w:sz w:val="20"/>
                <w:szCs w:val="20"/>
                <w:color w:val="auto"/>
              </w:rPr>
            </w:pPr>
            <w:r>
              <w:rPr>
                <w:rFonts w:ascii="Arial" w:cs="Arial" w:eastAsia="Arial" w:hAnsi="Arial"/>
                <w:sz w:val="16"/>
                <w:szCs w:val="16"/>
                <w:color w:val="auto"/>
              </w:rPr>
              <w:t>Worldwide</w:t>
            </w: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11,145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11,836</w:t>
            </w:r>
          </w:p>
        </w:tc>
        <w:tc>
          <w:tcPr>
            <w:tcW w:w="16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12,322</w:t>
            </w: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13,162</w:t>
            </w:r>
          </w:p>
        </w:tc>
      </w:tr>
      <w:tr>
        <w:trPr>
          <w:trHeight w:val="361"/>
        </w:trPr>
        <w:tc>
          <w:tcPr>
            <w:tcW w:w="6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740" w:type="dxa"/>
            <w:vAlign w:val="bottom"/>
            <w:gridSpan w:val="3"/>
          </w:tcPr>
          <w:p>
            <w:pPr>
              <w:jc w:val="center"/>
              <w:ind w:right="539"/>
              <w:spacing w:after="0"/>
              <w:rPr>
                <w:sz w:val="20"/>
                <w:szCs w:val="20"/>
                <w:color w:val="auto"/>
              </w:rPr>
            </w:pPr>
            <w:r>
              <w:rPr>
                <w:rFonts w:ascii="Arial" w:cs="Arial" w:eastAsia="Arial" w:hAnsi="Arial"/>
                <w:sz w:val="13"/>
                <w:szCs w:val="13"/>
                <w:i w:val="1"/>
                <w:iCs w:val="1"/>
                <w:color w:val="auto"/>
                <w:w w:val="92"/>
              </w:rPr>
              <w:t>(thousands of oil-equivalent barrels daily)</w:t>
            </w:r>
          </w:p>
        </w:tc>
      </w:tr>
      <w:tr>
        <w:trPr>
          <w:trHeight w:val="218"/>
        </w:trPr>
        <w:tc>
          <w:tcPr>
            <w:tcW w:w="6080" w:type="dxa"/>
            <w:vAlign w:val="bottom"/>
          </w:tcPr>
          <w:p>
            <w:pPr>
              <w:spacing w:after="0"/>
              <w:rPr>
                <w:sz w:val="20"/>
                <w:szCs w:val="20"/>
                <w:color w:val="auto"/>
              </w:rPr>
            </w:pPr>
            <w:r>
              <w:rPr>
                <w:rFonts w:ascii="Arial" w:cs="Arial" w:eastAsia="Arial" w:hAnsi="Arial"/>
                <w:sz w:val="16"/>
                <w:szCs w:val="16"/>
                <w:color w:val="auto"/>
              </w:rPr>
              <w:t xml:space="preserve">Oil-equivalent production </w:t>
            </w:r>
            <w:r>
              <w:rPr>
                <w:rFonts w:ascii="Arial" w:cs="Arial" w:eastAsia="Arial" w:hAnsi="Arial"/>
                <w:sz w:val="14"/>
                <w:szCs w:val="14"/>
                <w:i w:val="1"/>
                <w:iCs w:val="1"/>
                <w:color w:val="auto"/>
              </w:rPr>
              <w:t>(1)</w:t>
            </w: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3,969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4,175</w:t>
            </w:r>
          </w:p>
        </w:tc>
        <w:tc>
          <w:tcPr>
            <w:tcW w:w="16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4,239</w:t>
            </w: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4,506</w:t>
            </w:r>
          </w:p>
        </w:tc>
      </w:tr>
      <w:tr>
        <w:trPr>
          <w:trHeight w:val="373"/>
        </w:trPr>
        <w:tc>
          <w:tcPr>
            <w:tcW w:w="6080" w:type="dxa"/>
            <w:vAlign w:val="bottom"/>
          </w:tcPr>
          <w:p>
            <w:pPr>
              <w:spacing w:after="0"/>
              <w:rPr>
                <w:sz w:val="20"/>
                <w:szCs w:val="20"/>
                <w:color w:val="auto"/>
              </w:rPr>
            </w:pPr>
            <w:r>
              <w:rPr>
                <w:rFonts w:ascii="Arial" w:cs="Arial" w:eastAsia="Arial" w:hAnsi="Arial"/>
                <w:sz w:val="16"/>
                <w:szCs w:val="16"/>
                <w:color w:val="auto"/>
              </w:rPr>
              <w:t>Refinery throughput</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jc w:val="center"/>
              <w:ind w:right="80"/>
              <w:spacing w:after="0"/>
              <w:rPr>
                <w:sz w:val="20"/>
                <w:szCs w:val="20"/>
                <w:color w:val="auto"/>
              </w:rPr>
            </w:pPr>
            <w:r>
              <w:rPr>
                <w:rFonts w:ascii="Arial" w:cs="Arial" w:eastAsia="Arial" w:hAnsi="Arial"/>
                <w:sz w:val="13"/>
                <w:szCs w:val="13"/>
                <w:i w:val="1"/>
                <w:iCs w:val="1"/>
                <w:color w:val="auto"/>
                <w:w w:val="91"/>
              </w:rPr>
              <w:t>(thousands of barrels daily)</w:t>
            </w:r>
          </w:p>
        </w:tc>
        <w:tc>
          <w:tcPr>
            <w:tcW w:w="1280" w:type="dxa"/>
            <w:vAlign w:val="bottom"/>
          </w:tcPr>
          <w:p>
            <w:pPr>
              <w:spacing w:after="0"/>
              <w:rPr>
                <w:sz w:val="24"/>
                <w:szCs w:val="24"/>
                <w:color w:val="auto"/>
              </w:rPr>
            </w:pPr>
          </w:p>
        </w:tc>
      </w:tr>
      <w:tr>
        <w:trPr>
          <w:trHeight w:val="196"/>
        </w:trPr>
        <w:tc>
          <w:tcPr>
            <w:tcW w:w="6080" w:type="dxa"/>
            <w:vAlign w:val="bottom"/>
          </w:tcPr>
          <w:p>
            <w:pPr>
              <w:ind w:left="480"/>
              <w:spacing w:after="0"/>
              <w:rPr>
                <w:sz w:val="20"/>
                <w:szCs w:val="20"/>
                <w:color w:val="auto"/>
              </w:rPr>
            </w:pPr>
            <w:r>
              <w:rPr>
                <w:rFonts w:ascii="Arial" w:cs="Arial" w:eastAsia="Arial" w:hAnsi="Arial"/>
                <w:sz w:val="16"/>
                <w:szCs w:val="16"/>
                <w:color w:val="auto"/>
              </w:rPr>
              <w:t>United States</w:t>
            </w: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1,809</w:t>
            </w:r>
          </w:p>
        </w:tc>
        <w:tc>
          <w:tcPr>
            <w:tcW w:w="820" w:type="dxa"/>
            <w:vAlign w:val="bottom"/>
          </w:tcPr>
          <w:p>
            <w:pPr>
              <w:jc w:val="right"/>
              <w:spacing w:after="0"/>
              <w:rPr>
                <w:sz w:val="20"/>
                <w:szCs w:val="20"/>
                <w:color w:val="auto"/>
              </w:rPr>
            </w:pPr>
            <w:r>
              <w:rPr>
                <w:rFonts w:ascii="Arial" w:cs="Arial" w:eastAsia="Arial" w:hAnsi="Arial"/>
                <w:sz w:val="16"/>
                <w:szCs w:val="16"/>
                <w:color w:val="auto"/>
              </w:rPr>
              <w:t>1,819</w:t>
            </w:r>
          </w:p>
        </w:tc>
        <w:tc>
          <w:tcPr>
            <w:tcW w:w="1640" w:type="dxa"/>
            <w:vAlign w:val="bottom"/>
          </w:tcPr>
          <w:p>
            <w:pPr>
              <w:jc w:val="right"/>
              <w:ind w:right="440"/>
              <w:spacing w:after="0"/>
              <w:rPr>
                <w:sz w:val="20"/>
                <w:szCs w:val="20"/>
                <w:color w:val="auto"/>
              </w:rPr>
            </w:pPr>
            <w:r>
              <w:rPr>
                <w:rFonts w:ascii="Arial" w:cs="Arial" w:eastAsia="Arial" w:hAnsi="Arial"/>
                <w:sz w:val="16"/>
                <w:szCs w:val="16"/>
                <w:color w:val="auto"/>
              </w:rPr>
              <w:t>1,816</w:t>
            </w:r>
          </w:p>
        </w:tc>
        <w:tc>
          <w:tcPr>
            <w:tcW w:w="1280" w:type="dxa"/>
            <w:vAlign w:val="bottom"/>
          </w:tcPr>
          <w:p>
            <w:pPr>
              <w:jc w:val="right"/>
              <w:ind w:right="599"/>
              <w:spacing w:after="0"/>
              <w:rPr>
                <w:sz w:val="20"/>
                <w:szCs w:val="20"/>
                <w:color w:val="auto"/>
              </w:rPr>
            </w:pPr>
            <w:r>
              <w:rPr>
                <w:rFonts w:ascii="Arial" w:cs="Arial" w:eastAsia="Arial" w:hAnsi="Arial"/>
                <w:sz w:val="16"/>
                <w:szCs w:val="16"/>
                <w:color w:val="auto"/>
              </w:rPr>
              <w:t>1,784</w:t>
            </w:r>
          </w:p>
        </w:tc>
      </w:tr>
      <w:tr>
        <w:trPr>
          <w:trHeight w:val="196"/>
        </w:trPr>
        <w:tc>
          <w:tcPr>
            <w:tcW w:w="6080" w:type="dxa"/>
            <w:vAlign w:val="bottom"/>
          </w:tcPr>
          <w:p>
            <w:pPr>
              <w:ind w:left="480"/>
              <w:spacing w:after="0"/>
              <w:rPr>
                <w:sz w:val="20"/>
                <w:szCs w:val="20"/>
                <w:color w:val="auto"/>
              </w:rPr>
            </w:pPr>
            <w:r>
              <w:rPr>
                <w:rFonts w:ascii="Arial" w:cs="Arial" w:eastAsia="Arial" w:hAnsi="Arial"/>
                <w:sz w:val="16"/>
                <w:szCs w:val="16"/>
                <w:color w:val="auto"/>
              </w:rPr>
              <w:t>Canada</w:t>
            </w: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394</w:t>
            </w:r>
          </w:p>
        </w:tc>
        <w:tc>
          <w:tcPr>
            <w:tcW w:w="820" w:type="dxa"/>
            <w:vAlign w:val="bottom"/>
          </w:tcPr>
          <w:p>
            <w:pPr>
              <w:jc w:val="right"/>
              <w:spacing w:after="0"/>
              <w:rPr>
                <w:sz w:val="20"/>
                <w:szCs w:val="20"/>
                <w:color w:val="auto"/>
              </w:rPr>
            </w:pPr>
            <w:r>
              <w:rPr>
                <w:rFonts w:ascii="Arial" w:cs="Arial" w:eastAsia="Arial" w:hAnsi="Arial"/>
                <w:sz w:val="16"/>
                <w:szCs w:val="16"/>
                <w:color w:val="auto"/>
              </w:rPr>
              <w:t>426</w:t>
            </w:r>
          </w:p>
        </w:tc>
        <w:tc>
          <w:tcPr>
            <w:tcW w:w="1640" w:type="dxa"/>
            <w:vAlign w:val="bottom"/>
          </w:tcPr>
          <w:p>
            <w:pPr>
              <w:jc w:val="right"/>
              <w:ind w:right="440"/>
              <w:spacing w:after="0"/>
              <w:rPr>
                <w:sz w:val="20"/>
                <w:szCs w:val="20"/>
                <w:color w:val="auto"/>
              </w:rPr>
            </w:pPr>
            <w:r>
              <w:rPr>
                <w:rFonts w:ascii="Arial" w:cs="Arial" w:eastAsia="Arial" w:hAnsi="Arial"/>
                <w:sz w:val="16"/>
                <w:szCs w:val="16"/>
                <w:color w:val="auto"/>
              </w:rPr>
              <w:t>435</w:t>
            </w:r>
          </w:p>
        </w:tc>
        <w:tc>
          <w:tcPr>
            <w:tcW w:w="1280" w:type="dxa"/>
            <w:vAlign w:val="bottom"/>
          </w:tcPr>
          <w:p>
            <w:pPr>
              <w:jc w:val="right"/>
              <w:ind w:right="599"/>
              <w:spacing w:after="0"/>
              <w:rPr>
                <w:sz w:val="20"/>
                <w:szCs w:val="20"/>
                <w:color w:val="auto"/>
              </w:rPr>
            </w:pPr>
            <w:r>
              <w:rPr>
                <w:rFonts w:ascii="Arial" w:cs="Arial" w:eastAsia="Arial" w:hAnsi="Arial"/>
                <w:sz w:val="16"/>
                <w:szCs w:val="16"/>
                <w:color w:val="auto"/>
              </w:rPr>
              <w:t>430</w:t>
            </w:r>
          </w:p>
        </w:tc>
      </w:tr>
      <w:tr>
        <w:trPr>
          <w:trHeight w:val="196"/>
        </w:trPr>
        <w:tc>
          <w:tcPr>
            <w:tcW w:w="6080" w:type="dxa"/>
            <w:vAlign w:val="bottom"/>
          </w:tcPr>
          <w:p>
            <w:pPr>
              <w:ind w:left="480"/>
              <w:spacing w:after="0"/>
              <w:rPr>
                <w:sz w:val="20"/>
                <w:szCs w:val="20"/>
                <w:color w:val="auto"/>
              </w:rPr>
            </w:pPr>
            <w:r>
              <w:rPr>
                <w:rFonts w:ascii="Arial" w:cs="Arial" w:eastAsia="Arial" w:hAnsi="Arial"/>
                <w:sz w:val="16"/>
                <w:szCs w:val="16"/>
                <w:color w:val="auto"/>
              </w:rPr>
              <w:t>Europe</w:t>
            </w: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1,454</w:t>
            </w:r>
          </w:p>
        </w:tc>
        <w:tc>
          <w:tcPr>
            <w:tcW w:w="820" w:type="dxa"/>
            <w:vAlign w:val="bottom"/>
          </w:tcPr>
          <w:p>
            <w:pPr>
              <w:jc w:val="right"/>
              <w:spacing w:after="0"/>
              <w:rPr>
                <w:sz w:val="20"/>
                <w:szCs w:val="20"/>
                <w:color w:val="auto"/>
              </w:rPr>
            </w:pPr>
            <w:r>
              <w:rPr>
                <w:rFonts w:ascii="Arial" w:cs="Arial" w:eastAsia="Arial" w:hAnsi="Arial"/>
                <w:sz w:val="16"/>
                <w:szCs w:val="16"/>
                <w:color w:val="auto"/>
              </w:rPr>
              <w:t>1,400</w:t>
            </w:r>
          </w:p>
        </w:tc>
        <w:tc>
          <w:tcPr>
            <w:tcW w:w="1640" w:type="dxa"/>
            <w:vAlign w:val="bottom"/>
          </w:tcPr>
          <w:p>
            <w:pPr>
              <w:jc w:val="right"/>
              <w:ind w:right="440"/>
              <w:spacing w:after="0"/>
              <w:rPr>
                <w:sz w:val="20"/>
                <w:szCs w:val="20"/>
                <w:color w:val="auto"/>
              </w:rPr>
            </w:pPr>
            <w:r>
              <w:rPr>
                <w:rFonts w:ascii="Arial" w:cs="Arial" w:eastAsia="Arial" w:hAnsi="Arial"/>
                <w:sz w:val="16"/>
                <w:szCs w:val="16"/>
                <w:color w:val="auto"/>
              </w:rPr>
              <w:t>1,504</w:t>
            </w:r>
          </w:p>
        </w:tc>
        <w:tc>
          <w:tcPr>
            <w:tcW w:w="1280" w:type="dxa"/>
            <w:vAlign w:val="bottom"/>
          </w:tcPr>
          <w:p>
            <w:pPr>
              <w:jc w:val="right"/>
              <w:ind w:right="599"/>
              <w:spacing w:after="0"/>
              <w:rPr>
                <w:sz w:val="20"/>
                <w:szCs w:val="20"/>
                <w:color w:val="auto"/>
              </w:rPr>
            </w:pPr>
            <w:r>
              <w:rPr>
                <w:rFonts w:ascii="Arial" w:cs="Arial" w:eastAsia="Arial" w:hAnsi="Arial"/>
                <w:sz w:val="16"/>
                <w:szCs w:val="16"/>
                <w:color w:val="auto"/>
              </w:rPr>
              <w:t>1,528</w:t>
            </w:r>
          </w:p>
        </w:tc>
      </w:tr>
      <w:tr>
        <w:trPr>
          <w:trHeight w:val="196"/>
        </w:trPr>
        <w:tc>
          <w:tcPr>
            <w:tcW w:w="6080" w:type="dxa"/>
            <w:vAlign w:val="bottom"/>
          </w:tcPr>
          <w:p>
            <w:pPr>
              <w:ind w:left="480"/>
              <w:spacing w:after="0"/>
              <w:rPr>
                <w:sz w:val="20"/>
                <w:szCs w:val="20"/>
                <w:color w:val="auto"/>
              </w:rPr>
            </w:pPr>
            <w:r>
              <w:rPr>
                <w:rFonts w:ascii="Arial" w:cs="Arial" w:eastAsia="Arial" w:hAnsi="Arial"/>
                <w:sz w:val="16"/>
                <w:szCs w:val="16"/>
                <w:color w:val="auto"/>
              </w:rPr>
              <w:t>Asia Pacific</w:t>
            </w: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628</w:t>
            </w:r>
          </w:p>
        </w:tc>
        <w:tc>
          <w:tcPr>
            <w:tcW w:w="820" w:type="dxa"/>
            <w:vAlign w:val="bottom"/>
          </w:tcPr>
          <w:p>
            <w:pPr>
              <w:jc w:val="right"/>
              <w:spacing w:after="0"/>
              <w:rPr>
                <w:sz w:val="20"/>
                <w:szCs w:val="20"/>
                <w:color w:val="auto"/>
              </w:rPr>
            </w:pPr>
            <w:r>
              <w:rPr>
                <w:rFonts w:ascii="Arial" w:cs="Arial" w:eastAsia="Arial" w:hAnsi="Arial"/>
                <w:sz w:val="16"/>
                <w:szCs w:val="16"/>
                <w:color w:val="auto"/>
              </w:rPr>
              <w:t>779</w:t>
            </w:r>
          </w:p>
        </w:tc>
        <w:tc>
          <w:tcPr>
            <w:tcW w:w="1640" w:type="dxa"/>
            <w:vAlign w:val="bottom"/>
          </w:tcPr>
          <w:p>
            <w:pPr>
              <w:jc w:val="right"/>
              <w:ind w:right="440"/>
              <w:spacing w:after="0"/>
              <w:rPr>
                <w:sz w:val="20"/>
                <w:szCs w:val="20"/>
                <w:color w:val="auto"/>
              </w:rPr>
            </w:pPr>
            <w:r>
              <w:rPr>
                <w:rFonts w:ascii="Arial" w:cs="Arial" w:eastAsia="Arial" w:hAnsi="Arial"/>
                <w:sz w:val="16"/>
                <w:szCs w:val="16"/>
                <w:color w:val="auto"/>
              </w:rPr>
              <w:t>998</w:t>
            </w:r>
          </w:p>
        </w:tc>
        <w:tc>
          <w:tcPr>
            <w:tcW w:w="1280" w:type="dxa"/>
            <w:vAlign w:val="bottom"/>
          </w:tcPr>
          <w:p>
            <w:pPr>
              <w:jc w:val="right"/>
              <w:ind w:right="599"/>
              <w:spacing w:after="0"/>
              <w:rPr>
                <w:sz w:val="20"/>
                <w:szCs w:val="20"/>
                <w:color w:val="auto"/>
              </w:rPr>
            </w:pPr>
            <w:r>
              <w:rPr>
                <w:rFonts w:ascii="Arial" w:cs="Arial" w:eastAsia="Arial" w:hAnsi="Arial"/>
                <w:sz w:val="16"/>
                <w:szCs w:val="16"/>
                <w:color w:val="auto"/>
              </w:rPr>
              <w:t>1,180</w:t>
            </w:r>
          </w:p>
        </w:tc>
      </w:tr>
      <w:tr>
        <w:trPr>
          <w:trHeight w:val="208"/>
        </w:trPr>
        <w:tc>
          <w:tcPr>
            <w:tcW w:w="6080" w:type="dxa"/>
            <w:vAlign w:val="bottom"/>
          </w:tcPr>
          <w:p>
            <w:pPr>
              <w:ind w:left="480"/>
              <w:spacing w:after="0"/>
              <w:rPr>
                <w:sz w:val="20"/>
                <w:szCs w:val="20"/>
                <w:color w:val="auto"/>
              </w:rPr>
            </w:pPr>
            <w:r>
              <w:rPr>
                <w:rFonts w:ascii="Arial" w:cs="Arial" w:eastAsia="Arial" w:hAnsi="Arial"/>
                <w:sz w:val="16"/>
                <w:szCs w:val="16"/>
                <w:color w:val="auto"/>
              </w:rPr>
              <w:t>Other Non-U.S.</w:t>
            </w: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191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6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261</w:t>
            </w: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292</w:t>
            </w:r>
          </w:p>
        </w:tc>
      </w:tr>
      <w:tr>
        <w:trPr>
          <w:trHeight w:val="189"/>
        </w:trPr>
        <w:tc>
          <w:tcPr>
            <w:tcW w:w="6080" w:type="dxa"/>
            <w:vAlign w:val="bottom"/>
          </w:tcPr>
          <w:p>
            <w:pPr>
              <w:ind w:left="240"/>
              <w:spacing w:after="0"/>
              <w:rPr>
                <w:sz w:val="20"/>
                <w:szCs w:val="20"/>
                <w:color w:val="auto"/>
              </w:rPr>
            </w:pPr>
            <w:r>
              <w:rPr>
                <w:rFonts w:ascii="Arial" w:cs="Arial" w:eastAsia="Arial" w:hAnsi="Arial"/>
                <w:sz w:val="16"/>
                <w:szCs w:val="16"/>
                <w:color w:val="auto"/>
              </w:rPr>
              <w:t>Worldwide</w:t>
            </w: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4,476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4,585</w:t>
            </w:r>
          </w:p>
        </w:tc>
        <w:tc>
          <w:tcPr>
            <w:tcW w:w="16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5,014</w:t>
            </w: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5,214</w:t>
            </w:r>
          </w:p>
        </w:tc>
      </w:tr>
      <w:tr>
        <w:trPr>
          <w:trHeight w:val="176"/>
        </w:trPr>
        <w:tc>
          <w:tcPr>
            <w:tcW w:w="6080" w:type="dxa"/>
            <w:vAlign w:val="bottom"/>
          </w:tcPr>
          <w:p>
            <w:pPr>
              <w:spacing w:after="0" w:line="176" w:lineRule="exact"/>
              <w:rPr>
                <w:sz w:val="20"/>
                <w:szCs w:val="20"/>
                <w:color w:val="auto"/>
              </w:rPr>
            </w:pPr>
            <w:r>
              <w:rPr>
                <w:rFonts w:ascii="Arial" w:cs="Arial" w:eastAsia="Arial" w:hAnsi="Arial"/>
                <w:sz w:val="16"/>
                <w:szCs w:val="16"/>
                <w:color w:val="auto"/>
              </w:rPr>
              <w:t xml:space="preserve">Petroleum product sales </w:t>
            </w:r>
            <w:r>
              <w:rPr>
                <w:rFonts w:ascii="Arial" w:cs="Arial" w:eastAsia="Arial" w:hAnsi="Arial"/>
                <w:sz w:val="14"/>
                <w:szCs w:val="14"/>
                <w:i w:val="1"/>
                <w:iCs w:val="1"/>
                <w:color w:val="auto"/>
              </w:rPr>
              <w:t>(2)</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6"/>
        </w:trPr>
        <w:tc>
          <w:tcPr>
            <w:tcW w:w="6080" w:type="dxa"/>
            <w:vAlign w:val="bottom"/>
          </w:tcPr>
          <w:p>
            <w:pPr>
              <w:ind w:left="480"/>
              <w:spacing w:after="0"/>
              <w:rPr>
                <w:sz w:val="20"/>
                <w:szCs w:val="20"/>
                <w:color w:val="auto"/>
              </w:rPr>
            </w:pPr>
            <w:r>
              <w:rPr>
                <w:rFonts w:ascii="Arial" w:cs="Arial" w:eastAsia="Arial" w:hAnsi="Arial"/>
                <w:sz w:val="16"/>
                <w:szCs w:val="16"/>
                <w:color w:val="auto"/>
              </w:rPr>
              <w:t>United States</w:t>
            </w: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2,655</w:t>
            </w:r>
          </w:p>
        </w:tc>
        <w:tc>
          <w:tcPr>
            <w:tcW w:w="820" w:type="dxa"/>
            <w:vAlign w:val="bottom"/>
          </w:tcPr>
          <w:p>
            <w:pPr>
              <w:jc w:val="right"/>
              <w:spacing w:after="0"/>
              <w:rPr>
                <w:sz w:val="20"/>
                <w:szCs w:val="20"/>
                <w:color w:val="auto"/>
              </w:rPr>
            </w:pPr>
            <w:r>
              <w:rPr>
                <w:rFonts w:ascii="Arial" w:cs="Arial" w:eastAsia="Arial" w:hAnsi="Arial"/>
                <w:sz w:val="16"/>
                <w:szCs w:val="16"/>
                <w:color w:val="auto"/>
              </w:rPr>
              <w:t>2,609</w:t>
            </w:r>
          </w:p>
        </w:tc>
        <w:tc>
          <w:tcPr>
            <w:tcW w:w="1640" w:type="dxa"/>
            <w:vAlign w:val="bottom"/>
          </w:tcPr>
          <w:p>
            <w:pPr>
              <w:jc w:val="right"/>
              <w:ind w:right="440"/>
              <w:spacing w:after="0"/>
              <w:rPr>
                <w:sz w:val="20"/>
                <w:szCs w:val="20"/>
                <w:color w:val="auto"/>
              </w:rPr>
            </w:pPr>
            <w:r>
              <w:rPr>
                <w:rFonts w:ascii="Arial" w:cs="Arial" w:eastAsia="Arial" w:hAnsi="Arial"/>
                <w:sz w:val="16"/>
                <w:szCs w:val="16"/>
                <w:color w:val="auto"/>
              </w:rPr>
              <w:t>2,569</w:t>
            </w:r>
          </w:p>
        </w:tc>
        <w:tc>
          <w:tcPr>
            <w:tcW w:w="1280" w:type="dxa"/>
            <w:vAlign w:val="bottom"/>
          </w:tcPr>
          <w:p>
            <w:pPr>
              <w:jc w:val="right"/>
              <w:ind w:right="599"/>
              <w:spacing w:after="0"/>
              <w:rPr>
                <w:sz w:val="20"/>
                <w:szCs w:val="20"/>
                <w:color w:val="auto"/>
              </w:rPr>
            </w:pPr>
            <w:r>
              <w:rPr>
                <w:rFonts w:ascii="Arial" w:cs="Arial" w:eastAsia="Arial" w:hAnsi="Arial"/>
                <w:sz w:val="16"/>
                <w:szCs w:val="16"/>
                <w:color w:val="auto"/>
              </w:rPr>
              <w:t>2,530</w:t>
            </w:r>
          </w:p>
        </w:tc>
      </w:tr>
      <w:tr>
        <w:trPr>
          <w:trHeight w:val="196"/>
        </w:trPr>
        <w:tc>
          <w:tcPr>
            <w:tcW w:w="6080" w:type="dxa"/>
            <w:vAlign w:val="bottom"/>
          </w:tcPr>
          <w:p>
            <w:pPr>
              <w:ind w:left="480"/>
              <w:spacing w:after="0"/>
              <w:rPr>
                <w:sz w:val="20"/>
                <w:szCs w:val="20"/>
                <w:color w:val="auto"/>
              </w:rPr>
            </w:pPr>
            <w:r>
              <w:rPr>
                <w:rFonts w:ascii="Arial" w:cs="Arial" w:eastAsia="Arial" w:hAnsi="Arial"/>
                <w:sz w:val="16"/>
                <w:szCs w:val="16"/>
                <w:color w:val="auto"/>
              </w:rPr>
              <w:t>Canada</w:t>
            </w: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496</w:t>
            </w:r>
          </w:p>
        </w:tc>
        <w:tc>
          <w:tcPr>
            <w:tcW w:w="820" w:type="dxa"/>
            <w:vAlign w:val="bottom"/>
          </w:tcPr>
          <w:p>
            <w:pPr>
              <w:jc w:val="right"/>
              <w:spacing w:after="0"/>
              <w:rPr>
                <w:sz w:val="20"/>
                <w:szCs w:val="20"/>
                <w:color w:val="auto"/>
              </w:rPr>
            </w:pPr>
            <w:r>
              <w:rPr>
                <w:rFonts w:ascii="Arial" w:cs="Arial" w:eastAsia="Arial" w:hAnsi="Arial"/>
                <w:sz w:val="16"/>
                <w:szCs w:val="16"/>
                <w:color w:val="auto"/>
              </w:rPr>
              <w:t>464</w:t>
            </w:r>
          </w:p>
        </w:tc>
        <w:tc>
          <w:tcPr>
            <w:tcW w:w="1640" w:type="dxa"/>
            <w:vAlign w:val="bottom"/>
          </w:tcPr>
          <w:p>
            <w:pPr>
              <w:jc w:val="right"/>
              <w:ind w:right="440"/>
              <w:spacing w:after="0"/>
              <w:rPr>
                <w:sz w:val="20"/>
                <w:szCs w:val="20"/>
                <w:color w:val="auto"/>
              </w:rPr>
            </w:pPr>
            <w:r>
              <w:rPr>
                <w:rFonts w:ascii="Arial" w:cs="Arial" w:eastAsia="Arial" w:hAnsi="Arial"/>
                <w:sz w:val="16"/>
                <w:szCs w:val="16"/>
                <w:color w:val="auto"/>
              </w:rPr>
              <w:t>453</w:t>
            </w:r>
          </w:p>
        </w:tc>
        <w:tc>
          <w:tcPr>
            <w:tcW w:w="1280" w:type="dxa"/>
            <w:vAlign w:val="bottom"/>
          </w:tcPr>
          <w:p>
            <w:pPr>
              <w:jc w:val="right"/>
              <w:ind w:right="599"/>
              <w:spacing w:after="0"/>
              <w:rPr>
                <w:sz w:val="20"/>
                <w:szCs w:val="20"/>
                <w:color w:val="auto"/>
              </w:rPr>
            </w:pPr>
            <w:r>
              <w:rPr>
                <w:rFonts w:ascii="Arial" w:cs="Arial" w:eastAsia="Arial" w:hAnsi="Arial"/>
                <w:sz w:val="16"/>
                <w:szCs w:val="16"/>
                <w:color w:val="auto"/>
              </w:rPr>
              <w:t>455</w:t>
            </w:r>
          </w:p>
        </w:tc>
      </w:tr>
      <w:tr>
        <w:trPr>
          <w:trHeight w:val="196"/>
        </w:trPr>
        <w:tc>
          <w:tcPr>
            <w:tcW w:w="6080" w:type="dxa"/>
            <w:vAlign w:val="bottom"/>
          </w:tcPr>
          <w:p>
            <w:pPr>
              <w:ind w:left="480"/>
              <w:spacing w:after="0"/>
              <w:rPr>
                <w:sz w:val="20"/>
                <w:szCs w:val="20"/>
                <w:color w:val="auto"/>
              </w:rPr>
            </w:pPr>
            <w:r>
              <w:rPr>
                <w:rFonts w:ascii="Arial" w:cs="Arial" w:eastAsia="Arial" w:hAnsi="Arial"/>
                <w:sz w:val="16"/>
                <w:szCs w:val="16"/>
                <w:color w:val="auto"/>
              </w:rPr>
              <w:t>Europe</w:t>
            </w: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1,555</w:t>
            </w:r>
          </w:p>
        </w:tc>
        <w:tc>
          <w:tcPr>
            <w:tcW w:w="820" w:type="dxa"/>
            <w:vAlign w:val="bottom"/>
          </w:tcPr>
          <w:p>
            <w:pPr>
              <w:jc w:val="right"/>
              <w:spacing w:after="0"/>
              <w:rPr>
                <w:sz w:val="20"/>
                <w:szCs w:val="20"/>
                <w:color w:val="auto"/>
              </w:rPr>
            </w:pPr>
            <w:r>
              <w:rPr>
                <w:rFonts w:ascii="Arial" w:cs="Arial" w:eastAsia="Arial" w:hAnsi="Arial"/>
                <w:sz w:val="16"/>
                <w:szCs w:val="16"/>
                <w:color w:val="auto"/>
              </w:rPr>
              <w:t>1,497</w:t>
            </w:r>
          </w:p>
        </w:tc>
        <w:tc>
          <w:tcPr>
            <w:tcW w:w="1640" w:type="dxa"/>
            <w:vAlign w:val="bottom"/>
          </w:tcPr>
          <w:p>
            <w:pPr>
              <w:jc w:val="right"/>
              <w:ind w:right="440"/>
              <w:spacing w:after="0"/>
              <w:rPr>
                <w:sz w:val="20"/>
                <w:szCs w:val="20"/>
                <w:color w:val="auto"/>
              </w:rPr>
            </w:pPr>
            <w:r>
              <w:rPr>
                <w:rFonts w:ascii="Arial" w:cs="Arial" w:eastAsia="Arial" w:hAnsi="Arial"/>
                <w:sz w:val="16"/>
                <w:szCs w:val="16"/>
                <w:color w:val="auto"/>
              </w:rPr>
              <w:t>1,571</w:t>
            </w:r>
          </w:p>
        </w:tc>
        <w:tc>
          <w:tcPr>
            <w:tcW w:w="1280" w:type="dxa"/>
            <w:vAlign w:val="bottom"/>
          </w:tcPr>
          <w:p>
            <w:pPr>
              <w:jc w:val="right"/>
              <w:ind w:right="599"/>
              <w:spacing w:after="0"/>
              <w:rPr>
                <w:sz w:val="20"/>
                <w:szCs w:val="20"/>
                <w:color w:val="auto"/>
              </w:rPr>
            </w:pPr>
            <w:r>
              <w:rPr>
                <w:rFonts w:ascii="Arial" w:cs="Arial" w:eastAsia="Arial" w:hAnsi="Arial"/>
                <w:sz w:val="16"/>
                <w:szCs w:val="16"/>
                <w:color w:val="auto"/>
              </w:rPr>
              <w:t>1,596</w:t>
            </w:r>
          </w:p>
        </w:tc>
      </w:tr>
      <w:tr>
        <w:trPr>
          <w:trHeight w:val="196"/>
        </w:trPr>
        <w:tc>
          <w:tcPr>
            <w:tcW w:w="6080" w:type="dxa"/>
            <w:vAlign w:val="bottom"/>
          </w:tcPr>
          <w:p>
            <w:pPr>
              <w:ind w:left="480"/>
              <w:spacing w:after="0"/>
              <w:rPr>
                <w:sz w:val="20"/>
                <w:szCs w:val="20"/>
                <w:color w:val="auto"/>
              </w:rPr>
            </w:pPr>
            <w:r>
              <w:rPr>
                <w:rFonts w:ascii="Arial" w:cs="Arial" w:eastAsia="Arial" w:hAnsi="Arial"/>
                <w:sz w:val="16"/>
                <w:szCs w:val="16"/>
                <w:color w:val="auto"/>
              </w:rPr>
              <w:t>Asia Pacific and other Eastern Hemisphere</w:t>
            </w: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1,085</w:t>
            </w:r>
          </w:p>
        </w:tc>
        <w:tc>
          <w:tcPr>
            <w:tcW w:w="820" w:type="dxa"/>
            <w:vAlign w:val="bottom"/>
          </w:tcPr>
          <w:p>
            <w:pPr>
              <w:jc w:val="right"/>
              <w:spacing w:after="0"/>
              <w:rPr>
                <w:sz w:val="20"/>
                <w:szCs w:val="20"/>
                <w:color w:val="auto"/>
              </w:rPr>
            </w:pPr>
            <w:r>
              <w:rPr>
                <w:rFonts w:ascii="Arial" w:cs="Arial" w:eastAsia="Arial" w:hAnsi="Arial"/>
                <w:sz w:val="16"/>
                <w:szCs w:val="16"/>
                <w:color w:val="auto"/>
              </w:rPr>
              <w:t>1,206</w:t>
            </w:r>
          </w:p>
        </w:tc>
        <w:tc>
          <w:tcPr>
            <w:tcW w:w="1640" w:type="dxa"/>
            <w:vAlign w:val="bottom"/>
          </w:tcPr>
          <w:p>
            <w:pPr>
              <w:jc w:val="right"/>
              <w:ind w:right="440"/>
              <w:spacing w:after="0"/>
              <w:rPr>
                <w:sz w:val="20"/>
                <w:szCs w:val="20"/>
                <w:color w:val="auto"/>
              </w:rPr>
            </w:pPr>
            <w:r>
              <w:rPr>
                <w:rFonts w:ascii="Arial" w:cs="Arial" w:eastAsia="Arial" w:hAnsi="Arial"/>
                <w:sz w:val="16"/>
                <w:szCs w:val="16"/>
                <w:color w:val="auto"/>
              </w:rPr>
              <w:t>1,381</w:t>
            </w:r>
          </w:p>
        </w:tc>
        <w:tc>
          <w:tcPr>
            <w:tcW w:w="1280" w:type="dxa"/>
            <w:vAlign w:val="bottom"/>
          </w:tcPr>
          <w:p>
            <w:pPr>
              <w:jc w:val="right"/>
              <w:ind w:right="599"/>
              <w:spacing w:after="0"/>
              <w:rPr>
                <w:sz w:val="20"/>
                <w:szCs w:val="20"/>
                <w:color w:val="auto"/>
              </w:rPr>
            </w:pPr>
            <w:r>
              <w:rPr>
                <w:rFonts w:ascii="Arial" w:cs="Arial" w:eastAsia="Arial" w:hAnsi="Arial"/>
                <w:sz w:val="16"/>
                <w:szCs w:val="16"/>
                <w:color w:val="auto"/>
              </w:rPr>
              <w:t>1,556</w:t>
            </w:r>
          </w:p>
        </w:tc>
      </w:tr>
      <w:tr>
        <w:trPr>
          <w:trHeight w:val="208"/>
        </w:trPr>
        <w:tc>
          <w:tcPr>
            <w:tcW w:w="6080" w:type="dxa"/>
            <w:vAlign w:val="bottom"/>
          </w:tcPr>
          <w:p>
            <w:pPr>
              <w:ind w:left="480"/>
              <w:spacing w:after="0"/>
              <w:rPr>
                <w:sz w:val="20"/>
                <w:szCs w:val="20"/>
                <w:color w:val="auto"/>
              </w:rPr>
            </w:pPr>
            <w:r>
              <w:rPr>
                <w:rFonts w:ascii="Arial" w:cs="Arial" w:eastAsia="Arial" w:hAnsi="Arial"/>
                <w:sz w:val="16"/>
                <w:szCs w:val="16"/>
                <w:color w:val="auto"/>
              </w:rPr>
              <w:t>Latin America</w:t>
            </w: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84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6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200</w:t>
            </w: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276</w:t>
            </w:r>
          </w:p>
        </w:tc>
      </w:tr>
      <w:tr>
        <w:trPr>
          <w:trHeight w:val="189"/>
        </w:trPr>
        <w:tc>
          <w:tcPr>
            <w:tcW w:w="6080" w:type="dxa"/>
            <w:vAlign w:val="bottom"/>
          </w:tcPr>
          <w:p>
            <w:pPr>
              <w:ind w:left="240"/>
              <w:spacing w:after="0"/>
              <w:rPr>
                <w:sz w:val="20"/>
                <w:szCs w:val="20"/>
                <w:color w:val="auto"/>
              </w:rPr>
            </w:pPr>
            <w:r>
              <w:rPr>
                <w:rFonts w:ascii="Arial" w:cs="Arial" w:eastAsia="Arial" w:hAnsi="Arial"/>
                <w:sz w:val="16"/>
                <w:szCs w:val="16"/>
                <w:color w:val="auto"/>
              </w:rPr>
              <w:t>Worldwide</w:t>
            </w: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5,875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5,887</w:t>
            </w:r>
          </w:p>
        </w:tc>
        <w:tc>
          <w:tcPr>
            <w:tcW w:w="16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6,174</w:t>
            </w: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6,413</w:t>
            </w:r>
          </w:p>
        </w:tc>
      </w:tr>
      <w:tr>
        <w:trPr>
          <w:trHeight w:val="176"/>
        </w:trPr>
        <w:tc>
          <w:tcPr>
            <w:tcW w:w="6080" w:type="dxa"/>
            <w:vAlign w:val="bottom"/>
          </w:tcPr>
          <w:p>
            <w:pPr>
              <w:ind w:left="480"/>
              <w:spacing w:after="0" w:line="176" w:lineRule="exact"/>
              <w:rPr>
                <w:sz w:val="20"/>
                <w:szCs w:val="20"/>
                <w:color w:val="auto"/>
              </w:rPr>
            </w:pPr>
            <w:r>
              <w:rPr>
                <w:rFonts w:ascii="Arial" w:cs="Arial" w:eastAsia="Arial" w:hAnsi="Arial"/>
                <w:sz w:val="16"/>
                <w:szCs w:val="16"/>
                <w:color w:val="auto"/>
              </w:rPr>
              <w:t>Gasoline, naphthas</w:t>
            </w:r>
          </w:p>
        </w:tc>
        <w:tc>
          <w:tcPr>
            <w:tcW w:w="1120" w:type="dxa"/>
            <w:vAlign w:val="bottom"/>
          </w:tcPr>
          <w:p>
            <w:pPr>
              <w:jc w:val="right"/>
              <w:ind w:right="279"/>
              <w:spacing w:after="0" w:line="176" w:lineRule="exact"/>
              <w:rPr>
                <w:sz w:val="20"/>
                <w:szCs w:val="20"/>
                <w:color w:val="auto"/>
              </w:rPr>
            </w:pPr>
            <w:r>
              <w:rPr>
                <w:rFonts w:ascii="Arial" w:cs="Arial" w:eastAsia="Arial" w:hAnsi="Arial"/>
                <w:sz w:val="16"/>
                <w:szCs w:val="16"/>
                <w:color w:val="auto"/>
              </w:rPr>
              <w:t>2,452</w:t>
            </w: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2,418</w:t>
            </w:r>
          </w:p>
        </w:tc>
        <w:tc>
          <w:tcPr>
            <w:tcW w:w="1640" w:type="dxa"/>
            <w:vAlign w:val="bottom"/>
          </w:tcPr>
          <w:p>
            <w:pPr>
              <w:jc w:val="right"/>
              <w:ind w:right="440"/>
              <w:spacing w:after="0" w:line="176" w:lineRule="exact"/>
              <w:rPr>
                <w:sz w:val="20"/>
                <w:szCs w:val="20"/>
                <w:color w:val="auto"/>
              </w:rPr>
            </w:pPr>
            <w:r>
              <w:rPr>
                <w:rFonts w:ascii="Arial" w:cs="Arial" w:eastAsia="Arial" w:hAnsi="Arial"/>
                <w:sz w:val="16"/>
                <w:szCs w:val="16"/>
                <w:color w:val="auto"/>
              </w:rPr>
              <w:t>2,489</w:t>
            </w:r>
          </w:p>
        </w:tc>
        <w:tc>
          <w:tcPr>
            <w:tcW w:w="1280" w:type="dxa"/>
            <w:vAlign w:val="bottom"/>
          </w:tcPr>
          <w:p>
            <w:pPr>
              <w:jc w:val="right"/>
              <w:ind w:right="599"/>
              <w:spacing w:after="0" w:line="176" w:lineRule="exact"/>
              <w:rPr>
                <w:sz w:val="20"/>
                <w:szCs w:val="20"/>
                <w:color w:val="auto"/>
              </w:rPr>
            </w:pPr>
            <w:r>
              <w:rPr>
                <w:rFonts w:ascii="Arial" w:cs="Arial" w:eastAsia="Arial" w:hAnsi="Arial"/>
                <w:sz w:val="16"/>
                <w:szCs w:val="16"/>
                <w:color w:val="auto"/>
              </w:rPr>
              <w:t>2,541</w:t>
            </w:r>
          </w:p>
        </w:tc>
      </w:tr>
      <w:tr>
        <w:trPr>
          <w:trHeight w:val="196"/>
        </w:trPr>
        <w:tc>
          <w:tcPr>
            <w:tcW w:w="6080" w:type="dxa"/>
            <w:vAlign w:val="bottom"/>
          </w:tcPr>
          <w:p>
            <w:pPr>
              <w:ind w:left="480"/>
              <w:spacing w:after="0"/>
              <w:rPr>
                <w:sz w:val="20"/>
                <w:szCs w:val="20"/>
                <w:color w:val="auto"/>
              </w:rPr>
            </w:pPr>
            <w:r>
              <w:rPr>
                <w:rFonts w:ascii="Arial" w:cs="Arial" w:eastAsia="Arial" w:hAnsi="Arial"/>
                <w:sz w:val="16"/>
                <w:szCs w:val="16"/>
                <w:color w:val="auto"/>
              </w:rPr>
              <w:t>Heating oils, kerosene, diesel oils</w:t>
            </w: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1,912</w:t>
            </w:r>
          </w:p>
        </w:tc>
        <w:tc>
          <w:tcPr>
            <w:tcW w:w="820" w:type="dxa"/>
            <w:vAlign w:val="bottom"/>
          </w:tcPr>
          <w:p>
            <w:pPr>
              <w:jc w:val="right"/>
              <w:spacing w:after="0"/>
              <w:rPr>
                <w:sz w:val="20"/>
                <w:szCs w:val="20"/>
                <w:color w:val="auto"/>
              </w:rPr>
            </w:pPr>
            <w:r>
              <w:rPr>
                <w:rFonts w:ascii="Arial" w:cs="Arial" w:eastAsia="Arial" w:hAnsi="Arial"/>
                <w:sz w:val="16"/>
                <w:szCs w:val="16"/>
                <w:color w:val="auto"/>
              </w:rPr>
              <w:t>1,838</w:t>
            </w:r>
          </w:p>
        </w:tc>
        <w:tc>
          <w:tcPr>
            <w:tcW w:w="1640" w:type="dxa"/>
            <w:vAlign w:val="bottom"/>
          </w:tcPr>
          <w:p>
            <w:pPr>
              <w:jc w:val="right"/>
              <w:ind w:right="440"/>
              <w:spacing w:after="0"/>
              <w:rPr>
                <w:sz w:val="20"/>
                <w:szCs w:val="20"/>
                <w:color w:val="auto"/>
              </w:rPr>
            </w:pPr>
            <w:r>
              <w:rPr>
                <w:rFonts w:ascii="Arial" w:cs="Arial" w:eastAsia="Arial" w:hAnsi="Arial"/>
                <w:sz w:val="16"/>
                <w:szCs w:val="16"/>
                <w:color w:val="auto"/>
              </w:rPr>
              <w:t>1,947</w:t>
            </w:r>
          </w:p>
        </w:tc>
        <w:tc>
          <w:tcPr>
            <w:tcW w:w="1280" w:type="dxa"/>
            <w:vAlign w:val="bottom"/>
          </w:tcPr>
          <w:p>
            <w:pPr>
              <w:jc w:val="right"/>
              <w:ind w:right="599"/>
              <w:spacing w:after="0"/>
              <w:rPr>
                <w:sz w:val="20"/>
                <w:szCs w:val="20"/>
                <w:color w:val="auto"/>
              </w:rPr>
            </w:pPr>
            <w:r>
              <w:rPr>
                <w:rFonts w:ascii="Arial" w:cs="Arial" w:eastAsia="Arial" w:hAnsi="Arial"/>
                <w:sz w:val="16"/>
                <w:szCs w:val="16"/>
                <w:color w:val="auto"/>
              </w:rPr>
              <w:t>2,019</w:t>
            </w:r>
          </w:p>
        </w:tc>
      </w:tr>
      <w:tr>
        <w:trPr>
          <w:trHeight w:val="196"/>
        </w:trPr>
        <w:tc>
          <w:tcPr>
            <w:tcW w:w="6080" w:type="dxa"/>
            <w:vAlign w:val="bottom"/>
          </w:tcPr>
          <w:p>
            <w:pPr>
              <w:ind w:left="480"/>
              <w:spacing w:after="0"/>
              <w:rPr>
                <w:sz w:val="20"/>
                <w:szCs w:val="20"/>
                <w:color w:val="auto"/>
              </w:rPr>
            </w:pPr>
            <w:r>
              <w:rPr>
                <w:rFonts w:ascii="Arial" w:cs="Arial" w:eastAsia="Arial" w:hAnsi="Arial"/>
                <w:sz w:val="16"/>
                <w:szCs w:val="16"/>
                <w:color w:val="auto"/>
              </w:rPr>
              <w:t>Aviation fuels</w:t>
            </w: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423</w:t>
            </w:r>
          </w:p>
        </w:tc>
        <w:tc>
          <w:tcPr>
            <w:tcW w:w="820" w:type="dxa"/>
            <w:vAlign w:val="bottom"/>
          </w:tcPr>
          <w:p>
            <w:pPr>
              <w:jc w:val="right"/>
              <w:spacing w:after="0"/>
              <w:rPr>
                <w:sz w:val="20"/>
                <w:szCs w:val="20"/>
                <w:color w:val="auto"/>
              </w:rPr>
            </w:pPr>
            <w:r>
              <w:rPr>
                <w:rFonts w:ascii="Arial" w:cs="Arial" w:eastAsia="Arial" w:hAnsi="Arial"/>
                <w:sz w:val="16"/>
                <w:szCs w:val="16"/>
                <w:color w:val="auto"/>
              </w:rPr>
              <w:t>462</w:t>
            </w:r>
          </w:p>
        </w:tc>
        <w:tc>
          <w:tcPr>
            <w:tcW w:w="1640" w:type="dxa"/>
            <w:vAlign w:val="bottom"/>
          </w:tcPr>
          <w:p>
            <w:pPr>
              <w:jc w:val="right"/>
              <w:ind w:right="440"/>
              <w:spacing w:after="0"/>
              <w:rPr>
                <w:sz w:val="20"/>
                <w:szCs w:val="20"/>
                <w:color w:val="auto"/>
              </w:rPr>
            </w:pPr>
            <w:r>
              <w:rPr>
                <w:rFonts w:ascii="Arial" w:cs="Arial" w:eastAsia="Arial" w:hAnsi="Arial"/>
                <w:sz w:val="16"/>
                <w:szCs w:val="16"/>
                <w:color w:val="auto"/>
              </w:rPr>
              <w:t>473</w:t>
            </w:r>
          </w:p>
        </w:tc>
        <w:tc>
          <w:tcPr>
            <w:tcW w:w="1280" w:type="dxa"/>
            <w:vAlign w:val="bottom"/>
          </w:tcPr>
          <w:p>
            <w:pPr>
              <w:jc w:val="right"/>
              <w:ind w:right="599"/>
              <w:spacing w:after="0"/>
              <w:rPr>
                <w:sz w:val="20"/>
                <w:szCs w:val="20"/>
                <w:color w:val="auto"/>
              </w:rPr>
            </w:pPr>
            <w:r>
              <w:rPr>
                <w:rFonts w:ascii="Arial" w:cs="Arial" w:eastAsia="Arial" w:hAnsi="Arial"/>
                <w:sz w:val="16"/>
                <w:szCs w:val="16"/>
                <w:color w:val="auto"/>
              </w:rPr>
              <w:t>492</w:t>
            </w:r>
          </w:p>
        </w:tc>
      </w:tr>
      <w:tr>
        <w:trPr>
          <w:trHeight w:val="196"/>
        </w:trPr>
        <w:tc>
          <w:tcPr>
            <w:tcW w:w="6080" w:type="dxa"/>
            <w:vAlign w:val="bottom"/>
          </w:tcPr>
          <w:p>
            <w:pPr>
              <w:ind w:left="480"/>
              <w:spacing w:after="0"/>
              <w:rPr>
                <w:sz w:val="20"/>
                <w:szCs w:val="20"/>
                <w:color w:val="auto"/>
              </w:rPr>
            </w:pPr>
            <w:r>
              <w:rPr>
                <w:rFonts w:ascii="Arial" w:cs="Arial" w:eastAsia="Arial" w:hAnsi="Arial"/>
                <w:sz w:val="16"/>
                <w:szCs w:val="16"/>
                <w:color w:val="auto"/>
              </w:rPr>
              <w:t>Heavy fuels</w:t>
            </w: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390</w:t>
            </w:r>
          </w:p>
        </w:tc>
        <w:tc>
          <w:tcPr>
            <w:tcW w:w="820" w:type="dxa"/>
            <w:vAlign w:val="bottom"/>
          </w:tcPr>
          <w:p>
            <w:pPr>
              <w:jc w:val="right"/>
              <w:spacing w:after="0"/>
              <w:rPr>
                <w:sz w:val="20"/>
                <w:szCs w:val="20"/>
                <w:color w:val="auto"/>
              </w:rPr>
            </w:pPr>
            <w:r>
              <w:rPr>
                <w:rFonts w:ascii="Arial" w:cs="Arial" w:eastAsia="Arial" w:hAnsi="Arial"/>
                <w:sz w:val="16"/>
                <w:szCs w:val="16"/>
                <w:color w:val="auto"/>
              </w:rPr>
              <w:t>431</w:t>
            </w:r>
          </w:p>
        </w:tc>
        <w:tc>
          <w:tcPr>
            <w:tcW w:w="1640" w:type="dxa"/>
            <w:vAlign w:val="bottom"/>
          </w:tcPr>
          <w:p>
            <w:pPr>
              <w:jc w:val="right"/>
              <w:ind w:right="440"/>
              <w:spacing w:after="0"/>
              <w:rPr>
                <w:sz w:val="20"/>
                <w:szCs w:val="20"/>
                <w:color w:val="auto"/>
              </w:rPr>
            </w:pPr>
            <w:r>
              <w:rPr>
                <w:rFonts w:ascii="Arial" w:cs="Arial" w:eastAsia="Arial" w:hAnsi="Arial"/>
                <w:sz w:val="16"/>
                <w:szCs w:val="16"/>
                <w:color w:val="auto"/>
              </w:rPr>
              <w:t>515</w:t>
            </w:r>
          </w:p>
        </w:tc>
        <w:tc>
          <w:tcPr>
            <w:tcW w:w="1280" w:type="dxa"/>
            <w:vAlign w:val="bottom"/>
          </w:tcPr>
          <w:p>
            <w:pPr>
              <w:jc w:val="right"/>
              <w:ind w:right="599"/>
              <w:spacing w:after="0"/>
              <w:rPr>
                <w:sz w:val="20"/>
                <w:szCs w:val="20"/>
                <w:color w:val="auto"/>
              </w:rPr>
            </w:pPr>
            <w:r>
              <w:rPr>
                <w:rFonts w:ascii="Arial" w:cs="Arial" w:eastAsia="Arial" w:hAnsi="Arial"/>
                <w:sz w:val="16"/>
                <w:szCs w:val="16"/>
                <w:color w:val="auto"/>
              </w:rPr>
              <w:t>588</w:t>
            </w:r>
          </w:p>
        </w:tc>
      </w:tr>
      <w:tr>
        <w:trPr>
          <w:trHeight w:val="208"/>
        </w:trPr>
        <w:tc>
          <w:tcPr>
            <w:tcW w:w="6080" w:type="dxa"/>
            <w:vAlign w:val="bottom"/>
          </w:tcPr>
          <w:p>
            <w:pPr>
              <w:ind w:left="480"/>
              <w:spacing w:after="0"/>
              <w:rPr>
                <w:sz w:val="20"/>
                <w:szCs w:val="20"/>
                <w:color w:val="auto"/>
              </w:rPr>
            </w:pPr>
            <w:r>
              <w:rPr>
                <w:rFonts w:ascii="Arial" w:cs="Arial" w:eastAsia="Arial" w:hAnsi="Arial"/>
                <w:sz w:val="16"/>
                <w:szCs w:val="16"/>
                <w:color w:val="auto"/>
              </w:rPr>
              <w:t>Specialty petroleum products</w:t>
            </w: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698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w:t>
            </w:r>
          </w:p>
        </w:tc>
        <w:tc>
          <w:tcPr>
            <w:tcW w:w="16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750</w:t>
            </w: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773</w:t>
            </w:r>
          </w:p>
        </w:tc>
      </w:tr>
      <w:tr>
        <w:trPr>
          <w:trHeight w:val="189"/>
        </w:trPr>
        <w:tc>
          <w:tcPr>
            <w:tcW w:w="6080" w:type="dxa"/>
            <w:vAlign w:val="bottom"/>
          </w:tcPr>
          <w:p>
            <w:pPr>
              <w:ind w:left="240"/>
              <w:spacing w:after="0"/>
              <w:rPr>
                <w:sz w:val="20"/>
                <w:szCs w:val="20"/>
                <w:color w:val="auto"/>
              </w:rPr>
            </w:pPr>
            <w:r>
              <w:rPr>
                <w:rFonts w:ascii="Arial" w:cs="Arial" w:eastAsia="Arial" w:hAnsi="Arial"/>
                <w:sz w:val="16"/>
                <w:szCs w:val="16"/>
                <w:color w:val="auto"/>
              </w:rPr>
              <w:t>Worldwide</w:t>
            </w: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5,875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5,887</w:t>
            </w:r>
          </w:p>
        </w:tc>
        <w:tc>
          <w:tcPr>
            <w:tcW w:w="16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6,174</w:t>
            </w: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6,413</w:t>
            </w:r>
          </w:p>
        </w:tc>
      </w:tr>
      <w:tr>
        <w:trPr>
          <w:trHeight w:val="372"/>
        </w:trPr>
        <w:tc>
          <w:tcPr>
            <w:tcW w:w="6080" w:type="dxa"/>
            <w:vAlign w:val="bottom"/>
          </w:tcPr>
          <w:p>
            <w:pPr>
              <w:spacing w:after="0"/>
              <w:rPr>
                <w:sz w:val="20"/>
                <w:szCs w:val="20"/>
                <w:color w:val="auto"/>
              </w:rPr>
            </w:pPr>
            <w:r>
              <w:rPr>
                <w:rFonts w:ascii="Arial" w:cs="Arial" w:eastAsia="Arial" w:hAnsi="Arial"/>
                <w:sz w:val="16"/>
                <w:szCs w:val="16"/>
                <w:color w:val="auto"/>
              </w:rPr>
              <w:t xml:space="preserve">Chemical prime product sales </w:t>
            </w:r>
            <w:r>
              <w:rPr>
                <w:rFonts w:ascii="Arial" w:cs="Arial" w:eastAsia="Arial" w:hAnsi="Arial"/>
                <w:sz w:val="16"/>
                <w:szCs w:val="16"/>
                <w:i w:val="1"/>
                <w:iCs w:val="1"/>
                <w:color w:val="auto"/>
              </w:rPr>
              <w:t>(3)</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jc w:val="center"/>
              <w:ind w:right="80"/>
              <w:spacing w:after="0"/>
              <w:rPr>
                <w:sz w:val="20"/>
                <w:szCs w:val="20"/>
                <w:color w:val="auto"/>
              </w:rPr>
            </w:pPr>
            <w:r>
              <w:rPr>
                <w:rFonts w:ascii="Arial" w:cs="Arial" w:eastAsia="Arial" w:hAnsi="Arial"/>
                <w:sz w:val="13"/>
                <w:szCs w:val="13"/>
                <w:i w:val="1"/>
                <w:iCs w:val="1"/>
                <w:color w:val="auto"/>
                <w:w w:val="90"/>
              </w:rPr>
              <w:t>(thousands of metric tons)</w:t>
            </w:r>
          </w:p>
        </w:tc>
        <w:tc>
          <w:tcPr>
            <w:tcW w:w="1280" w:type="dxa"/>
            <w:vAlign w:val="bottom"/>
          </w:tcPr>
          <w:p>
            <w:pPr>
              <w:spacing w:after="0"/>
              <w:rPr>
                <w:sz w:val="24"/>
                <w:szCs w:val="24"/>
                <w:color w:val="auto"/>
              </w:rPr>
            </w:pPr>
          </w:p>
        </w:tc>
      </w:tr>
      <w:tr>
        <w:trPr>
          <w:trHeight w:val="196"/>
        </w:trPr>
        <w:tc>
          <w:tcPr>
            <w:tcW w:w="6080" w:type="dxa"/>
            <w:vAlign w:val="bottom"/>
          </w:tcPr>
          <w:p>
            <w:pPr>
              <w:ind w:left="480"/>
              <w:spacing w:after="0"/>
              <w:rPr>
                <w:sz w:val="20"/>
                <w:szCs w:val="20"/>
                <w:color w:val="auto"/>
              </w:rPr>
            </w:pPr>
            <w:r>
              <w:rPr>
                <w:rFonts w:ascii="Arial" w:cs="Arial" w:eastAsia="Arial" w:hAnsi="Arial"/>
                <w:sz w:val="16"/>
                <w:szCs w:val="16"/>
                <w:color w:val="auto"/>
              </w:rPr>
              <w:t>United States</w:t>
            </w: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9,528</w:t>
            </w:r>
          </w:p>
        </w:tc>
        <w:tc>
          <w:tcPr>
            <w:tcW w:w="820" w:type="dxa"/>
            <w:vAlign w:val="bottom"/>
          </w:tcPr>
          <w:p>
            <w:pPr>
              <w:jc w:val="right"/>
              <w:spacing w:after="0"/>
              <w:rPr>
                <w:sz w:val="20"/>
                <w:szCs w:val="20"/>
                <w:color w:val="auto"/>
              </w:rPr>
            </w:pPr>
            <w:r>
              <w:rPr>
                <w:rFonts w:ascii="Arial" w:cs="Arial" w:eastAsia="Arial" w:hAnsi="Arial"/>
                <w:sz w:val="16"/>
                <w:szCs w:val="16"/>
                <w:color w:val="auto"/>
              </w:rPr>
              <w:t>9,679</w:t>
            </w:r>
          </w:p>
        </w:tc>
        <w:tc>
          <w:tcPr>
            <w:tcW w:w="1640" w:type="dxa"/>
            <w:vAlign w:val="bottom"/>
          </w:tcPr>
          <w:p>
            <w:pPr>
              <w:jc w:val="right"/>
              <w:ind w:right="440"/>
              <w:spacing w:after="0"/>
              <w:rPr>
                <w:sz w:val="20"/>
                <w:szCs w:val="20"/>
                <w:color w:val="auto"/>
              </w:rPr>
            </w:pPr>
            <w:r>
              <w:rPr>
                <w:rFonts w:ascii="Arial" w:cs="Arial" w:eastAsia="Arial" w:hAnsi="Arial"/>
                <w:sz w:val="16"/>
                <w:szCs w:val="16"/>
                <w:color w:val="auto"/>
              </w:rPr>
              <w:t>9,381</w:t>
            </w:r>
          </w:p>
        </w:tc>
        <w:tc>
          <w:tcPr>
            <w:tcW w:w="1280" w:type="dxa"/>
            <w:vAlign w:val="bottom"/>
          </w:tcPr>
          <w:p>
            <w:pPr>
              <w:jc w:val="right"/>
              <w:ind w:right="599"/>
              <w:spacing w:after="0"/>
              <w:rPr>
                <w:sz w:val="20"/>
                <w:szCs w:val="20"/>
                <w:color w:val="auto"/>
              </w:rPr>
            </w:pPr>
            <w:r>
              <w:rPr>
                <w:rFonts w:ascii="Arial" w:cs="Arial" w:eastAsia="Arial" w:hAnsi="Arial"/>
                <w:sz w:val="16"/>
                <w:szCs w:val="16"/>
                <w:color w:val="auto"/>
              </w:rPr>
              <w:t>9,250</w:t>
            </w:r>
          </w:p>
        </w:tc>
      </w:tr>
      <w:tr>
        <w:trPr>
          <w:trHeight w:val="208"/>
        </w:trPr>
        <w:tc>
          <w:tcPr>
            <w:tcW w:w="6080" w:type="dxa"/>
            <w:vAlign w:val="bottom"/>
          </w:tcPr>
          <w:p>
            <w:pPr>
              <w:ind w:left="480"/>
              <w:spacing w:after="0"/>
              <w:rPr>
                <w:sz w:val="20"/>
                <w:szCs w:val="20"/>
                <w:color w:val="auto"/>
              </w:rPr>
            </w:pPr>
            <w:r>
              <w:rPr>
                <w:rFonts w:ascii="Arial" w:cs="Arial" w:eastAsia="Arial" w:hAnsi="Arial"/>
                <w:sz w:val="16"/>
                <w:szCs w:val="16"/>
                <w:color w:val="auto"/>
              </w:rPr>
              <w:t>Non-U.S.</w:t>
            </w: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14,707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14,384</w:t>
            </w:r>
          </w:p>
        </w:tc>
        <w:tc>
          <w:tcPr>
            <w:tcW w:w="16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14,776</w:t>
            </w: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15,756</w:t>
            </w:r>
          </w:p>
        </w:tc>
      </w:tr>
      <w:tr>
        <w:trPr>
          <w:trHeight w:val="189"/>
        </w:trPr>
        <w:tc>
          <w:tcPr>
            <w:tcW w:w="6080" w:type="dxa"/>
            <w:vAlign w:val="bottom"/>
          </w:tcPr>
          <w:p>
            <w:pPr>
              <w:ind w:left="240"/>
              <w:spacing w:after="0"/>
              <w:rPr>
                <w:sz w:val="20"/>
                <w:szCs w:val="20"/>
                <w:color w:val="auto"/>
              </w:rPr>
            </w:pPr>
            <w:r>
              <w:rPr>
                <w:rFonts w:ascii="Arial" w:cs="Arial" w:eastAsia="Arial" w:hAnsi="Arial"/>
                <w:sz w:val="16"/>
                <w:szCs w:val="16"/>
                <w:color w:val="auto"/>
              </w:rPr>
              <w:t>Worldwide</w:t>
            </w: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24,235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24,063</w:t>
            </w:r>
          </w:p>
        </w:tc>
        <w:tc>
          <w:tcPr>
            <w:tcW w:w="16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24,157</w:t>
            </w: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25,006</w:t>
            </w:r>
          </w:p>
        </w:tc>
      </w:tr>
    </w:tbl>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Operating statistics include 100 percent of operations of majority-owned subsidiaries; for other companies, crude production, gas, petroleum product and chemica product sales include ExxonMobil’s ownership percentage and refining throughput includes quantities processed for ExxonMobil. Net production excludes royalt quantities due others when produced, whether payment is made in kind or cash.</w:t>
      </w:r>
    </w:p>
    <w:p>
      <w:pPr>
        <w:spacing w:after="0" w:line="38" w:lineRule="exact"/>
        <w:rPr>
          <w:sz w:val="20"/>
          <w:szCs w:val="20"/>
          <w:color w:val="auto"/>
        </w:rPr>
      </w:pPr>
    </w:p>
    <w:p>
      <w:pPr>
        <w:ind w:left="320" w:hanging="314"/>
        <w:spacing w:after="0"/>
        <w:tabs>
          <w:tab w:leader="none" w:pos="32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Gas converted to oil-equivalent at 6 million cubic feet = 1 thousand barrels.</w:t>
      </w:r>
    </w:p>
    <w:p>
      <w:pPr>
        <w:spacing w:after="0" w:line="61" w:lineRule="exact"/>
        <w:rPr>
          <w:rFonts w:ascii="Arial" w:cs="Arial" w:eastAsia="Arial" w:hAnsi="Arial"/>
          <w:sz w:val="16"/>
          <w:szCs w:val="16"/>
          <w:i w:val="1"/>
          <w:iCs w:val="1"/>
          <w:color w:val="auto"/>
        </w:rPr>
      </w:pPr>
    </w:p>
    <w:p>
      <w:pPr>
        <w:ind w:left="320" w:hanging="314"/>
        <w:spacing w:after="0"/>
        <w:tabs>
          <w:tab w:leader="none" w:pos="32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Petroleum product sales data reported net of purchases/sales contracts with the same counterparty.</w:t>
      </w:r>
    </w:p>
    <w:p>
      <w:pPr>
        <w:spacing w:after="0" w:line="61" w:lineRule="exact"/>
        <w:rPr>
          <w:rFonts w:ascii="Arial" w:cs="Arial" w:eastAsia="Arial" w:hAnsi="Arial"/>
          <w:sz w:val="16"/>
          <w:szCs w:val="16"/>
          <w:i w:val="1"/>
          <w:iCs w:val="1"/>
          <w:color w:val="auto"/>
        </w:rPr>
      </w:pPr>
    </w:p>
    <w:p>
      <w:pPr>
        <w:ind w:left="300" w:hanging="294"/>
        <w:spacing w:after="0" w:line="286" w:lineRule="auto"/>
        <w:tabs>
          <w:tab w:leader="none" w:pos="374"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Prime product sales are total product sales excluding carbon black oil and sulfur. Prime product sales include ExxonMobil’s share of equity company volum finished-product transfers to the Downstream.</w:t>
      </w:r>
    </w:p>
    <w:p>
      <w:pPr>
        <w:spacing w:after="0" w:line="200" w:lineRule="exact"/>
        <w:rPr>
          <w:sz w:val="20"/>
          <w:szCs w:val="20"/>
          <w:color w:val="auto"/>
        </w:rPr>
      </w:pPr>
    </w:p>
    <w:p>
      <w:pPr>
        <w:spacing w:after="0" w:line="268"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8" w:right="139" w:bottom="1440" w:gutter="0" w:footer="0" w:header="0"/>
        </w:sectPr>
      </w:pPr>
    </w:p>
    <w:bookmarkStart w:id="114" w:name="page115"/>
    <w:bookmarkEnd w:id="114"/>
    <w:p>
      <w:pPr>
        <w:jc w:val="center"/>
        <w:ind w:left="1180"/>
        <w:spacing w:after="0"/>
        <w:rPr>
          <w:sz w:val="20"/>
          <w:szCs w:val="20"/>
          <w:color w:val="auto"/>
        </w:rPr>
      </w:pPr>
      <w:r>
        <w:rPr>
          <w:rFonts w:ascii="Arial" w:cs="Arial" w:eastAsia="Arial" w:hAnsi="Arial"/>
          <w:sz w:val="16"/>
          <w:szCs w:val="16"/>
          <w:b w:val="1"/>
          <w:bCs w:val="1"/>
          <w:color w:val="auto"/>
        </w:rPr>
        <w:t>SIGNATURES</w:t>
      </w:r>
    </w:p>
    <w:p>
      <w:pPr>
        <w:spacing w:after="0" w:line="159" w:lineRule="exact"/>
        <w:rPr>
          <w:sz w:val="20"/>
          <w:szCs w:val="20"/>
          <w:color w:val="auto"/>
        </w:rPr>
      </w:pPr>
    </w:p>
    <w:p>
      <w:pPr>
        <w:jc w:val="both"/>
        <w:ind w:left="580" w:firstLine="200"/>
        <w:spacing w:after="0" w:line="291" w:lineRule="auto"/>
        <w:rPr>
          <w:sz w:val="20"/>
          <w:szCs w:val="20"/>
          <w:color w:val="auto"/>
        </w:rPr>
      </w:pPr>
      <w:r>
        <w:rPr>
          <w:rFonts w:ascii="Arial" w:cs="Arial" w:eastAsia="Arial" w:hAnsi="Arial"/>
          <w:sz w:val="16"/>
          <w:szCs w:val="16"/>
          <w:b w:val="1"/>
          <w:bCs w:val="1"/>
          <w:color w:val="auto"/>
        </w:rPr>
        <w:t>Pursuant to the requirements of Section 13 or 15(d) of the Securities Exchange Act of 1934, the registrant has duly caused this report to be signed on its be the undersigned, thereunto duly authorized.</w:t>
      </w:r>
    </w:p>
    <w:p>
      <w:pPr>
        <w:spacing w:after="0" w:line="342" w:lineRule="exact"/>
        <w:rPr>
          <w:sz w:val="20"/>
          <w:szCs w:val="20"/>
          <w:color w:val="auto"/>
        </w:rPr>
      </w:pPr>
    </w:p>
    <w:p>
      <w:pPr>
        <w:ind w:left="7100"/>
        <w:spacing w:after="0"/>
        <w:rPr>
          <w:sz w:val="20"/>
          <w:szCs w:val="20"/>
          <w:color w:val="auto"/>
        </w:rPr>
      </w:pPr>
      <w:r>
        <w:rPr>
          <w:rFonts w:ascii="Arial" w:cs="Arial" w:eastAsia="Arial" w:hAnsi="Arial"/>
          <w:sz w:val="16"/>
          <w:szCs w:val="16"/>
          <w:color w:val="auto"/>
        </w:rPr>
        <w:t>EXXON MOBIL CORPORATION</w:t>
      </w:r>
    </w:p>
    <w:p>
      <w:pPr>
        <w:spacing w:after="0" w:line="208" w:lineRule="exact"/>
        <w:rPr>
          <w:sz w:val="20"/>
          <w:szCs w:val="20"/>
          <w:color w:val="auto"/>
        </w:rPr>
      </w:pPr>
    </w:p>
    <w:tbl>
      <w:tblPr>
        <w:tblLayout w:type="fixed"/>
        <w:tblInd w:w="7100" w:type="dxa"/>
        <w:tblCellMar>
          <w:top w:w="0" w:type="dxa"/>
          <w:left w:w="0" w:type="dxa"/>
          <w:bottom w:w="0" w:type="dxa"/>
          <w:right w:w="0" w:type="dxa"/>
        </w:tblCellMar>
      </w:tblPr>
      <w:tr>
        <w:trPr>
          <w:trHeight w:val="208"/>
        </w:trPr>
        <w:tc>
          <w:tcPr>
            <w:tcW w:w="480" w:type="dxa"/>
            <w:vAlign w:val="bottom"/>
          </w:tcPr>
          <w:p>
            <w:pPr>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rPr>
              <w:t>/s/  REX W. TILLERSON</w:t>
            </w:r>
          </w:p>
        </w:tc>
      </w:tr>
      <w:tr>
        <w:trPr>
          <w:trHeight w:val="176"/>
        </w:trPr>
        <w:tc>
          <w:tcPr>
            <w:tcW w:w="480" w:type="dxa"/>
            <w:vAlign w:val="bottom"/>
          </w:tcPr>
          <w:p>
            <w:pPr>
              <w:spacing w:after="0"/>
              <w:rPr>
                <w:sz w:val="15"/>
                <w:szCs w:val="15"/>
                <w:color w:val="auto"/>
              </w:rPr>
            </w:pPr>
          </w:p>
        </w:tc>
        <w:tc>
          <w:tcPr>
            <w:tcW w:w="3940" w:type="dxa"/>
            <w:vAlign w:val="bottom"/>
          </w:tcPr>
          <w:p>
            <w:pPr>
              <w:jc w:val="center"/>
              <w:ind w:left="518"/>
              <w:spacing w:after="0" w:line="176" w:lineRule="exact"/>
              <w:rPr>
                <w:sz w:val="20"/>
                <w:szCs w:val="20"/>
                <w:color w:val="auto"/>
              </w:rPr>
            </w:pPr>
            <w:r>
              <w:rPr>
                <w:rFonts w:ascii="Arial" w:cs="Arial" w:eastAsia="Arial" w:hAnsi="Arial"/>
                <w:sz w:val="16"/>
                <w:szCs w:val="16"/>
                <w:color w:val="auto"/>
                <w:w w:val="95"/>
              </w:rPr>
              <w:t>(Rex W. Tillerson,</w:t>
            </w:r>
          </w:p>
        </w:tc>
      </w:tr>
      <w:tr>
        <w:trPr>
          <w:trHeight w:val="208"/>
        </w:trPr>
        <w:tc>
          <w:tcPr>
            <w:tcW w:w="480" w:type="dxa"/>
            <w:vAlign w:val="bottom"/>
          </w:tcPr>
          <w:p>
            <w:pPr>
              <w:spacing w:after="0"/>
              <w:rPr>
                <w:sz w:val="18"/>
                <w:szCs w:val="18"/>
                <w:color w:val="auto"/>
              </w:rPr>
            </w:pPr>
          </w:p>
        </w:tc>
        <w:tc>
          <w:tcPr>
            <w:tcW w:w="3940" w:type="dxa"/>
            <w:vAlign w:val="bottom"/>
          </w:tcPr>
          <w:p>
            <w:pPr>
              <w:jc w:val="center"/>
              <w:ind w:left="518"/>
              <w:spacing w:after="0"/>
              <w:rPr>
                <w:sz w:val="20"/>
                <w:szCs w:val="20"/>
                <w:color w:val="auto"/>
              </w:rPr>
            </w:pPr>
            <w:r>
              <w:rPr>
                <w:rFonts w:ascii="Arial" w:cs="Arial" w:eastAsia="Arial" w:hAnsi="Arial"/>
                <w:sz w:val="16"/>
                <w:szCs w:val="16"/>
                <w:color w:val="auto"/>
                <w:w w:val="92"/>
              </w:rPr>
              <w:t>Chairman of the Board)</w:t>
            </w:r>
          </w:p>
        </w:tc>
      </w:tr>
    </w:tbl>
    <w:p>
      <w:pPr>
        <w:spacing w:after="0" w:line="35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Dated February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2698750</wp:posOffset>
            </wp:positionH>
            <wp:positionV relativeFrom="paragraph">
              <wp:posOffset>140335</wp:posOffset>
            </wp:positionV>
            <wp:extent cx="275463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7546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1180"/>
        <w:spacing w:after="0"/>
        <w:rPr>
          <w:sz w:val="20"/>
          <w:szCs w:val="20"/>
          <w:color w:val="auto"/>
        </w:rPr>
      </w:pPr>
      <w:r>
        <w:rPr>
          <w:rFonts w:ascii="Arial" w:cs="Arial" w:eastAsia="Arial" w:hAnsi="Arial"/>
          <w:sz w:val="16"/>
          <w:szCs w:val="16"/>
          <w:b w:val="1"/>
          <w:bCs w:val="1"/>
          <w:color w:val="auto"/>
        </w:rPr>
        <w:t>POWER OF ATTORNEY</w:t>
      </w:r>
    </w:p>
    <w:p>
      <w:pPr>
        <w:spacing w:after="0" w:line="159" w:lineRule="exact"/>
        <w:rPr>
          <w:sz w:val="20"/>
          <w:szCs w:val="20"/>
          <w:color w:val="auto"/>
        </w:rPr>
      </w:pPr>
    </w:p>
    <w:p>
      <w:pPr>
        <w:jc w:val="both"/>
        <w:ind w:left="580" w:firstLine="200"/>
        <w:spacing w:after="0" w:line="261" w:lineRule="auto"/>
        <w:rPr>
          <w:sz w:val="20"/>
          <w:szCs w:val="20"/>
          <w:color w:val="auto"/>
        </w:rPr>
      </w:pPr>
      <w:r>
        <w:rPr>
          <w:rFonts w:ascii="Arial" w:cs="Arial" w:eastAsia="Arial" w:hAnsi="Arial"/>
          <w:sz w:val="16"/>
          <w:szCs w:val="16"/>
          <w:b w:val="1"/>
          <w:bCs w:val="1"/>
          <w:color w:val="auto"/>
        </w:rPr>
        <w:t>Each person whose signature appears below constitutes and appoints Randall M. Ebner, Leonard M. Fox and Catherine C. Shae and each of them, his true and lawful attorneys-in-fact and agents, with full power of substitution and resubstitution, for him or her and in his or her name, place and stead, in a all capacities, to sign any and all amendments to this Annual Report on Form 10-K, and to file the same, with all exhibits thereto, and other docum connection therewith, with the Securities and Exchange Commission, granting unto said attorneys-in-fact and agents, and each of them, full power and auth do and perform each and every act and thing requisite and necessary to be done, as fully to all intents and purposes as he or she might or could do in person, ratifying and confirming all that said attorneys-in-fact and agents or any of them, or their or his or her substitute or substitutes, may lawfully do or cause to b by virtue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2698750</wp:posOffset>
            </wp:positionH>
            <wp:positionV relativeFrom="paragraph">
              <wp:posOffset>116840</wp:posOffset>
            </wp:positionV>
            <wp:extent cx="275463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7546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580" w:firstLine="200"/>
        <w:spacing w:after="0" w:line="291" w:lineRule="auto"/>
        <w:rPr>
          <w:sz w:val="20"/>
          <w:szCs w:val="20"/>
          <w:color w:val="auto"/>
        </w:rPr>
      </w:pPr>
      <w:r>
        <w:rPr>
          <w:rFonts w:ascii="Arial" w:cs="Arial" w:eastAsia="Arial" w:hAnsi="Arial"/>
          <w:sz w:val="16"/>
          <w:szCs w:val="16"/>
          <w:b w:val="1"/>
          <w:bCs w:val="1"/>
          <w:color w:val="auto"/>
        </w:rPr>
        <w:t>Pursuant to the requirements of the Securities Exchange Act of 1934, this report has been signed below by the following persons on behalf of the registrant the capacities indicated and on February 25, 2015.</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0" w:type="dxa"/>
            <w:vAlign w:val="bottom"/>
          </w:tcPr>
          <w:p>
            <w:pPr>
              <w:spacing w:after="0"/>
              <w:rPr>
                <w:sz w:val="18"/>
                <w:szCs w:val="18"/>
                <w:color w:val="auto"/>
              </w:rPr>
            </w:pPr>
          </w:p>
        </w:tc>
        <w:tc>
          <w:tcPr>
            <w:tcW w:w="1940" w:type="dxa"/>
            <w:vAlign w:val="bottom"/>
            <w:tcBorders>
              <w:bottom w:val="single" w:sz="8" w:color="auto"/>
            </w:tcBorders>
          </w:tcPr>
          <w:p>
            <w:pPr>
              <w:ind w:left="1740"/>
              <w:spacing w:after="0"/>
              <w:rPr>
                <w:sz w:val="20"/>
                <w:szCs w:val="20"/>
                <w:color w:val="auto"/>
              </w:rPr>
            </w:pPr>
            <w:r>
              <w:rPr>
                <w:rFonts w:ascii="Arial" w:cs="Arial" w:eastAsia="Arial" w:hAnsi="Arial"/>
                <w:sz w:val="16"/>
                <w:szCs w:val="16"/>
                <w:color w:val="auto"/>
              </w:rPr>
              <w:t>/s/</w:t>
            </w:r>
          </w:p>
        </w:tc>
        <w:tc>
          <w:tcPr>
            <w:tcW w:w="3340" w:type="dxa"/>
            <w:vAlign w:val="bottom"/>
            <w:tcBorders>
              <w:bottom w:val="single" w:sz="8" w:color="auto"/>
            </w:tcBorders>
          </w:tcPr>
          <w:p>
            <w:pPr>
              <w:jc w:val="center"/>
              <w:ind w:right="1538"/>
              <w:spacing w:after="0"/>
              <w:rPr>
                <w:sz w:val="20"/>
                <w:szCs w:val="20"/>
                <w:color w:val="auto"/>
              </w:rPr>
            </w:pPr>
            <w:r>
              <w:rPr>
                <w:rFonts w:ascii="Arial" w:cs="Arial" w:eastAsia="Arial" w:hAnsi="Arial"/>
                <w:sz w:val="16"/>
                <w:szCs w:val="16"/>
                <w:color w:val="auto"/>
                <w:w w:val="98"/>
              </w:rPr>
              <w:t>REX W. TILLERSON</w:t>
            </w:r>
          </w:p>
        </w:tc>
        <w:tc>
          <w:tcPr>
            <w:tcW w:w="5660" w:type="dxa"/>
            <w:vAlign w:val="bottom"/>
            <w:gridSpan w:val="2"/>
          </w:tcPr>
          <w:p>
            <w:pPr>
              <w:jc w:val="center"/>
              <w:ind w:left="3718"/>
              <w:spacing w:after="0"/>
              <w:rPr>
                <w:sz w:val="20"/>
                <w:szCs w:val="20"/>
                <w:color w:val="auto"/>
              </w:rPr>
            </w:pPr>
            <w:r>
              <w:rPr>
                <w:rFonts w:ascii="Arial" w:cs="Arial" w:eastAsia="Arial" w:hAnsi="Arial"/>
                <w:sz w:val="16"/>
                <w:szCs w:val="16"/>
                <w:color w:val="auto"/>
                <w:w w:val="93"/>
              </w:rPr>
              <w:t>Chairman of the Board</w:t>
            </w:r>
          </w:p>
        </w:tc>
        <w:tc>
          <w:tcPr>
            <w:tcW w:w="0" w:type="dxa"/>
            <w:vAlign w:val="bottom"/>
          </w:tcPr>
          <w:p>
            <w:pPr>
              <w:spacing w:after="0"/>
              <w:rPr>
                <w:sz w:val="1"/>
                <w:szCs w:val="1"/>
                <w:color w:val="auto"/>
              </w:rPr>
            </w:pPr>
          </w:p>
        </w:tc>
      </w:tr>
      <w:tr>
        <w:trPr>
          <w:trHeight w:val="188"/>
        </w:trPr>
        <w:tc>
          <w:tcPr>
            <w:tcW w:w="5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340" w:type="dxa"/>
            <w:vAlign w:val="bottom"/>
            <w:vMerge w:val="restart"/>
          </w:tcPr>
          <w:p>
            <w:pPr>
              <w:jc w:val="center"/>
              <w:ind w:right="1858"/>
              <w:spacing w:after="0"/>
              <w:rPr>
                <w:sz w:val="20"/>
                <w:szCs w:val="20"/>
                <w:color w:val="auto"/>
              </w:rPr>
            </w:pPr>
            <w:r>
              <w:rPr>
                <w:rFonts w:ascii="Arial" w:cs="Arial" w:eastAsia="Arial" w:hAnsi="Arial"/>
                <w:sz w:val="16"/>
                <w:szCs w:val="16"/>
                <w:color w:val="auto"/>
                <w:w w:val="93"/>
              </w:rPr>
              <w:t>(Rex W. Tillerson)</w:t>
            </w:r>
          </w:p>
        </w:tc>
        <w:tc>
          <w:tcPr>
            <w:tcW w:w="5660" w:type="dxa"/>
            <w:vAlign w:val="bottom"/>
            <w:gridSpan w:val="2"/>
          </w:tcPr>
          <w:p>
            <w:pPr>
              <w:jc w:val="center"/>
              <w:ind w:left="3698"/>
              <w:spacing w:after="0"/>
              <w:rPr>
                <w:sz w:val="20"/>
                <w:szCs w:val="20"/>
                <w:color w:val="auto"/>
              </w:rPr>
            </w:pPr>
            <w:r>
              <w:rPr>
                <w:rFonts w:ascii="Arial" w:cs="Arial" w:eastAsia="Arial" w:hAnsi="Arial"/>
                <w:sz w:val="16"/>
                <w:szCs w:val="16"/>
                <w:color w:val="auto"/>
                <w:w w:val="95"/>
              </w:rPr>
              <w:t>(Principal Executive Officer)</w:t>
            </w:r>
          </w:p>
        </w:tc>
        <w:tc>
          <w:tcPr>
            <w:tcW w:w="0" w:type="dxa"/>
            <w:vAlign w:val="bottom"/>
          </w:tcPr>
          <w:p>
            <w:pPr>
              <w:spacing w:after="0"/>
              <w:rPr>
                <w:sz w:val="1"/>
                <w:szCs w:val="1"/>
                <w:color w:val="auto"/>
              </w:rPr>
            </w:pPr>
          </w:p>
        </w:tc>
      </w:tr>
      <w:tr>
        <w:trPr>
          <w:trHeight w:val="74"/>
        </w:trPr>
        <w:tc>
          <w:tcPr>
            <w:tcW w:w="5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3340" w:type="dxa"/>
            <w:vAlign w:val="bottom"/>
            <w:vMerge w:val="continue"/>
          </w:tcPr>
          <w:p>
            <w:pPr>
              <w:spacing w:after="0"/>
              <w:rPr>
                <w:sz w:val="6"/>
                <w:szCs w:val="6"/>
                <w:color w:val="auto"/>
              </w:rPr>
            </w:pPr>
          </w:p>
        </w:tc>
        <w:tc>
          <w:tcPr>
            <w:tcW w:w="56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03"/>
        </w:trPr>
        <w:tc>
          <w:tcPr>
            <w:tcW w:w="580" w:type="dxa"/>
            <w:vAlign w:val="bottom"/>
          </w:tcPr>
          <w:p>
            <w:pPr>
              <w:spacing w:after="0"/>
              <w:rPr>
                <w:sz w:val="24"/>
                <w:szCs w:val="24"/>
                <w:color w:val="auto"/>
              </w:rPr>
            </w:pPr>
          </w:p>
        </w:tc>
        <w:tc>
          <w:tcPr>
            <w:tcW w:w="1940" w:type="dxa"/>
            <w:vAlign w:val="bottom"/>
            <w:tcBorders>
              <w:bottom w:val="single" w:sz="8" w:color="auto"/>
            </w:tcBorders>
          </w:tcPr>
          <w:p>
            <w:pPr>
              <w:ind w:left="1720"/>
              <w:spacing w:after="0"/>
              <w:rPr>
                <w:sz w:val="20"/>
                <w:szCs w:val="20"/>
                <w:color w:val="auto"/>
              </w:rPr>
            </w:pPr>
            <w:r>
              <w:rPr>
                <w:rFonts w:ascii="Arial" w:cs="Arial" w:eastAsia="Arial" w:hAnsi="Arial"/>
                <w:sz w:val="16"/>
                <w:szCs w:val="16"/>
                <w:color w:val="auto"/>
              </w:rPr>
              <w:t>/s/</w:t>
            </w:r>
          </w:p>
        </w:tc>
        <w:tc>
          <w:tcPr>
            <w:tcW w:w="3340" w:type="dxa"/>
            <w:vAlign w:val="bottom"/>
            <w:tcBorders>
              <w:bottom w:val="single" w:sz="8" w:color="auto"/>
            </w:tcBorders>
          </w:tcPr>
          <w:p>
            <w:pPr>
              <w:jc w:val="center"/>
              <w:ind w:right="1538"/>
              <w:spacing w:after="0"/>
              <w:rPr>
                <w:sz w:val="20"/>
                <w:szCs w:val="20"/>
                <w:color w:val="auto"/>
              </w:rPr>
            </w:pPr>
            <w:r>
              <w:rPr>
                <w:rFonts w:ascii="Arial" w:cs="Arial" w:eastAsia="Arial" w:hAnsi="Arial"/>
                <w:sz w:val="16"/>
                <w:szCs w:val="16"/>
                <w:color w:val="auto"/>
                <w:w w:val="99"/>
              </w:rPr>
              <w:t>MICHAEL J. BOSKIN</w:t>
            </w:r>
          </w:p>
        </w:tc>
        <w:tc>
          <w:tcPr>
            <w:tcW w:w="5660" w:type="dxa"/>
            <w:vAlign w:val="bottom"/>
            <w:gridSpan w:val="2"/>
          </w:tcPr>
          <w:p>
            <w:pPr>
              <w:jc w:val="center"/>
              <w:ind w:left="3718"/>
              <w:spacing w:after="0"/>
              <w:rPr>
                <w:sz w:val="20"/>
                <w:szCs w:val="20"/>
                <w:color w:val="auto"/>
              </w:rPr>
            </w:pPr>
            <w:r>
              <w:rPr>
                <w:rFonts w:ascii="Arial" w:cs="Arial" w:eastAsia="Arial" w:hAnsi="Arial"/>
                <w:sz w:val="16"/>
                <w:szCs w:val="16"/>
                <w:color w:val="auto"/>
                <w:w w:val="96"/>
              </w:rPr>
              <w:t>Director</w:t>
            </w:r>
          </w:p>
        </w:tc>
        <w:tc>
          <w:tcPr>
            <w:tcW w:w="0" w:type="dxa"/>
            <w:vAlign w:val="bottom"/>
          </w:tcPr>
          <w:p>
            <w:pPr>
              <w:spacing w:after="0"/>
              <w:rPr>
                <w:sz w:val="1"/>
                <w:szCs w:val="1"/>
                <w:color w:val="auto"/>
              </w:rPr>
            </w:pPr>
          </w:p>
        </w:tc>
      </w:tr>
      <w:tr>
        <w:trPr>
          <w:trHeight w:val="261"/>
        </w:trPr>
        <w:tc>
          <w:tcPr>
            <w:tcW w:w="5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340" w:type="dxa"/>
            <w:vAlign w:val="bottom"/>
          </w:tcPr>
          <w:p>
            <w:pPr>
              <w:jc w:val="center"/>
              <w:ind w:right="1858"/>
              <w:spacing w:after="0"/>
              <w:rPr>
                <w:sz w:val="20"/>
                <w:szCs w:val="20"/>
                <w:color w:val="auto"/>
              </w:rPr>
            </w:pPr>
            <w:r>
              <w:rPr>
                <w:rFonts w:ascii="Arial" w:cs="Arial" w:eastAsia="Arial" w:hAnsi="Arial"/>
                <w:sz w:val="16"/>
                <w:szCs w:val="16"/>
                <w:color w:val="auto"/>
                <w:w w:val="94"/>
              </w:rPr>
              <w:t>(Michael J. Boskin)</w:t>
            </w:r>
          </w:p>
        </w:tc>
        <w:tc>
          <w:tcPr>
            <w:tcW w:w="5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3"/>
        </w:trPr>
        <w:tc>
          <w:tcPr>
            <w:tcW w:w="580" w:type="dxa"/>
            <w:vAlign w:val="bottom"/>
          </w:tcPr>
          <w:p>
            <w:pPr>
              <w:spacing w:after="0"/>
              <w:rPr>
                <w:sz w:val="24"/>
                <w:szCs w:val="24"/>
                <w:color w:val="auto"/>
              </w:rPr>
            </w:pPr>
          </w:p>
        </w:tc>
        <w:tc>
          <w:tcPr>
            <w:tcW w:w="52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/s/  PETER BRABECK-LETMATHE</w:t>
            </w:r>
          </w:p>
        </w:tc>
        <w:tc>
          <w:tcPr>
            <w:tcW w:w="5660" w:type="dxa"/>
            <w:vAlign w:val="bottom"/>
            <w:gridSpan w:val="2"/>
          </w:tcPr>
          <w:p>
            <w:pPr>
              <w:jc w:val="center"/>
              <w:ind w:left="3718"/>
              <w:spacing w:after="0"/>
              <w:rPr>
                <w:sz w:val="20"/>
                <w:szCs w:val="20"/>
                <w:color w:val="auto"/>
              </w:rPr>
            </w:pPr>
            <w:r>
              <w:rPr>
                <w:rFonts w:ascii="Arial" w:cs="Arial" w:eastAsia="Arial" w:hAnsi="Arial"/>
                <w:sz w:val="16"/>
                <w:szCs w:val="16"/>
                <w:color w:val="auto"/>
                <w:w w:val="96"/>
              </w:rPr>
              <w:t>Director</w:t>
            </w:r>
          </w:p>
        </w:tc>
        <w:tc>
          <w:tcPr>
            <w:tcW w:w="0" w:type="dxa"/>
            <w:vAlign w:val="bottom"/>
          </w:tcPr>
          <w:p>
            <w:pPr>
              <w:spacing w:after="0"/>
              <w:rPr>
                <w:sz w:val="1"/>
                <w:szCs w:val="1"/>
                <w:color w:val="auto"/>
              </w:rPr>
            </w:pPr>
          </w:p>
        </w:tc>
      </w:tr>
      <w:tr>
        <w:trPr>
          <w:trHeight w:val="261"/>
        </w:trPr>
        <w:tc>
          <w:tcPr>
            <w:tcW w:w="580" w:type="dxa"/>
            <w:vAlign w:val="bottom"/>
          </w:tcPr>
          <w:p>
            <w:pPr>
              <w:spacing w:after="0"/>
              <w:rPr>
                <w:sz w:val="22"/>
                <w:szCs w:val="22"/>
                <w:color w:val="auto"/>
              </w:rPr>
            </w:pPr>
          </w:p>
        </w:tc>
        <w:tc>
          <w:tcPr>
            <w:tcW w:w="5280" w:type="dxa"/>
            <w:vAlign w:val="bottom"/>
            <w:gridSpan w:val="2"/>
          </w:tcPr>
          <w:p>
            <w:pPr>
              <w:jc w:val="center"/>
              <w:spacing w:after="0"/>
              <w:rPr>
                <w:sz w:val="20"/>
                <w:szCs w:val="20"/>
                <w:color w:val="auto"/>
              </w:rPr>
            </w:pPr>
            <w:r>
              <w:rPr>
                <w:rFonts w:ascii="Arial" w:cs="Arial" w:eastAsia="Arial" w:hAnsi="Arial"/>
                <w:sz w:val="16"/>
                <w:szCs w:val="16"/>
                <w:color w:val="auto"/>
                <w:w w:val="92"/>
              </w:rPr>
              <w:t>(Peter Brabeck-Letmathe)</w:t>
            </w:r>
          </w:p>
        </w:tc>
        <w:tc>
          <w:tcPr>
            <w:tcW w:w="5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3"/>
        </w:trPr>
        <w:tc>
          <w:tcPr>
            <w:tcW w:w="580" w:type="dxa"/>
            <w:vAlign w:val="bottom"/>
          </w:tcPr>
          <w:p>
            <w:pPr>
              <w:spacing w:after="0"/>
              <w:rPr>
                <w:sz w:val="24"/>
                <w:szCs w:val="24"/>
                <w:color w:val="auto"/>
              </w:rPr>
            </w:pPr>
          </w:p>
        </w:tc>
        <w:tc>
          <w:tcPr>
            <w:tcW w:w="1940" w:type="dxa"/>
            <w:vAlign w:val="bottom"/>
            <w:tcBorders>
              <w:bottom w:val="single" w:sz="8" w:color="auto"/>
            </w:tcBorders>
          </w:tcPr>
          <w:p>
            <w:pPr>
              <w:ind w:left="1740"/>
              <w:spacing w:after="0"/>
              <w:rPr>
                <w:sz w:val="20"/>
                <w:szCs w:val="20"/>
                <w:color w:val="auto"/>
              </w:rPr>
            </w:pPr>
            <w:r>
              <w:rPr>
                <w:rFonts w:ascii="Arial" w:cs="Arial" w:eastAsia="Arial" w:hAnsi="Arial"/>
                <w:sz w:val="16"/>
                <w:szCs w:val="16"/>
                <w:color w:val="auto"/>
              </w:rPr>
              <w:t>/s/</w:t>
            </w:r>
          </w:p>
        </w:tc>
        <w:tc>
          <w:tcPr>
            <w:tcW w:w="3340" w:type="dxa"/>
            <w:vAlign w:val="bottom"/>
            <w:tcBorders>
              <w:bottom w:val="single" w:sz="8" w:color="auto"/>
            </w:tcBorders>
          </w:tcPr>
          <w:p>
            <w:pPr>
              <w:jc w:val="center"/>
              <w:ind w:right="1538"/>
              <w:spacing w:after="0"/>
              <w:rPr>
                <w:sz w:val="20"/>
                <w:szCs w:val="20"/>
                <w:color w:val="auto"/>
              </w:rPr>
            </w:pPr>
            <w:r>
              <w:rPr>
                <w:rFonts w:ascii="Arial" w:cs="Arial" w:eastAsia="Arial" w:hAnsi="Arial"/>
                <w:sz w:val="16"/>
                <w:szCs w:val="16"/>
                <w:color w:val="auto"/>
              </w:rPr>
              <w:t>URSULA M. BURNS</w:t>
            </w:r>
          </w:p>
        </w:tc>
        <w:tc>
          <w:tcPr>
            <w:tcW w:w="5660" w:type="dxa"/>
            <w:vAlign w:val="bottom"/>
            <w:gridSpan w:val="2"/>
          </w:tcPr>
          <w:p>
            <w:pPr>
              <w:jc w:val="center"/>
              <w:ind w:left="3718"/>
              <w:spacing w:after="0"/>
              <w:rPr>
                <w:sz w:val="20"/>
                <w:szCs w:val="20"/>
                <w:color w:val="auto"/>
              </w:rPr>
            </w:pPr>
            <w:r>
              <w:rPr>
                <w:rFonts w:ascii="Arial" w:cs="Arial" w:eastAsia="Arial" w:hAnsi="Arial"/>
                <w:sz w:val="16"/>
                <w:szCs w:val="16"/>
                <w:color w:val="auto"/>
                <w:w w:val="96"/>
              </w:rPr>
              <w:t>Director</w:t>
            </w:r>
          </w:p>
        </w:tc>
        <w:tc>
          <w:tcPr>
            <w:tcW w:w="0" w:type="dxa"/>
            <w:vAlign w:val="bottom"/>
          </w:tcPr>
          <w:p>
            <w:pPr>
              <w:spacing w:after="0"/>
              <w:rPr>
                <w:sz w:val="1"/>
                <w:szCs w:val="1"/>
                <w:color w:val="auto"/>
              </w:rPr>
            </w:pPr>
          </w:p>
        </w:tc>
      </w:tr>
      <w:tr>
        <w:trPr>
          <w:trHeight w:val="261"/>
        </w:trPr>
        <w:tc>
          <w:tcPr>
            <w:tcW w:w="5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340" w:type="dxa"/>
            <w:vAlign w:val="bottom"/>
          </w:tcPr>
          <w:p>
            <w:pPr>
              <w:jc w:val="center"/>
              <w:ind w:right="1858"/>
              <w:spacing w:after="0"/>
              <w:rPr>
                <w:sz w:val="20"/>
                <w:szCs w:val="20"/>
                <w:color w:val="auto"/>
              </w:rPr>
            </w:pPr>
            <w:r>
              <w:rPr>
                <w:rFonts w:ascii="Arial" w:cs="Arial" w:eastAsia="Arial" w:hAnsi="Arial"/>
                <w:sz w:val="16"/>
                <w:szCs w:val="16"/>
                <w:color w:val="auto"/>
                <w:w w:val="95"/>
              </w:rPr>
              <w:t>(Ursula M. Burns)</w:t>
            </w:r>
          </w:p>
        </w:tc>
        <w:tc>
          <w:tcPr>
            <w:tcW w:w="5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3"/>
        </w:trPr>
        <w:tc>
          <w:tcPr>
            <w:tcW w:w="580" w:type="dxa"/>
            <w:vAlign w:val="bottom"/>
          </w:tcPr>
          <w:p>
            <w:pPr>
              <w:spacing w:after="0"/>
              <w:rPr>
                <w:sz w:val="24"/>
                <w:szCs w:val="24"/>
                <w:color w:val="auto"/>
              </w:rPr>
            </w:pPr>
          </w:p>
        </w:tc>
        <w:tc>
          <w:tcPr>
            <w:tcW w:w="1940" w:type="dxa"/>
            <w:vAlign w:val="bottom"/>
            <w:tcBorders>
              <w:bottom w:val="single" w:sz="8" w:color="auto"/>
            </w:tcBorders>
          </w:tcPr>
          <w:p>
            <w:pPr>
              <w:ind w:left="1660"/>
              <w:spacing w:after="0"/>
              <w:rPr>
                <w:sz w:val="20"/>
                <w:szCs w:val="20"/>
                <w:color w:val="auto"/>
              </w:rPr>
            </w:pPr>
            <w:r>
              <w:rPr>
                <w:rFonts w:ascii="Arial" w:cs="Arial" w:eastAsia="Arial" w:hAnsi="Arial"/>
                <w:sz w:val="16"/>
                <w:szCs w:val="16"/>
                <w:color w:val="auto"/>
              </w:rPr>
              <w:t>/s/</w:t>
            </w:r>
          </w:p>
        </w:tc>
        <w:tc>
          <w:tcPr>
            <w:tcW w:w="3340" w:type="dxa"/>
            <w:vAlign w:val="bottom"/>
            <w:tcBorders>
              <w:bottom w:val="single" w:sz="8" w:color="auto"/>
            </w:tcBorders>
          </w:tcPr>
          <w:p>
            <w:pPr>
              <w:jc w:val="center"/>
              <w:ind w:right="1538"/>
              <w:spacing w:after="0"/>
              <w:rPr>
                <w:sz w:val="20"/>
                <w:szCs w:val="20"/>
                <w:color w:val="auto"/>
              </w:rPr>
            </w:pPr>
            <w:r>
              <w:rPr>
                <w:rFonts w:ascii="Arial" w:cs="Arial" w:eastAsia="Arial" w:hAnsi="Arial"/>
                <w:sz w:val="16"/>
                <w:szCs w:val="16"/>
                <w:color w:val="auto"/>
              </w:rPr>
              <w:t>LARRY R. FAULKNER</w:t>
            </w:r>
          </w:p>
        </w:tc>
        <w:tc>
          <w:tcPr>
            <w:tcW w:w="5660" w:type="dxa"/>
            <w:vAlign w:val="bottom"/>
            <w:gridSpan w:val="2"/>
          </w:tcPr>
          <w:p>
            <w:pPr>
              <w:jc w:val="center"/>
              <w:ind w:left="3718"/>
              <w:spacing w:after="0"/>
              <w:rPr>
                <w:sz w:val="20"/>
                <w:szCs w:val="20"/>
                <w:color w:val="auto"/>
              </w:rPr>
            </w:pPr>
            <w:r>
              <w:rPr>
                <w:rFonts w:ascii="Arial" w:cs="Arial" w:eastAsia="Arial" w:hAnsi="Arial"/>
                <w:sz w:val="16"/>
                <w:szCs w:val="16"/>
                <w:color w:val="auto"/>
                <w:w w:val="96"/>
              </w:rPr>
              <w:t>Director</w:t>
            </w:r>
          </w:p>
        </w:tc>
        <w:tc>
          <w:tcPr>
            <w:tcW w:w="0" w:type="dxa"/>
            <w:vAlign w:val="bottom"/>
          </w:tcPr>
          <w:p>
            <w:pPr>
              <w:spacing w:after="0"/>
              <w:rPr>
                <w:sz w:val="1"/>
                <w:szCs w:val="1"/>
                <w:color w:val="auto"/>
              </w:rPr>
            </w:pPr>
          </w:p>
        </w:tc>
      </w:tr>
      <w:tr>
        <w:trPr>
          <w:trHeight w:val="261"/>
        </w:trPr>
        <w:tc>
          <w:tcPr>
            <w:tcW w:w="5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340" w:type="dxa"/>
            <w:vAlign w:val="bottom"/>
          </w:tcPr>
          <w:p>
            <w:pPr>
              <w:jc w:val="center"/>
              <w:ind w:right="1858"/>
              <w:spacing w:after="0"/>
              <w:rPr>
                <w:sz w:val="20"/>
                <w:szCs w:val="20"/>
                <w:color w:val="auto"/>
              </w:rPr>
            </w:pPr>
            <w:r>
              <w:rPr>
                <w:rFonts w:ascii="Arial" w:cs="Arial" w:eastAsia="Arial" w:hAnsi="Arial"/>
                <w:sz w:val="16"/>
                <w:szCs w:val="16"/>
                <w:color w:val="auto"/>
                <w:w w:val="95"/>
              </w:rPr>
              <w:t>(Larry R. Faulkner)</w:t>
            </w:r>
          </w:p>
        </w:tc>
        <w:tc>
          <w:tcPr>
            <w:tcW w:w="5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600" w:type="dxa"/>
            <w:vAlign w:val="bottom"/>
          </w:tcPr>
          <w:p>
            <w:pPr>
              <w:jc w:val="right"/>
              <w:ind w:right="4978"/>
              <w:spacing w:after="0"/>
              <w:rPr>
                <w:sz w:val="20"/>
                <w:szCs w:val="20"/>
                <w:color w:val="auto"/>
              </w:rPr>
            </w:pPr>
            <w:r>
              <w:rPr>
                <w:rFonts w:ascii="Arial" w:cs="Arial" w:eastAsia="Arial" w:hAnsi="Arial"/>
                <w:sz w:val="16"/>
                <w:szCs w:val="16"/>
                <w:color w:val="auto"/>
              </w:rPr>
              <w:t>113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2"/>
        </w:trPr>
        <w:tc>
          <w:tcPr>
            <w:tcW w:w="58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956" w:right="1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8"/>
        </w:trPr>
        <w:tc>
          <w:tcPr>
            <w:tcW w:w="580" w:type="dxa"/>
            <w:vAlign w:val="bottom"/>
          </w:tcPr>
          <w:p>
            <w:pPr>
              <w:spacing w:after="0"/>
              <w:rPr>
                <w:sz w:val="18"/>
                <w:szCs w:val="18"/>
                <w:color w:val="auto"/>
              </w:rPr>
            </w:pPr>
          </w:p>
        </w:tc>
        <w:tc>
          <w:tcPr>
            <w:tcW w:w="52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/s/  JAY S. FISHMAN</w:t>
            </w:r>
          </w:p>
        </w:tc>
        <w:tc>
          <w:tcPr>
            <w:tcW w:w="5660" w:type="dxa"/>
            <w:vAlign w:val="bottom"/>
            <w:gridSpan w:val="2"/>
          </w:tcPr>
          <w:p>
            <w:pPr>
              <w:jc w:val="center"/>
              <w:ind w:left="3718"/>
              <w:spacing w:after="0"/>
              <w:rPr>
                <w:sz w:val="20"/>
                <w:szCs w:val="20"/>
                <w:color w:val="auto"/>
              </w:rPr>
            </w:pPr>
            <w:r>
              <w:rPr>
                <w:rFonts w:ascii="Arial" w:cs="Arial" w:eastAsia="Arial" w:hAnsi="Arial"/>
                <w:sz w:val="16"/>
                <w:szCs w:val="16"/>
                <w:color w:val="auto"/>
                <w:w w:val="96"/>
              </w:rPr>
              <w:t>Director</w:t>
            </w:r>
          </w:p>
        </w:tc>
        <w:tc>
          <w:tcPr>
            <w:tcW w:w="0" w:type="dxa"/>
            <w:vAlign w:val="bottom"/>
          </w:tcPr>
          <w:p>
            <w:pPr>
              <w:spacing w:after="0"/>
              <w:rPr>
                <w:sz w:val="1"/>
                <w:szCs w:val="1"/>
                <w:color w:val="auto"/>
              </w:rPr>
            </w:pPr>
          </w:p>
        </w:tc>
      </w:tr>
      <w:tr>
        <w:trPr>
          <w:trHeight w:val="261"/>
        </w:trPr>
        <w:tc>
          <w:tcPr>
            <w:tcW w:w="5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00" w:type="dxa"/>
            <w:vAlign w:val="bottom"/>
          </w:tcPr>
          <w:p>
            <w:pPr>
              <w:jc w:val="center"/>
              <w:ind w:right="1798"/>
              <w:spacing w:after="0"/>
              <w:rPr>
                <w:sz w:val="20"/>
                <w:szCs w:val="20"/>
                <w:color w:val="auto"/>
              </w:rPr>
            </w:pPr>
            <w:r>
              <w:rPr>
                <w:rFonts w:ascii="Arial" w:cs="Arial" w:eastAsia="Arial" w:hAnsi="Arial"/>
                <w:sz w:val="16"/>
                <w:szCs w:val="16"/>
                <w:color w:val="auto"/>
                <w:w w:val="92"/>
              </w:rPr>
              <w:t>(Jay S. Fishman)</w:t>
            </w:r>
          </w:p>
        </w:tc>
        <w:tc>
          <w:tcPr>
            <w:tcW w:w="5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9"/>
        </w:trPr>
        <w:tc>
          <w:tcPr>
            <w:tcW w:w="580" w:type="dxa"/>
            <w:vAlign w:val="bottom"/>
          </w:tcPr>
          <w:p>
            <w:pPr>
              <w:spacing w:after="0"/>
              <w:rPr>
                <w:sz w:val="24"/>
                <w:szCs w:val="24"/>
                <w:color w:val="auto"/>
              </w:rPr>
            </w:pPr>
          </w:p>
        </w:tc>
        <w:tc>
          <w:tcPr>
            <w:tcW w:w="1880" w:type="dxa"/>
            <w:vAlign w:val="bottom"/>
            <w:tcBorders>
              <w:bottom w:val="single" w:sz="8" w:color="auto"/>
            </w:tcBorders>
          </w:tcPr>
          <w:p>
            <w:pPr>
              <w:ind w:left="1700"/>
              <w:spacing w:after="0"/>
              <w:rPr>
                <w:sz w:val="20"/>
                <w:szCs w:val="20"/>
                <w:color w:val="auto"/>
              </w:rPr>
            </w:pPr>
            <w:r>
              <w:rPr>
                <w:rFonts w:ascii="Arial" w:cs="Arial" w:eastAsia="Arial" w:hAnsi="Arial"/>
                <w:sz w:val="16"/>
                <w:szCs w:val="16"/>
                <w:color w:val="auto"/>
                <w:w w:val="94"/>
              </w:rPr>
              <w:t>/s/</w:t>
            </w:r>
          </w:p>
        </w:tc>
        <w:tc>
          <w:tcPr>
            <w:tcW w:w="3400" w:type="dxa"/>
            <w:vAlign w:val="bottom"/>
            <w:tcBorders>
              <w:bottom w:val="single" w:sz="8" w:color="auto"/>
            </w:tcBorders>
          </w:tcPr>
          <w:p>
            <w:pPr>
              <w:jc w:val="center"/>
              <w:ind w:right="1478"/>
              <w:spacing w:after="0"/>
              <w:rPr>
                <w:sz w:val="20"/>
                <w:szCs w:val="20"/>
                <w:color w:val="auto"/>
              </w:rPr>
            </w:pPr>
            <w:r>
              <w:rPr>
                <w:rFonts w:ascii="Arial" w:cs="Arial" w:eastAsia="Arial" w:hAnsi="Arial"/>
                <w:sz w:val="16"/>
                <w:szCs w:val="16"/>
                <w:color w:val="auto"/>
                <w:w w:val="97"/>
              </w:rPr>
              <w:t>HENRIETTA H. FORE</w:t>
            </w:r>
          </w:p>
        </w:tc>
        <w:tc>
          <w:tcPr>
            <w:tcW w:w="5660" w:type="dxa"/>
            <w:vAlign w:val="bottom"/>
            <w:gridSpan w:val="2"/>
          </w:tcPr>
          <w:p>
            <w:pPr>
              <w:jc w:val="center"/>
              <w:ind w:left="3718"/>
              <w:spacing w:after="0"/>
              <w:rPr>
                <w:sz w:val="20"/>
                <w:szCs w:val="20"/>
                <w:color w:val="auto"/>
              </w:rPr>
            </w:pPr>
            <w:r>
              <w:rPr>
                <w:rFonts w:ascii="Arial" w:cs="Arial" w:eastAsia="Arial" w:hAnsi="Arial"/>
                <w:sz w:val="16"/>
                <w:szCs w:val="16"/>
                <w:color w:val="auto"/>
                <w:w w:val="96"/>
              </w:rPr>
              <w:t>Director</w:t>
            </w:r>
          </w:p>
        </w:tc>
        <w:tc>
          <w:tcPr>
            <w:tcW w:w="0" w:type="dxa"/>
            <w:vAlign w:val="bottom"/>
          </w:tcPr>
          <w:p>
            <w:pPr>
              <w:spacing w:after="0"/>
              <w:rPr>
                <w:sz w:val="1"/>
                <w:szCs w:val="1"/>
                <w:color w:val="auto"/>
              </w:rPr>
            </w:pPr>
          </w:p>
        </w:tc>
      </w:tr>
      <w:tr>
        <w:trPr>
          <w:trHeight w:val="261"/>
        </w:trPr>
        <w:tc>
          <w:tcPr>
            <w:tcW w:w="5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00" w:type="dxa"/>
            <w:vAlign w:val="bottom"/>
          </w:tcPr>
          <w:p>
            <w:pPr>
              <w:jc w:val="center"/>
              <w:ind w:right="1798"/>
              <w:spacing w:after="0"/>
              <w:rPr>
                <w:sz w:val="20"/>
                <w:szCs w:val="20"/>
                <w:color w:val="auto"/>
              </w:rPr>
            </w:pPr>
            <w:r>
              <w:rPr>
                <w:rFonts w:ascii="Arial" w:cs="Arial" w:eastAsia="Arial" w:hAnsi="Arial"/>
                <w:sz w:val="16"/>
                <w:szCs w:val="16"/>
                <w:color w:val="auto"/>
                <w:w w:val="92"/>
              </w:rPr>
              <w:t>(Henrietta H. Fore)</w:t>
            </w:r>
          </w:p>
        </w:tc>
        <w:tc>
          <w:tcPr>
            <w:tcW w:w="5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3"/>
        </w:trPr>
        <w:tc>
          <w:tcPr>
            <w:tcW w:w="580" w:type="dxa"/>
            <w:vAlign w:val="bottom"/>
          </w:tcPr>
          <w:p>
            <w:pPr>
              <w:spacing w:after="0"/>
              <w:rPr>
                <w:sz w:val="24"/>
                <w:szCs w:val="24"/>
                <w:color w:val="auto"/>
              </w:rPr>
            </w:pPr>
          </w:p>
        </w:tc>
        <w:tc>
          <w:tcPr>
            <w:tcW w:w="1880" w:type="dxa"/>
            <w:vAlign w:val="bottom"/>
            <w:tcBorders>
              <w:bottom w:val="single" w:sz="8" w:color="auto"/>
            </w:tcBorders>
          </w:tcPr>
          <w:p>
            <w:pPr>
              <w:ind w:left="1640"/>
              <w:spacing w:after="0"/>
              <w:rPr>
                <w:sz w:val="20"/>
                <w:szCs w:val="20"/>
                <w:color w:val="auto"/>
              </w:rPr>
            </w:pPr>
            <w:r>
              <w:rPr>
                <w:rFonts w:ascii="Arial" w:cs="Arial" w:eastAsia="Arial" w:hAnsi="Arial"/>
                <w:sz w:val="16"/>
                <w:szCs w:val="16"/>
                <w:color w:val="auto"/>
              </w:rPr>
              <w:t>/s/</w:t>
            </w:r>
          </w:p>
        </w:tc>
        <w:tc>
          <w:tcPr>
            <w:tcW w:w="3400" w:type="dxa"/>
            <w:vAlign w:val="bottom"/>
            <w:tcBorders>
              <w:bottom w:val="single" w:sz="8" w:color="auto"/>
            </w:tcBorders>
          </w:tcPr>
          <w:p>
            <w:pPr>
              <w:jc w:val="center"/>
              <w:ind w:right="1478"/>
              <w:spacing w:after="0"/>
              <w:rPr>
                <w:sz w:val="20"/>
                <w:szCs w:val="20"/>
                <w:color w:val="auto"/>
              </w:rPr>
            </w:pPr>
            <w:r>
              <w:rPr>
                <w:rFonts w:ascii="Arial" w:cs="Arial" w:eastAsia="Arial" w:hAnsi="Arial"/>
                <w:sz w:val="16"/>
                <w:szCs w:val="16"/>
                <w:color w:val="auto"/>
                <w:w w:val="98"/>
              </w:rPr>
              <w:t>KENNETH C. FRAZIER</w:t>
            </w:r>
          </w:p>
        </w:tc>
        <w:tc>
          <w:tcPr>
            <w:tcW w:w="5660" w:type="dxa"/>
            <w:vAlign w:val="bottom"/>
            <w:gridSpan w:val="2"/>
          </w:tcPr>
          <w:p>
            <w:pPr>
              <w:jc w:val="center"/>
              <w:ind w:left="3718"/>
              <w:spacing w:after="0"/>
              <w:rPr>
                <w:sz w:val="20"/>
                <w:szCs w:val="20"/>
                <w:color w:val="auto"/>
              </w:rPr>
            </w:pPr>
            <w:r>
              <w:rPr>
                <w:rFonts w:ascii="Arial" w:cs="Arial" w:eastAsia="Arial" w:hAnsi="Arial"/>
                <w:sz w:val="16"/>
                <w:szCs w:val="16"/>
                <w:color w:val="auto"/>
                <w:w w:val="96"/>
              </w:rPr>
              <w:t>Director</w:t>
            </w:r>
          </w:p>
        </w:tc>
        <w:tc>
          <w:tcPr>
            <w:tcW w:w="0" w:type="dxa"/>
            <w:vAlign w:val="bottom"/>
          </w:tcPr>
          <w:p>
            <w:pPr>
              <w:spacing w:after="0"/>
              <w:rPr>
                <w:sz w:val="1"/>
                <w:szCs w:val="1"/>
                <w:color w:val="auto"/>
              </w:rPr>
            </w:pPr>
          </w:p>
        </w:tc>
      </w:tr>
      <w:tr>
        <w:trPr>
          <w:trHeight w:val="261"/>
        </w:trPr>
        <w:tc>
          <w:tcPr>
            <w:tcW w:w="5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00" w:type="dxa"/>
            <w:vAlign w:val="bottom"/>
          </w:tcPr>
          <w:p>
            <w:pPr>
              <w:jc w:val="center"/>
              <w:ind w:right="1798"/>
              <w:spacing w:after="0"/>
              <w:rPr>
                <w:sz w:val="20"/>
                <w:szCs w:val="20"/>
                <w:color w:val="auto"/>
              </w:rPr>
            </w:pPr>
            <w:r>
              <w:rPr>
                <w:rFonts w:ascii="Arial" w:cs="Arial" w:eastAsia="Arial" w:hAnsi="Arial"/>
                <w:sz w:val="16"/>
                <w:szCs w:val="16"/>
                <w:color w:val="auto"/>
                <w:w w:val="93"/>
              </w:rPr>
              <w:t>(Kenneth C. Frazier)</w:t>
            </w:r>
          </w:p>
        </w:tc>
        <w:tc>
          <w:tcPr>
            <w:tcW w:w="5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3"/>
        </w:trPr>
        <w:tc>
          <w:tcPr>
            <w:tcW w:w="580" w:type="dxa"/>
            <w:vAlign w:val="bottom"/>
          </w:tcPr>
          <w:p>
            <w:pPr>
              <w:spacing w:after="0"/>
              <w:rPr>
                <w:sz w:val="24"/>
                <w:szCs w:val="24"/>
                <w:color w:val="auto"/>
              </w:rPr>
            </w:pPr>
          </w:p>
        </w:tc>
        <w:tc>
          <w:tcPr>
            <w:tcW w:w="1880" w:type="dxa"/>
            <w:vAlign w:val="bottom"/>
            <w:tcBorders>
              <w:bottom w:val="single" w:sz="8" w:color="auto"/>
            </w:tcBorders>
          </w:tcPr>
          <w:p>
            <w:pPr>
              <w:ind w:left="1660"/>
              <w:spacing w:after="0"/>
              <w:rPr>
                <w:sz w:val="20"/>
                <w:szCs w:val="20"/>
                <w:color w:val="auto"/>
              </w:rPr>
            </w:pPr>
            <w:r>
              <w:rPr>
                <w:rFonts w:ascii="Arial" w:cs="Arial" w:eastAsia="Arial" w:hAnsi="Arial"/>
                <w:sz w:val="16"/>
                <w:szCs w:val="16"/>
                <w:color w:val="auto"/>
              </w:rPr>
              <w:t>/s/</w:t>
            </w:r>
          </w:p>
        </w:tc>
        <w:tc>
          <w:tcPr>
            <w:tcW w:w="3400" w:type="dxa"/>
            <w:vAlign w:val="bottom"/>
            <w:tcBorders>
              <w:bottom w:val="single" w:sz="8" w:color="auto"/>
            </w:tcBorders>
          </w:tcPr>
          <w:p>
            <w:pPr>
              <w:jc w:val="center"/>
              <w:ind w:right="1478"/>
              <w:spacing w:after="0"/>
              <w:rPr>
                <w:sz w:val="20"/>
                <w:szCs w:val="20"/>
                <w:color w:val="auto"/>
              </w:rPr>
            </w:pPr>
            <w:r>
              <w:rPr>
                <w:rFonts w:ascii="Arial" w:cs="Arial" w:eastAsia="Arial" w:hAnsi="Arial"/>
                <w:sz w:val="16"/>
                <w:szCs w:val="16"/>
                <w:color w:val="auto"/>
                <w:w w:val="99"/>
              </w:rPr>
              <w:t>WILLIAM W. GEORGE</w:t>
            </w:r>
          </w:p>
        </w:tc>
        <w:tc>
          <w:tcPr>
            <w:tcW w:w="5660" w:type="dxa"/>
            <w:vAlign w:val="bottom"/>
            <w:gridSpan w:val="2"/>
          </w:tcPr>
          <w:p>
            <w:pPr>
              <w:jc w:val="center"/>
              <w:ind w:left="3718"/>
              <w:spacing w:after="0"/>
              <w:rPr>
                <w:sz w:val="20"/>
                <w:szCs w:val="20"/>
                <w:color w:val="auto"/>
              </w:rPr>
            </w:pPr>
            <w:r>
              <w:rPr>
                <w:rFonts w:ascii="Arial" w:cs="Arial" w:eastAsia="Arial" w:hAnsi="Arial"/>
                <w:sz w:val="16"/>
                <w:szCs w:val="16"/>
                <w:color w:val="auto"/>
                <w:w w:val="96"/>
              </w:rPr>
              <w:t>Director</w:t>
            </w:r>
          </w:p>
        </w:tc>
        <w:tc>
          <w:tcPr>
            <w:tcW w:w="0" w:type="dxa"/>
            <w:vAlign w:val="bottom"/>
          </w:tcPr>
          <w:p>
            <w:pPr>
              <w:spacing w:after="0"/>
              <w:rPr>
                <w:sz w:val="1"/>
                <w:szCs w:val="1"/>
                <w:color w:val="auto"/>
              </w:rPr>
            </w:pPr>
          </w:p>
        </w:tc>
      </w:tr>
      <w:tr>
        <w:trPr>
          <w:trHeight w:val="261"/>
        </w:trPr>
        <w:tc>
          <w:tcPr>
            <w:tcW w:w="5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00" w:type="dxa"/>
            <w:vAlign w:val="bottom"/>
          </w:tcPr>
          <w:p>
            <w:pPr>
              <w:jc w:val="center"/>
              <w:ind w:right="1798"/>
              <w:spacing w:after="0"/>
              <w:rPr>
                <w:sz w:val="20"/>
                <w:szCs w:val="20"/>
                <w:color w:val="auto"/>
              </w:rPr>
            </w:pPr>
            <w:r>
              <w:rPr>
                <w:rFonts w:ascii="Arial" w:cs="Arial" w:eastAsia="Arial" w:hAnsi="Arial"/>
                <w:sz w:val="16"/>
                <w:szCs w:val="16"/>
                <w:color w:val="auto"/>
                <w:w w:val="94"/>
              </w:rPr>
              <w:t>(William W. George)</w:t>
            </w:r>
          </w:p>
        </w:tc>
        <w:tc>
          <w:tcPr>
            <w:tcW w:w="5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3"/>
        </w:trPr>
        <w:tc>
          <w:tcPr>
            <w:tcW w:w="580" w:type="dxa"/>
            <w:vAlign w:val="bottom"/>
          </w:tcPr>
          <w:p>
            <w:pPr>
              <w:spacing w:after="0"/>
              <w:rPr>
                <w:sz w:val="24"/>
                <w:szCs w:val="24"/>
                <w:color w:val="auto"/>
              </w:rPr>
            </w:pPr>
          </w:p>
        </w:tc>
        <w:tc>
          <w:tcPr>
            <w:tcW w:w="1880" w:type="dxa"/>
            <w:vAlign w:val="bottom"/>
            <w:tcBorders>
              <w:bottom w:val="single" w:sz="8" w:color="auto"/>
            </w:tcBorders>
          </w:tcPr>
          <w:p>
            <w:pPr>
              <w:ind w:left="1580"/>
              <w:spacing w:after="0"/>
              <w:rPr>
                <w:sz w:val="20"/>
                <w:szCs w:val="20"/>
                <w:color w:val="auto"/>
              </w:rPr>
            </w:pPr>
            <w:r>
              <w:rPr>
                <w:rFonts w:ascii="Arial" w:cs="Arial" w:eastAsia="Arial" w:hAnsi="Arial"/>
                <w:sz w:val="16"/>
                <w:szCs w:val="16"/>
                <w:color w:val="auto"/>
              </w:rPr>
              <w:t>/s/</w:t>
            </w:r>
          </w:p>
        </w:tc>
        <w:tc>
          <w:tcPr>
            <w:tcW w:w="3400" w:type="dxa"/>
            <w:vAlign w:val="bottom"/>
            <w:tcBorders>
              <w:bottom w:val="single" w:sz="8" w:color="auto"/>
            </w:tcBorders>
          </w:tcPr>
          <w:p>
            <w:pPr>
              <w:jc w:val="center"/>
              <w:ind w:right="1478"/>
              <w:spacing w:after="0"/>
              <w:rPr>
                <w:sz w:val="20"/>
                <w:szCs w:val="20"/>
                <w:color w:val="auto"/>
              </w:rPr>
            </w:pPr>
            <w:r>
              <w:rPr>
                <w:rFonts w:ascii="Arial" w:cs="Arial" w:eastAsia="Arial" w:hAnsi="Arial"/>
                <w:sz w:val="16"/>
                <w:szCs w:val="16"/>
                <w:color w:val="auto"/>
                <w:w w:val="99"/>
              </w:rPr>
              <w:t>SAMUEL J. PALMISANO</w:t>
            </w:r>
          </w:p>
        </w:tc>
        <w:tc>
          <w:tcPr>
            <w:tcW w:w="5660" w:type="dxa"/>
            <w:vAlign w:val="bottom"/>
            <w:gridSpan w:val="2"/>
          </w:tcPr>
          <w:p>
            <w:pPr>
              <w:jc w:val="center"/>
              <w:ind w:left="3718"/>
              <w:spacing w:after="0"/>
              <w:rPr>
                <w:sz w:val="20"/>
                <w:szCs w:val="20"/>
                <w:color w:val="auto"/>
              </w:rPr>
            </w:pPr>
            <w:r>
              <w:rPr>
                <w:rFonts w:ascii="Arial" w:cs="Arial" w:eastAsia="Arial" w:hAnsi="Arial"/>
                <w:sz w:val="16"/>
                <w:szCs w:val="16"/>
                <w:color w:val="auto"/>
                <w:w w:val="96"/>
              </w:rPr>
              <w:t>Director</w:t>
            </w:r>
          </w:p>
        </w:tc>
        <w:tc>
          <w:tcPr>
            <w:tcW w:w="0" w:type="dxa"/>
            <w:vAlign w:val="bottom"/>
          </w:tcPr>
          <w:p>
            <w:pPr>
              <w:spacing w:after="0"/>
              <w:rPr>
                <w:sz w:val="1"/>
                <w:szCs w:val="1"/>
                <w:color w:val="auto"/>
              </w:rPr>
            </w:pPr>
          </w:p>
        </w:tc>
      </w:tr>
      <w:tr>
        <w:trPr>
          <w:trHeight w:val="261"/>
        </w:trPr>
        <w:tc>
          <w:tcPr>
            <w:tcW w:w="5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00" w:type="dxa"/>
            <w:vAlign w:val="bottom"/>
          </w:tcPr>
          <w:p>
            <w:pPr>
              <w:jc w:val="center"/>
              <w:ind w:right="1798"/>
              <w:spacing w:after="0"/>
              <w:rPr>
                <w:sz w:val="20"/>
                <w:szCs w:val="20"/>
                <w:color w:val="auto"/>
              </w:rPr>
            </w:pPr>
            <w:r>
              <w:rPr>
                <w:rFonts w:ascii="Arial" w:cs="Arial" w:eastAsia="Arial" w:hAnsi="Arial"/>
                <w:sz w:val="16"/>
                <w:szCs w:val="16"/>
                <w:color w:val="auto"/>
                <w:w w:val="91"/>
              </w:rPr>
              <w:t>(Samuel J. Palmisano)</w:t>
            </w:r>
          </w:p>
        </w:tc>
        <w:tc>
          <w:tcPr>
            <w:tcW w:w="5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3"/>
        </w:trPr>
        <w:tc>
          <w:tcPr>
            <w:tcW w:w="580" w:type="dxa"/>
            <w:vAlign w:val="bottom"/>
          </w:tcPr>
          <w:p>
            <w:pPr>
              <w:spacing w:after="0"/>
              <w:rPr>
                <w:sz w:val="24"/>
                <w:szCs w:val="24"/>
                <w:color w:val="auto"/>
              </w:rPr>
            </w:pPr>
          </w:p>
        </w:tc>
        <w:tc>
          <w:tcPr>
            <w:tcW w:w="1880" w:type="dxa"/>
            <w:vAlign w:val="bottom"/>
            <w:tcBorders>
              <w:bottom w:val="single" w:sz="8" w:color="auto"/>
            </w:tcBorders>
          </w:tcPr>
          <w:p>
            <w:pPr>
              <w:ind w:left="1600"/>
              <w:spacing w:after="0"/>
              <w:rPr>
                <w:sz w:val="20"/>
                <w:szCs w:val="20"/>
                <w:color w:val="auto"/>
              </w:rPr>
            </w:pPr>
            <w:r>
              <w:rPr>
                <w:rFonts w:ascii="Arial" w:cs="Arial" w:eastAsia="Arial" w:hAnsi="Arial"/>
                <w:sz w:val="16"/>
                <w:szCs w:val="16"/>
                <w:color w:val="auto"/>
              </w:rPr>
              <w:t>/s/</w:t>
            </w:r>
          </w:p>
        </w:tc>
        <w:tc>
          <w:tcPr>
            <w:tcW w:w="3400" w:type="dxa"/>
            <w:vAlign w:val="bottom"/>
            <w:tcBorders>
              <w:bottom w:val="single" w:sz="8" w:color="auto"/>
            </w:tcBorders>
          </w:tcPr>
          <w:p>
            <w:pPr>
              <w:jc w:val="center"/>
              <w:ind w:right="1478"/>
              <w:spacing w:after="0"/>
              <w:rPr>
                <w:sz w:val="20"/>
                <w:szCs w:val="20"/>
                <w:color w:val="auto"/>
              </w:rPr>
            </w:pPr>
            <w:r>
              <w:rPr>
                <w:rFonts w:ascii="Arial" w:cs="Arial" w:eastAsia="Arial" w:hAnsi="Arial"/>
                <w:sz w:val="16"/>
                <w:szCs w:val="16"/>
                <w:color w:val="auto"/>
                <w:w w:val="97"/>
              </w:rPr>
              <w:t>STEVEN S REINEMUND</w:t>
            </w:r>
          </w:p>
        </w:tc>
        <w:tc>
          <w:tcPr>
            <w:tcW w:w="5660" w:type="dxa"/>
            <w:vAlign w:val="bottom"/>
            <w:gridSpan w:val="2"/>
          </w:tcPr>
          <w:p>
            <w:pPr>
              <w:jc w:val="center"/>
              <w:ind w:left="3718"/>
              <w:spacing w:after="0"/>
              <w:rPr>
                <w:sz w:val="20"/>
                <w:szCs w:val="20"/>
                <w:color w:val="auto"/>
              </w:rPr>
            </w:pPr>
            <w:r>
              <w:rPr>
                <w:rFonts w:ascii="Arial" w:cs="Arial" w:eastAsia="Arial" w:hAnsi="Arial"/>
                <w:sz w:val="16"/>
                <w:szCs w:val="16"/>
                <w:color w:val="auto"/>
                <w:w w:val="96"/>
              </w:rPr>
              <w:t>Director</w:t>
            </w:r>
          </w:p>
        </w:tc>
        <w:tc>
          <w:tcPr>
            <w:tcW w:w="0" w:type="dxa"/>
            <w:vAlign w:val="bottom"/>
          </w:tcPr>
          <w:p>
            <w:pPr>
              <w:spacing w:after="0"/>
              <w:rPr>
                <w:sz w:val="1"/>
                <w:szCs w:val="1"/>
                <w:color w:val="auto"/>
              </w:rPr>
            </w:pPr>
          </w:p>
        </w:tc>
      </w:tr>
      <w:tr>
        <w:trPr>
          <w:trHeight w:val="261"/>
        </w:trPr>
        <w:tc>
          <w:tcPr>
            <w:tcW w:w="5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00" w:type="dxa"/>
            <w:vAlign w:val="bottom"/>
          </w:tcPr>
          <w:p>
            <w:pPr>
              <w:jc w:val="center"/>
              <w:ind w:right="1798"/>
              <w:spacing w:after="0"/>
              <w:rPr>
                <w:sz w:val="20"/>
                <w:szCs w:val="20"/>
                <w:color w:val="auto"/>
              </w:rPr>
            </w:pPr>
            <w:r>
              <w:rPr>
                <w:rFonts w:ascii="Arial" w:cs="Arial" w:eastAsia="Arial" w:hAnsi="Arial"/>
                <w:sz w:val="16"/>
                <w:szCs w:val="16"/>
                <w:color w:val="auto"/>
                <w:w w:val="91"/>
              </w:rPr>
              <w:t>(Steven S Reinemund)</w:t>
            </w:r>
          </w:p>
        </w:tc>
        <w:tc>
          <w:tcPr>
            <w:tcW w:w="5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3"/>
        </w:trPr>
        <w:tc>
          <w:tcPr>
            <w:tcW w:w="580" w:type="dxa"/>
            <w:vAlign w:val="bottom"/>
          </w:tcPr>
          <w:p>
            <w:pPr>
              <w:spacing w:after="0"/>
              <w:rPr>
                <w:sz w:val="24"/>
                <w:szCs w:val="24"/>
                <w:color w:val="auto"/>
              </w:rPr>
            </w:pPr>
          </w:p>
        </w:tc>
        <w:tc>
          <w:tcPr>
            <w:tcW w:w="1880" w:type="dxa"/>
            <w:vAlign w:val="bottom"/>
            <w:tcBorders>
              <w:bottom w:val="single" w:sz="8" w:color="auto"/>
            </w:tcBorders>
          </w:tcPr>
          <w:p>
            <w:pPr>
              <w:ind w:left="1660"/>
              <w:spacing w:after="0"/>
              <w:rPr>
                <w:sz w:val="20"/>
                <w:szCs w:val="20"/>
                <w:color w:val="auto"/>
              </w:rPr>
            </w:pPr>
            <w:r>
              <w:rPr>
                <w:rFonts w:ascii="Arial" w:cs="Arial" w:eastAsia="Arial" w:hAnsi="Arial"/>
                <w:sz w:val="16"/>
                <w:szCs w:val="16"/>
                <w:color w:val="auto"/>
              </w:rPr>
              <w:t>/s/</w:t>
            </w:r>
          </w:p>
        </w:tc>
        <w:tc>
          <w:tcPr>
            <w:tcW w:w="3400" w:type="dxa"/>
            <w:vAlign w:val="bottom"/>
            <w:tcBorders>
              <w:bottom w:val="single" w:sz="8" w:color="auto"/>
            </w:tcBorders>
          </w:tcPr>
          <w:p>
            <w:pPr>
              <w:jc w:val="center"/>
              <w:ind w:right="1478"/>
              <w:spacing w:after="0"/>
              <w:rPr>
                <w:sz w:val="20"/>
                <w:szCs w:val="20"/>
                <w:color w:val="auto"/>
              </w:rPr>
            </w:pPr>
            <w:r>
              <w:rPr>
                <w:rFonts w:ascii="Arial" w:cs="Arial" w:eastAsia="Arial" w:hAnsi="Arial"/>
                <w:sz w:val="16"/>
                <w:szCs w:val="16"/>
                <w:color w:val="auto"/>
              </w:rPr>
              <w:t>WILLIAM C. WELDON</w:t>
            </w:r>
          </w:p>
        </w:tc>
        <w:tc>
          <w:tcPr>
            <w:tcW w:w="5660" w:type="dxa"/>
            <w:vAlign w:val="bottom"/>
            <w:gridSpan w:val="2"/>
          </w:tcPr>
          <w:p>
            <w:pPr>
              <w:jc w:val="center"/>
              <w:ind w:left="3718"/>
              <w:spacing w:after="0"/>
              <w:rPr>
                <w:sz w:val="20"/>
                <w:szCs w:val="20"/>
                <w:color w:val="auto"/>
              </w:rPr>
            </w:pPr>
            <w:r>
              <w:rPr>
                <w:rFonts w:ascii="Arial" w:cs="Arial" w:eastAsia="Arial" w:hAnsi="Arial"/>
                <w:sz w:val="16"/>
                <w:szCs w:val="16"/>
                <w:color w:val="auto"/>
                <w:w w:val="96"/>
              </w:rPr>
              <w:t>Director</w:t>
            </w:r>
          </w:p>
        </w:tc>
        <w:tc>
          <w:tcPr>
            <w:tcW w:w="0" w:type="dxa"/>
            <w:vAlign w:val="bottom"/>
          </w:tcPr>
          <w:p>
            <w:pPr>
              <w:spacing w:after="0"/>
              <w:rPr>
                <w:sz w:val="1"/>
                <w:szCs w:val="1"/>
                <w:color w:val="auto"/>
              </w:rPr>
            </w:pPr>
          </w:p>
        </w:tc>
      </w:tr>
      <w:tr>
        <w:trPr>
          <w:trHeight w:val="261"/>
        </w:trPr>
        <w:tc>
          <w:tcPr>
            <w:tcW w:w="5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00" w:type="dxa"/>
            <w:vAlign w:val="bottom"/>
          </w:tcPr>
          <w:p>
            <w:pPr>
              <w:jc w:val="center"/>
              <w:ind w:right="1798"/>
              <w:spacing w:after="0"/>
              <w:rPr>
                <w:sz w:val="20"/>
                <w:szCs w:val="20"/>
                <w:color w:val="auto"/>
              </w:rPr>
            </w:pPr>
            <w:r>
              <w:rPr>
                <w:rFonts w:ascii="Arial" w:cs="Arial" w:eastAsia="Arial" w:hAnsi="Arial"/>
                <w:sz w:val="16"/>
                <w:szCs w:val="16"/>
                <w:color w:val="auto"/>
                <w:w w:val="96"/>
              </w:rPr>
              <w:t>(William C. Weldon)</w:t>
            </w:r>
          </w:p>
        </w:tc>
        <w:tc>
          <w:tcPr>
            <w:tcW w:w="5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2"/>
        </w:trPr>
        <w:tc>
          <w:tcPr>
            <w:tcW w:w="580" w:type="dxa"/>
            <w:vAlign w:val="bottom"/>
          </w:tcPr>
          <w:p>
            <w:pPr>
              <w:spacing w:after="0"/>
              <w:rPr>
                <w:sz w:val="24"/>
                <w:szCs w:val="24"/>
                <w:color w:val="auto"/>
              </w:rPr>
            </w:pPr>
          </w:p>
        </w:tc>
        <w:tc>
          <w:tcPr>
            <w:tcW w:w="1880" w:type="dxa"/>
            <w:vAlign w:val="bottom"/>
            <w:tcBorders>
              <w:bottom w:val="single" w:sz="8" w:color="auto"/>
            </w:tcBorders>
          </w:tcPr>
          <w:p>
            <w:pPr>
              <w:ind w:left="1720"/>
              <w:spacing w:after="0"/>
              <w:rPr>
                <w:sz w:val="20"/>
                <w:szCs w:val="20"/>
                <w:color w:val="auto"/>
              </w:rPr>
            </w:pPr>
            <w:r>
              <w:rPr>
                <w:rFonts w:ascii="Arial" w:cs="Arial" w:eastAsia="Arial" w:hAnsi="Arial"/>
                <w:sz w:val="16"/>
                <w:szCs w:val="16"/>
                <w:color w:val="auto"/>
                <w:w w:val="82"/>
              </w:rPr>
              <w:t>/s/</w:t>
            </w:r>
          </w:p>
        </w:tc>
        <w:tc>
          <w:tcPr>
            <w:tcW w:w="3400" w:type="dxa"/>
            <w:vAlign w:val="bottom"/>
            <w:tcBorders>
              <w:bottom w:val="single" w:sz="8" w:color="auto"/>
            </w:tcBorders>
          </w:tcPr>
          <w:p>
            <w:pPr>
              <w:jc w:val="center"/>
              <w:ind w:right="1498"/>
              <w:spacing w:after="0"/>
              <w:rPr>
                <w:sz w:val="20"/>
                <w:szCs w:val="20"/>
                <w:color w:val="auto"/>
              </w:rPr>
            </w:pPr>
            <w:r>
              <w:rPr>
                <w:rFonts w:ascii="Arial" w:cs="Arial" w:eastAsia="Arial" w:hAnsi="Arial"/>
                <w:sz w:val="16"/>
                <w:szCs w:val="16"/>
                <w:color w:val="auto"/>
                <w:w w:val="96"/>
              </w:rPr>
              <w:t>ANDREW P. SWIGER</w:t>
            </w:r>
          </w:p>
        </w:tc>
        <w:tc>
          <w:tcPr>
            <w:tcW w:w="5660" w:type="dxa"/>
            <w:vAlign w:val="bottom"/>
            <w:gridSpan w:val="2"/>
          </w:tcPr>
          <w:p>
            <w:pPr>
              <w:jc w:val="center"/>
              <w:ind w:left="3718"/>
              <w:spacing w:after="0"/>
              <w:rPr>
                <w:sz w:val="20"/>
                <w:szCs w:val="20"/>
                <w:color w:val="auto"/>
              </w:rPr>
            </w:pPr>
            <w:r>
              <w:rPr>
                <w:rFonts w:ascii="Arial" w:cs="Arial" w:eastAsia="Arial" w:hAnsi="Arial"/>
                <w:sz w:val="16"/>
                <w:szCs w:val="16"/>
                <w:color w:val="auto"/>
                <w:w w:val="92"/>
              </w:rPr>
              <w:t>Senior Vice President</w:t>
            </w:r>
          </w:p>
        </w:tc>
        <w:tc>
          <w:tcPr>
            <w:tcW w:w="0" w:type="dxa"/>
            <w:vAlign w:val="bottom"/>
          </w:tcPr>
          <w:p>
            <w:pPr>
              <w:spacing w:after="0"/>
              <w:rPr>
                <w:sz w:val="1"/>
                <w:szCs w:val="1"/>
                <w:color w:val="auto"/>
              </w:rPr>
            </w:pPr>
          </w:p>
        </w:tc>
      </w:tr>
      <w:tr>
        <w:trPr>
          <w:trHeight w:val="188"/>
        </w:trPr>
        <w:tc>
          <w:tcPr>
            <w:tcW w:w="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400" w:type="dxa"/>
            <w:vAlign w:val="bottom"/>
            <w:vMerge w:val="restart"/>
          </w:tcPr>
          <w:p>
            <w:pPr>
              <w:jc w:val="center"/>
              <w:ind w:right="1798"/>
              <w:spacing w:after="0"/>
              <w:rPr>
                <w:sz w:val="20"/>
                <w:szCs w:val="20"/>
                <w:color w:val="auto"/>
              </w:rPr>
            </w:pPr>
            <w:r>
              <w:rPr>
                <w:rFonts w:ascii="Arial" w:cs="Arial" w:eastAsia="Arial" w:hAnsi="Arial"/>
                <w:sz w:val="16"/>
                <w:szCs w:val="16"/>
                <w:color w:val="auto"/>
                <w:w w:val="92"/>
              </w:rPr>
              <w:t>(Andrew P. Swiger)</w:t>
            </w:r>
          </w:p>
        </w:tc>
        <w:tc>
          <w:tcPr>
            <w:tcW w:w="5660" w:type="dxa"/>
            <w:vAlign w:val="bottom"/>
            <w:gridSpan w:val="2"/>
          </w:tcPr>
          <w:p>
            <w:pPr>
              <w:jc w:val="center"/>
              <w:ind w:left="3718"/>
              <w:spacing w:after="0"/>
              <w:rPr>
                <w:sz w:val="20"/>
                <w:szCs w:val="20"/>
                <w:color w:val="auto"/>
              </w:rPr>
            </w:pPr>
            <w:r>
              <w:rPr>
                <w:rFonts w:ascii="Arial" w:cs="Arial" w:eastAsia="Arial" w:hAnsi="Arial"/>
                <w:sz w:val="16"/>
                <w:szCs w:val="16"/>
                <w:color w:val="auto"/>
                <w:w w:val="96"/>
              </w:rPr>
              <w:t>(Principal Financial Officer)</w:t>
            </w:r>
          </w:p>
        </w:tc>
        <w:tc>
          <w:tcPr>
            <w:tcW w:w="0" w:type="dxa"/>
            <w:vAlign w:val="bottom"/>
          </w:tcPr>
          <w:p>
            <w:pPr>
              <w:spacing w:after="0"/>
              <w:rPr>
                <w:sz w:val="1"/>
                <w:szCs w:val="1"/>
                <w:color w:val="auto"/>
              </w:rPr>
            </w:pPr>
          </w:p>
        </w:tc>
      </w:tr>
      <w:tr>
        <w:trPr>
          <w:trHeight w:val="74"/>
        </w:trPr>
        <w:tc>
          <w:tcPr>
            <w:tcW w:w="5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3400" w:type="dxa"/>
            <w:vAlign w:val="bottom"/>
            <w:vMerge w:val="continue"/>
          </w:tcPr>
          <w:p>
            <w:pPr>
              <w:spacing w:after="0"/>
              <w:rPr>
                <w:sz w:val="6"/>
                <w:szCs w:val="6"/>
                <w:color w:val="auto"/>
              </w:rPr>
            </w:pPr>
          </w:p>
        </w:tc>
        <w:tc>
          <w:tcPr>
            <w:tcW w:w="56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02"/>
        </w:trPr>
        <w:tc>
          <w:tcPr>
            <w:tcW w:w="580" w:type="dxa"/>
            <w:vAlign w:val="bottom"/>
          </w:tcPr>
          <w:p>
            <w:pPr>
              <w:spacing w:after="0"/>
              <w:rPr>
                <w:sz w:val="24"/>
                <w:szCs w:val="24"/>
                <w:color w:val="auto"/>
              </w:rPr>
            </w:pPr>
          </w:p>
        </w:tc>
        <w:tc>
          <w:tcPr>
            <w:tcW w:w="1880" w:type="dxa"/>
            <w:vAlign w:val="bottom"/>
            <w:tcBorders>
              <w:bottom w:val="single" w:sz="8" w:color="auto"/>
            </w:tcBorders>
          </w:tcPr>
          <w:p>
            <w:pPr>
              <w:ind w:left="1640"/>
              <w:spacing w:after="0"/>
              <w:rPr>
                <w:sz w:val="20"/>
                <w:szCs w:val="20"/>
                <w:color w:val="auto"/>
              </w:rPr>
            </w:pPr>
            <w:r>
              <w:rPr>
                <w:rFonts w:ascii="Arial" w:cs="Arial" w:eastAsia="Arial" w:hAnsi="Arial"/>
                <w:sz w:val="16"/>
                <w:szCs w:val="16"/>
                <w:color w:val="auto"/>
              </w:rPr>
              <w:t>/s/</w:t>
            </w:r>
          </w:p>
        </w:tc>
        <w:tc>
          <w:tcPr>
            <w:tcW w:w="3400" w:type="dxa"/>
            <w:vAlign w:val="bottom"/>
            <w:tcBorders>
              <w:bottom w:val="single" w:sz="8" w:color="auto"/>
            </w:tcBorders>
          </w:tcPr>
          <w:p>
            <w:pPr>
              <w:jc w:val="center"/>
              <w:ind w:right="1478"/>
              <w:spacing w:after="0"/>
              <w:rPr>
                <w:sz w:val="20"/>
                <w:szCs w:val="20"/>
                <w:color w:val="auto"/>
              </w:rPr>
            </w:pPr>
            <w:r>
              <w:rPr>
                <w:rFonts w:ascii="Arial" w:cs="Arial" w:eastAsia="Arial" w:hAnsi="Arial"/>
                <w:sz w:val="16"/>
                <w:szCs w:val="16"/>
                <w:color w:val="auto"/>
                <w:w w:val="98"/>
              </w:rPr>
              <w:t>DAVID S. ROSENTHAL</w:t>
            </w:r>
          </w:p>
        </w:tc>
        <w:tc>
          <w:tcPr>
            <w:tcW w:w="5660" w:type="dxa"/>
            <w:vAlign w:val="bottom"/>
            <w:gridSpan w:val="2"/>
          </w:tcPr>
          <w:p>
            <w:pPr>
              <w:jc w:val="center"/>
              <w:ind w:left="3658"/>
              <w:spacing w:after="0"/>
              <w:rPr>
                <w:sz w:val="20"/>
                <w:szCs w:val="20"/>
                <w:color w:val="auto"/>
              </w:rPr>
            </w:pPr>
            <w:r>
              <w:rPr>
                <w:rFonts w:ascii="Arial" w:cs="Arial" w:eastAsia="Arial" w:hAnsi="Arial"/>
                <w:sz w:val="16"/>
                <w:szCs w:val="16"/>
                <w:color w:val="auto"/>
                <w:w w:val="92"/>
              </w:rPr>
              <w:t>Vice President and Controlle</w:t>
            </w:r>
          </w:p>
        </w:tc>
        <w:tc>
          <w:tcPr>
            <w:tcW w:w="0" w:type="dxa"/>
            <w:vAlign w:val="bottom"/>
          </w:tcPr>
          <w:p>
            <w:pPr>
              <w:spacing w:after="0"/>
              <w:rPr>
                <w:sz w:val="1"/>
                <w:szCs w:val="1"/>
                <w:color w:val="auto"/>
              </w:rPr>
            </w:pPr>
          </w:p>
        </w:tc>
      </w:tr>
      <w:tr>
        <w:trPr>
          <w:trHeight w:val="188"/>
        </w:trPr>
        <w:tc>
          <w:tcPr>
            <w:tcW w:w="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400" w:type="dxa"/>
            <w:vAlign w:val="bottom"/>
            <w:vMerge w:val="restart"/>
          </w:tcPr>
          <w:p>
            <w:pPr>
              <w:jc w:val="center"/>
              <w:ind w:right="1798"/>
              <w:spacing w:after="0"/>
              <w:rPr>
                <w:sz w:val="20"/>
                <w:szCs w:val="20"/>
                <w:color w:val="auto"/>
              </w:rPr>
            </w:pPr>
            <w:r>
              <w:rPr>
                <w:rFonts w:ascii="Arial" w:cs="Arial" w:eastAsia="Arial" w:hAnsi="Arial"/>
                <w:sz w:val="16"/>
                <w:szCs w:val="16"/>
                <w:color w:val="auto"/>
                <w:w w:val="92"/>
              </w:rPr>
              <w:t>(David S. Rosenthal)</w:t>
            </w:r>
          </w:p>
        </w:tc>
        <w:tc>
          <w:tcPr>
            <w:tcW w:w="5660" w:type="dxa"/>
            <w:vAlign w:val="bottom"/>
            <w:gridSpan w:val="2"/>
          </w:tcPr>
          <w:p>
            <w:pPr>
              <w:jc w:val="center"/>
              <w:ind w:left="3638"/>
              <w:spacing w:after="0"/>
              <w:rPr>
                <w:sz w:val="20"/>
                <w:szCs w:val="20"/>
                <w:color w:val="auto"/>
              </w:rPr>
            </w:pPr>
            <w:r>
              <w:rPr>
                <w:rFonts w:ascii="Arial" w:cs="Arial" w:eastAsia="Arial" w:hAnsi="Arial"/>
                <w:sz w:val="16"/>
                <w:szCs w:val="16"/>
                <w:color w:val="auto"/>
                <w:w w:val="96"/>
              </w:rPr>
              <w:t>(Principal Accounting Officer</w:t>
            </w:r>
          </w:p>
        </w:tc>
        <w:tc>
          <w:tcPr>
            <w:tcW w:w="0" w:type="dxa"/>
            <w:vAlign w:val="bottom"/>
          </w:tcPr>
          <w:p>
            <w:pPr>
              <w:spacing w:after="0"/>
              <w:rPr>
                <w:sz w:val="1"/>
                <w:szCs w:val="1"/>
                <w:color w:val="auto"/>
              </w:rPr>
            </w:pPr>
          </w:p>
        </w:tc>
      </w:tr>
      <w:tr>
        <w:trPr>
          <w:trHeight w:val="74"/>
        </w:trPr>
        <w:tc>
          <w:tcPr>
            <w:tcW w:w="5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3400" w:type="dxa"/>
            <w:vAlign w:val="bottom"/>
            <w:vMerge w:val="continue"/>
          </w:tcPr>
          <w:p>
            <w:pPr>
              <w:spacing w:after="0"/>
              <w:rPr>
                <w:sz w:val="6"/>
                <w:szCs w:val="6"/>
                <w:color w:val="auto"/>
              </w:rPr>
            </w:pPr>
          </w:p>
        </w:tc>
        <w:tc>
          <w:tcPr>
            <w:tcW w:w="56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6"/>
        </w:trPr>
        <w:tc>
          <w:tcPr>
            <w:tcW w:w="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600" w:type="dxa"/>
            <w:vAlign w:val="bottom"/>
          </w:tcPr>
          <w:p>
            <w:pPr>
              <w:jc w:val="right"/>
              <w:ind w:right="4978"/>
              <w:spacing w:after="0"/>
              <w:rPr>
                <w:sz w:val="20"/>
                <w:szCs w:val="20"/>
                <w:color w:val="auto"/>
              </w:rPr>
            </w:pPr>
            <w:r>
              <w:rPr>
                <w:rFonts w:ascii="Arial" w:cs="Arial" w:eastAsia="Arial" w:hAnsi="Arial"/>
                <w:sz w:val="16"/>
                <w:szCs w:val="16"/>
                <w:color w:val="auto"/>
              </w:rPr>
              <w:t>114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58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340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960" w:right="1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12"/>
        </w:trPr>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0" w:type="dxa"/>
            <w:vAlign w:val="bottom"/>
            <w:gridSpan w:val="2"/>
          </w:tcPr>
          <w:p>
            <w:pPr>
              <w:ind w:left="3960"/>
              <w:spacing w:after="0"/>
              <w:rPr>
                <w:sz w:val="20"/>
                <w:szCs w:val="20"/>
                <w:color w:val="auto"/>
              </w:rPr>
            </w:pPr>
            <w:r>
              <w:rPr>
                <w:rFonts w:ascii="Arial" w:cs="Arial" w:eastAsia="Arial" w:hAnsi="Arial"/>
                <w:sz w:val="16"/>
                <w:szCs w:val="16"/>
                <w:b w:val="1"/>
                <w:bCs w:val="1"/>
                <w:color w:val="auto"/>
              </w:rPr>
              <w:t>INDEX TO EXHIBITS</w:t>
            </w:r>
          </w:p>
        </w:tc>
      </w:tr>
      <w:tr>
        <w:trPr>
          <w:trHeight w:val="650"/>
        </w:trPr>
        <w:tc>
          <w:tcPr>
            <w:tcW w:w="580" w:type="dxa"/>
            <w:vAlign w:val="bottom"/>
          </w:tcPr>
          <w:p>
            <w:pPr>
              <w:spacing w:after="0"/>
              <w:rPr>
                <w:sz w:val="24"/>
                <w:szCs w:val="24"/>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w:t>
            </w:r>
          </w:p>
        </w:tc>
        <w:tc>
          <w:tcPr>
            <w:tcW w:w="1000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Description</w:t>
            </w:r>
          </w:p>
        </w:tc>
      </w:tr>
      <w:tr>
        <w:trPr>
          <w:trHeight w:val="372"/>
        </w:trPr>
        <w:tc>
          <w:tcPr>
            <w:tcW w:w="5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6"/>
                <w:szCs w:val="16"/>
                <w:color w:val="auto"/>
              </w:rPr>
              <w:t>3(i)</w:t>
            </w:r>
          </w:p>
        </w:tc>
        <w:tc>
          <w:tcPr>
            <w:tcW w:w="10000" w:type="dxa"/>
            <w:vAlign w:val="bottom"/>
            <w:gridSpan w:val="2"/>
          </w:tcPr>
          <w:p>
            <w:pPr>
              <w:ind w:left="220"/>
              <w:spacing w:after="0"/>
              <w:rPr>
                <w:sz w:val="20"/>
                <w:szCs w:val="20"/>
                <w:color w:val="auto"/>
              </w:rPr>
            </w:pPr>
            <w:r>
              <w:rPr>
                <w:rFonts w:ascii="Arial" w:cs="Arial" w:eastAsia="Arial" w:hAnsi="Arial"/>
                <w:sz w:val="16"/>
                <w:szCs w:val="16"/>
                <w:color w:val="auto"/>
                <w:w w:val="98"/>
              </w:rPr>
              <w:t>Restated Certificate of Incorporation, as restated November 30, 1999, and as further amended effective June 20, 2001 (incorporated by refer</w:t>
            </w:r>
          </w:p>
        </w:tc>
      </w:tr>
      <w:tr>
        <w:trPr>
          <w:trHeight w:val="208"/>
        </w:trPr>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0" w:type="dxa"/>
            <w:vAlign w:val="bottom"/>
            <w:gridSpan w:val="2"/>
          </w:tcPr>
          <w:p>
            <w:pPr>
              <w:ind w:left="420"/>
              <w:spacing w:after="0"/>
              <w:rPr>
                <w:sz w:val="20"/>
                <w:szCs w:val="20"/>
                <w:color w:val="auto"/>
              </w:rPr>
            </w:pPr>
            <w:r>
              <w:rPr>
                <w:rFonts w:ascii="Arial" w:cs="Arial" w:eastAsia="Arial" w:hAnsi="Arial"/>
                <w:sz w:val="16"/>
                <w:szCs w:val="16"/>
                <w:color w:val="auto"/>
              </w:rPr>
              <w:t>Exhibit 3(i) to the Registrant’s Quarterly Report on Form 10-Q for the quarter ended June 30, 2011).</w:t>
            </w:r>
          </w:p>
        </w:tc>
      </w:tr>
      <w:tr>
        <w:trPr>
          <w:trHeight w:val="294"/>
        </w:trPr>
        <w:tc>
          <w:tcPr>
            <w:tcW w:w="5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6"/>
                <w:szCs w:val="16"/>
                <w:color w:val="auto"/>
              </w:rPr>
              <w:t>3(ii)</w:t>
            </w:r>
          </w:p>
        </w:tc>
        <w:tc>
          <w:tcPr>
            <w:tcW w:w="10000" w:type="dxa"/>
            <w:vAlign w:val="bottom"/>
            <w:gridSpan w:val="2"/>
          </w:tcPr>
          <w:p>
            <w:pPr>
              <w:ind w:left="220"/>
              <w:spacing w:after="0"/>
              <w:rPr>
                <w:sz w:val="20"/>
                <w:szCs w:val="20"/>
                <w:color w:val="auto"/>
              </w:rPr>
            </w:pPr>
            <w:r>
              <w:rPr>
                <w:rFonts w:ascii="Arial" w:cs="Arial" w:eastAsia="Arial" w:hAnsi="Arial"/>
                <w:sz w:val="16"/>
                <w:szCs w:val="16"/>
                <w:color w:val="auto"/>
              </w:rPr>
              <w:t>By-Laws, as revised to April 27, 2011 (incorporated by reference to Exhibit 3(ii) to the Registrant’s Report on Form 8-K on April 29, 2011).</w:t>
            </w:r>
          </w:p>
        </w:tc>
      </w:tr>
      <w:tr>
        <w:trPr>
          <w:trHeight w:val="283"/>
        </w:trPr>
        <w:tc>
          <w:tcPr>
            <w:tcW w:w="5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6"/>
                <w:szCs w:val="16"/>
                <w:color w:val="auto"/>
              </w:rPr>
              <w:t>10(iii)(a.1)</w:t>
            </w:r>
          </w:p>
        </w:tc>
        <w:tc>
          <w:tcPr>
            <w:tcW w:w="10000" w:type="dxa"/>
            <w:vAlign w:val="bottom"/>
            <w:gridSpan w:val="2"/>
          </w:tcPr>
          <w:p>
            <w:pPr>
              <w:ind w:left="220"/>
              <w:spacing w:after="0"/>
              <w:rPr>
                <w:sz w:val="20"/>
                <w:szCs w:val="20"/>
                <w:color w:val="auto"/>
              </w:rPr>
            </w:pPr>
            <w:r>
              <w:rPr>
                <w:rFonts w:ascii="Arial" w:cs="Arial" w:eastAsia="Arial" w:hAnsi="Arial"/>
                <w:sz w:val="16"/>
                <w:szCs w:val="16"/>
                <w:color w:val="auto"/>
                <w:w w:val="94"/>
              </w:rPr>
              <w:t>2003 Incentive Program, as approved by shareholders May 28, 2003 (incorporated by reference to Exhibit 10(iii)(a.1) to the Registrant’s Annual Re</w:t>
            </w:r>
          </w:p>
        </w:tc>
      </w:tr>
      <w:tr>
        <w:trPr>
          <w:trHeight w:val="208"/>
        </w:trPr>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0" w:type="dxa"/>
            <w:vAlign w:val="bottom"/>
            <w:gridSpan w:val="2"/>
          </w:tcPr>
          <w:p>
            <w:pPr>
              <w:ind w:left="420"/>
              <w:spacing w:after="0"/>
              <w:rPr>
                <w:sz w:val="20"/>
                <w:szCs w:val="20"/>
                <w:color w:val="auto"/>
              </w:rPr>
            </w:pPr>
            <w:r>
              <w:rPr>
                <w:rFonts w:ascii="Arial" w:cs="Arial" w:eastAsia="Arial" w:hAnsi="Arial"/>
                <w:sz w:val="16"/>
                <w:szCs w:val="16"/>
                <w:color w:val="auto"/>
              </w:rPr>
              <w:t>Form 10-K for 2012).*</w:t>
            </w:r>
          </w:p>
        </w:tc>
      </w:tr>
      <w:tr>
        <w:trPr>
          <w:trHeight w:val="283"/>
        </w:trPr>
        <w:tc>
          <w:tcPr>
            <w:tcW w:w="5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6"/>
                <w:szCs w:val="16"/>
                <w:color w:val="auto"/>
              </w:rPr>
              <w:t>10(iii)(a.2)</w:t>
            </w:r>
          </w:p>
        </w:tc>
        <w:tc>
          <w:tcPr>
            <w:tcW w:w="10000" w:type="dxa"/>
            <w:vAlign w:val="bottom"/>
            <w:gridSpan w:val="2"/>
          </w:tcPr>
          <w:p>
            <w:pPr>
              <w:ind w:left="220"/>
              <w:spacing w:after="0"/>
              <w:rPr>
                <w:sz w:val="20"/>
                <w:szCs w:val="20"/>
                <w:color w:val="auto"/>
              </w:rPr>
            </w:pPr>
            <w:r>
              <w:rPr>
                <w:rFonts w:ascii="Arial" w:cs="Arial" w:eastAsia="Arial" w:hAnsi="Arial"/>
                <w:sz w:val="16"/>
                <w:szCs w:val="16"/>
                <w:color w:val="auto"/>
                <w:w w:val="94"/>
              </w:rPr>
              <w:t>Extended Provisions for Restricted Stock Agreements (incorporated by reference to Exhibit 99.2 to the Registrant’s Report on Form 8-K of Novem</w:t>
            </w:r>
          </w:p>
        </w:tc>
      </w:tr>
      <w:tr>
        <w:trPr>
          <w:trHeight w:val="208"/>
        </w:trPr>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940" w:type="dxa"/>
            <w:vAlign w:val="bottom"/>
          </w:tcPr>
          <w:p>
            <w:pPr>
              <w:ind w:left="420"/>
              <w:spacing w:after="0"/>
              <w:rPr>
                <w:sz w:val="20"/>
                <w:szCs w:val="20"/>
                <w:color w:val="auto"/>
              </w:rPr>
            </w:pPr>
            <w:r>
              <w:rPr>
                <w:rFonts w:ascii="Arial" w:cs="Arial" w:eastAsia="Arial" w:hAnsi="Arial"/>
                <w:sz w:val="16"/>
                <w:szCs w:val="16"/>
                <w:color w:val="auto"/>
              </w:rPr>
              <w:t>2012).*</w:t>
            </w:r>
          </w:p>
        </w:tc>
        <w:tc>
          <w:tcPr>
            <w:tcW w:w="60" w:type="dxa"/>
            <w:vAlign w:val="bottom"/>
          </w:tcPr>
          <w:p>
            <w:pPr>
              <w:spacing w:after="0"/>
              <w:rPr>
                <w:sz w:val="18"/>
                <w:szCs w:val="18"/>
                <w:color w:val="auto"/>
              </w:rPr>
            </w:pPr>
          </w:p>
        </w:tc>
      </w:tr>
      <w:tr>
        <w:trPr>
          <w:trHeight w:val="294"/>
        </w:trPr>
        <w:tc>
          <w:tcPr>
            <w:tcW w:w="5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6"/>
                <w:szCs w:val="16"/>
                <w:color w:val="auto"/>
              </w:rPr>
              <w:t>10(iii)(a.3)</w:t>
            </w:r>
          </w:p>
        </w:tc>
        <w:tc>
          <w:tcPr>
            <w:tcW w:w="10000" w:type="dxa"/>
            <w:vAlign w:val="bottom"/>
            <w:gridSpan w:val="2"/>
          </w:tcPr>
          <w:p>
            <w:pPr>
              <w:ind w:left="220"/>
              <w:spacing w:after="0"/>
              <w:rPr>
                <w:sz w:val="20"/>
                <w:szCs w:val="20"/>
                <w:color w:val="auto"/>
              </w:rPr>
            </w:pPr>
            <w:r>
              <w:rPr>
                <w:rFonts w:ascii="Arial" w:cs="Arial" w:eastAsia="Arial" w:hAnsi="Arial"/>
                <w:sz w:val="16"/>
                <w:szCs w:val="16"/>
                <w:color w:val="auto"/>
              </w:rPr>
              <w:t>Extended Provisions for Restricted Stock Unit Agreements – Settlement in Shares.*</w:t>
            </w:r>
          </w:p>
        </w:tc>
      </w:tr>
      <w:tr>
        <w:trPr>
          <w:trHeight w:val="283"/>
        </w:trPr>
        <w:tc>
          <w:tcPr>
            <w:tcW w:w="5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6"/>
                <w:szCs w:val="16"/>
                <w:color w:val="auto"/>
              </w:rPr>
              <w:t>10(iii)(a.4)</w:t>
            </w:r>
          </w:p>
        </w:tc>
        <w:tc>
          <w:tcPr>
            <w:tcW w:w="10000" w:type="dxa"/>
            <w:vAlign w:val="bottom"/>
            <w:gridSpan w:val="2"/>
          </w:tcPr>
          <w:p>
            <w:pPr>
              <w:ind w:left="220"/>
              <w:spacing w:after="0"/>
              <w:rPr>
                <w:sz w:val="20"/>
                <w:szCs w:val="20"/>
                <w:color w:val="auto"/>
              </w:rPr>
            </w:pPr>
            <w:r>
              <w:rPr>
                <w:rFonts w:ascii="Arial" w:cs="Arial" w:eastAsia="Arial" w:hAnsi="Arial"/>
                <w:sz w:val="16"/>
                <w:szCs w:val="16"/>
                <w:color w:val="auto"/>
                <w:w w:val="94"/>
              </w:rPr>
              <w:t>Standard Provisions for Restricted Stock Unit Agreements – Settlement in Cash (incorporated by reference to Exhibit 10(iii)(a.4) to the Registrant’s</w:t>
            </w:r>
          </w:p>
        </w:tc>
      </w:tr>
      <w:tr>
        <w:trPr>
          <w:trHeight w:val="208"/>
        </w:trPr>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0" w:type="dxa"/>
            <w:vAlign w:val="bottom"/>
            <w:gridSpan w:val="2"/>
          </w:tcPr>
          <w:p>
            <w:pPr>
              <w:ind w:left="420"/>
              <w:spacing w:after="0"/>
              <w:rPr>
                <w:sz w:val="20"/>
                <w:szCs w:val="20"/>
                <w:color w:val="auto"/>
              </w:rPr>
            </w:pPr>
            <w:r>
              <w:rPr>
                <w:rFonts w:ascii="Arial" w:cs="Arial" w:eastAsia="Arial" w:hAnsi="Arial"/>
                <w:sz w:val="16"/>
                <w:szCs w:val="16"/>
                <w:color w:val="auto"/>
              </w:rPr>
              <w:t>Report on Form 10-K for 2013).*</w:t>
            </w:r>
          </w:p>
        </w:tc>
      </w:tr>
      <w:tr>
        <w:trPr>
          <w:trHeight w:val="294"/>
        </w:trPr>
        <w:tc>
          <w:tcPr>
            <w:tcW w:w="5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6"/>
                <w:szCs w:val="16"/>
                <w:color w:val="auto"/>
              </w:rPr>
              <w:t>10(iii)(b.1)</w:t>
            </w:r>
          </w:p>
        </w:tc>
        <w:tc>
          <w:tcPr>
            <w:tcW w:w="10000" w:type="dxa"/>
            <w:vAlign w:val="bottom"/>
            <w:gridSpan w:val="2"/>
          </w:tcPr>
          <w:p>
            <w:pPr>
              <w:ind w:left="220"/>
              <w:spacing w:after="0"/>
              <w:rPr>
                <w:sz w:val="20"/>
                <w:szCs w:val="20"/>
                <w:color w:val="auto"/>
              </w:rPr>
            </w:pPr>
            <w:r>
              <w:rPr>
                <w:rFonts w:ascii="Arial" w:cs="Arial" w:eastAsia="Arial" w:hAnsi="Arial"/>
                <w:sz w:val="16"/>
                <w:szCs w:val="16"/>
                <w:color w:val="auto"/>
                <w:w w:val="93"/>
              </w:rPr>
              <w:t>Short Term Incentive Program, as amended (incorporated by reference to Exhibit 10(iii)(b.1) to the Registrant’s Annual Report on Form 10-K for 201</w:t>
            </w:r>
          </w:p>
        </w:tc>
      </w:tr>
      <w:tr>
        <w:trPr>
          <w:trHeight w:val="294"/>
        </w:trPr>
        <w:tc>
          <w:tcPr>
            <w:tcW w:w="5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6"/>
                <w:szCs w:val="16"/>
                <w:color w:val="auto"/>
              </w:rPr>
              <w:t>10(iii)(b.2)</w:t>
            </w:r>
          </w:p>
        </w:tc>
        <w:tc>
          <w:tcPr>
            <w:tcW w:w="10000" w:type="dxa"/>
            <w:vAlign w:val="bottom"/>
            <w:gridSpan w:val="2"/>
          </w:tcPr>
          <w:p>
            <w:pPr>
              <w:ind w:left="220"/>
              <w:spacing w:after="0"/>
              <w:rPr>
                <w:sz w:val="20"/>
                <w:szCs w:val="20"/>
                <w:color w:val="auto"/>
              </w:rPr>
            </w:pPr>
            <w:r>
              <w:rPr>
                <w:rFonts w:ascii="Arial" w:cs="Arial" w:eastAsia="Arial" w:hAnsi="Arial"/>
                <w:sz w:val="16"/>
                <w:szCs w:val="16"/>
                <w:color w:val="auto"/>
              </w:rPr>
              <w:t>Earnings Bonus Unit instrument.*</w:t>
            </w:r>
          </w:p>
        </w:tc>
      </w:tr>
      <w:tr>
        <w:trPr>
          <w:trHeight w:val="294"/>
        </w:trPr>
        <w:tc>
          <w:tcPr>
            <w:tcW w:w="5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6"/>
                <w:szCs w:val="16"/>
                <w:color w:val="auto"/>
              </w:rPr>
              <w:t>10(iii)(c.1)</w:t>
            </w:r>
          </w:p>
        </w:tc>
        <w:tc>
          <w:tcPr>
            <w:tcW w:w="10000" w:type="dxa"/>
            <w:vAlign w:val="bottom"/>
            <w:gridSpan w:val="2"/>
          </w:tcPr>
          <w:p>
            <w:pPr>
              <w:ind w:left="220"/>
              <w:spacing w:after="0"/>
              <w:rPr>
                <w:sz w:val="20"/>
                <w:szCs w:val="20"/>
                <w:color w:val="auto"/>
              </w:rPr>
            </w:pPr>
            <w:r>
              <w:rPr>
                <w:rFonts w:ascii="Arial" w:cs="Arial" w:eastAsia="Arial" w:hAnsi="Arial"/>
                <w:sz w:val="16"/>
                <w:szCs w:val="16"/>
                <w:color w:val="auto"/>
              </w:rPr>
              <w:t>ExxonMobil Supplemental Savings Plan.*</w:t>
            </w:r>
          </w:p>
        </w:tc>
      </w:tr>
      <w:tr>
        <w:trPr>
          <w:trHeight w:val="294"/>
        </w:trPr>
        <w:tc>
          <w:tcPr>
            <w:tcW w:w="5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6"/>
                <w:szCs w:val="16"/>
                <w:color w:val="auto"/>
              </w:rPr>
              <w:t>10(iii)(c.2)</w:t>
            </w:r>
          </w:p>
        </w:tc>
        <w:tc>
          <w:tcPr>
            <w:tcW w:w="10000" w:type="dxa"/>
            <w:vAlign w:val="bottom"/>
            <w:gridSpan w:val="2"/>
          </w:tcPr>
          <w:p>
            <w:pPr>
              <w:ind w:left="220"/>
              <w:spacing w:after="0"/>
              <w:rPr>
                <w:sz w:val="20"/>
                <w:szCs w:val="20"/>
                <w:color w:val="auto"/>
              </w:rPr>
            </w:pPr>
            <w:r>
              <w:rPr>
                <w:rFonts w:ascii="Arial" w:cs="Arial" w:eastAsia="Arial" w:hAnsi="Arial"/>
                <w:sz w:val="16"/>
                <w:szCs w:val="16"/>
                <w:color w:val="auto"/>
              </w:rPr>
              <w:t>ExxonMobil Supplemental Pension Plan.*</w:t>
            </w:r>
          </w:p>
        </w:tc>
      </w:tr>
      <w:tr>
        <w:trPr>
          <w:trHeight w:val="294"/>
        </w:trPr>
        <w:tc>
          <w:tcPr>
            <w:tcW w:w="5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6"/>
                <w:szCs w:val="16"/>
                <w:color w:val="auto"/>
              </w:rPr>
              <w:t>10(iii)(c.3)</w:t>
            </w:r>
          </w:p>
        </w:tc>
        <w:tc>
          <w:tcPr>
            <w:tcW w:w="10000" w:type="dxa"/>
            <w:vAlign w:val="bottom"/>
            <w:gridSpan w:val="2"/>
          </w:tcPr>
          <w:p>
            <w:pPr>
              <w:ind w:left="220"/>
              <w:spacing w:after="0"/>
              <w:rPr>
                <w:sz w:val="20"/>
                <w:szCs w:val="20"/>
                <w:color w:val="auto"/>
              </w:rPr>
            </w:pPr>
            <w:r>
              <w:rPr>
                <w:rFonts w:ascii="Arial" w:cs="Arial" w:eastAsia="Arial" w:hAnsi="Arial"/>
                <w:sz w:val="16"/>
                <w:szCs w:val="16"/>
                <w:color w:val="auto"/>
                <w:w w:val="94"/>
              </w:rPr>
              <w:t>ExxonMobil Additional Payments Plan (incorporated by reference to Exhibit 10(iii)(c.3) to the Registrant’s Annual Report on Form 10-K for 2013).*</w:t>
            </w:r>
          </w:p>
        </w:tc>
      </w:tr>
      <w:tr>
        <w:trPr>
          <w:trHeight w:val="283"/>
        </w:trPr>
        <w:tc>
          <w:tcPr>
            <w:tcW w:w="5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6"/>
                <w:szCs w:val="16"/>
                <w:color w:val="auto"/>
              </w:rPr>
              <w:t>10(iii)(d)</w:t>
            </w:r>
          </w:p>
        </w:tc>
        <w:tc>
          <w:tcPr>
            <w:tcW w:w="10000" w:type="dxa"/>
            <w:vAlign w:val="bottom"/>
            <w:gridSpan w:val="2"/>
          </w:tcPr>
          <w:p>
            <w:pPr>
              <w:ind w:left="220"/>
              <w:spacing w:after="0"/>
              <w:rPr>
                <w:sz w:val="20"/>
                <w:szCs w:val="20"/>
                <w:color w:val="auto"/>
              </w:rPr>
            </w:pPr>
            <w:r>
              <w:rPr>
                <w:rFonts w:ascii="Arial" w:cs="Arial" w:eastAsia="Arial" w:hAnsi="Arial"/>
                <w:sz w:val="16"/>
                <w:szCs w:val="16"/>
                <w:color w:val="auto"/>
                <w:w w:val="94"/>
              </w:rPr>
              <w:t>ExxonMobil Executive Life Insurance and Death Benefit Plan (incorporated by reference to Exhibit 10(iii)(d) to the Registrant’s Annual Report on F</w:t>
            </w:r>
          </w:p>
        </w:tc>
      </w:tr>
      <w:tr>
        <w:trPr>
          <w:trHeight w:val="208"/>
        </w:trPr>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0" w:type="dxa"/>
            <w:vAlign w:val="bottom"/>
            <w:gridSpan w:val="2"/>
          </w:tcPr>
          <w:p>
            <w:pPr>
              <w:ind w:left="420"/>
              <w:spacing w:after="0"/>
              <w:rPr>
                <w:sz w:val="20"/>
                <w:szCs w:val="20"/>
                <w:color w:val="auto"/>
              </w:rPr>
            </w:pPr>
            <w:r>
              <w:rPr>
                <w:rFonts w:ascii="Arial" w:cs="Arial" w:eastAsia="Arial" w:hAnsi="Arial"/>
                <w:sz w:val="16"/>
                <w:szCs w:val="16"/>
                <w:color w:val="auto"/>
              </w:rPr>
              <w:t>K for 2011).*</w:t>
            </w:r>
          </w:p>
        </w:tc>
      </w:tr>
      <w:tr>
        <w:trPr>
          <w:trHeight w:val="283"/>
        </w:trPr>
        <w:tc>
          <w:tcPr>
            <w:tcW w:w="5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6"/>
                <w:szCs w:val="16"/>
                <w:color w:val="auto"/>
              </w:rPr>
              <w:t>10(iii)(f.1)</w:t>
            </w:r>
          </w:p>
        </w:tc>
        <w:tc>
          <w:tcPr>
            <w:tcW w:w="10000" w:type="dxa"/>
            <w:vAlign w:val="bottom"/>
            <w:gridSpan w:val="2"/>
          </w:tcPr>
          <w:p>
            <w:pPr>
              <w:ind w:left="220"/>
              <w:spacing w:after="0"/>
              <w:rPr>
                <w:sz w:val="20"/>
                <w:szCs w:val="20"/>
                <w:color w:val="auto"/>
              </w:rPr>
            </w:pPr>
            <w:r>
              <w:rPr>
                <w:rFonts w:ascii="Arial" w:cs="Arial" w:eastAsia="Arial" w:hAnsi="Arial"/>
                <w:sz w:val="16"/>
                <w:szCs w:val="16"/>
                <w:color w:val="auto"/>
                <w:w w:val="96"/>
              </w:rPr>
              <w:t>2004 Non-Employee Director Restricted Stock Plan (incorporated by reference to Exhibit 10(iii)(f.1) to the Registrant’s Annual Report on Form 1</w:t>
            </w:r>
          </w:p>
        </w:tc>
      </w:tr>
      <w:tr>
        <w:trPr>
          <w:trHeight w:val="208"/>
        </w:trPr>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940" w:type="dxa"/>
            <w:vAlign w:val="bottom"/>
          </w:tcPr>
          <w:p>
            <w:pPr>
              <w:ind w:left="420"/>
              <w:spacing w:after="0"/>
              <w:rPr>
                <w:sz w:val="20"/>
                <w:szCs w:val="20"/>
                <w:color w:val="auto"/>
              </w:rPr>
            </w:pPr>
            <w:r>
              <w:rPr>
                <w:rFonts w:ascii="Arial" w:cs="Arial" w:eastAsia="Arial" w:hAnsi="Arial"/>
                <w:sz w:val="16"/>
                <w:szCs w:val="16"/>
                <w:color w:val="auto"/>
              </w:rPr>
              <w:t>2013).*</w:t>
            </w:r>
          </w:p>
        </w:tc>
        <w:tc>
          <w:tcPr>
            <w:tcW w:w="60" w:type="dxa"/>
            <w:vAlign w:val="bottom"/>
          </w:tcPr>
          <w:p>
            <w:pPr>
              <w:spacing w:after="0"/>
              <w:rPr>
                <w:sz w:val="18"/>
                <w:szCs w:val="18"/>
                <w:color w:val="auto"/>
              </w:rPr>
            </w:pPr>
          </w:p>
        </w:tc>
      </w:tr>
      <w:tr>
        <w:trPr>
          <w:trHeight w:val="283"/>
        </w:trPr>
        <w:tc>
          <w:tcPr>
            <w:tcW w:w="5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6"/>
                <w:szCs w:val="16"/>
                <w:color w:val="auto"/>
              </w:rPr>
              <w:t>10(iii)(f.2)</w:t>
            </w:r>
          </w:p>
        </w:tc>
        <w:tc>
          <w:tcPr>
            <w:tcW w:w="10000" w:type="dxa"/>
            <w:vAlign w:val="bottom"/>
            <w:gridSpan w:val="2"/>
          </w:tcPr>
          <w:p>
            <w:pPr>
              <w:ind w:left="220"/>
              <w:spacing w:after="0"/>
              <w:rPr>
                <w:sz w:val="20"/>
                <w:szCs w:val="20"/>
                <w:color w:val="auto"/>
              </w:rPr>
            </w:pPr>
            <w:r>
              <w:rPr>
                <w:rFonts w:ascii="Arial" w:cs="Arial" w:eastAsia="Arial" w:hAnsi="Arial"/>
                <w:sz w:val="16"/>
                <w:szCs w:val="16"/>
                <w:color w:val="auto"/>
              </w:rPr>
              <w:t>Standing resolution for non-employee director restricted grants dated September 26, 2007 (incorporated by reference to Exhibit 10(iii)(f.2)</w:t>
            </w:r>
          </w:p>
        </w:tc>
      </w:tr>
      <w:tr>
        <w:trPr>
          <w:trHeight w:val="208"/>
        </w:trPr>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0" w:type="dxa"/>
            <w:vAlign w:val="bottom"/>
            <w:gridSpan w:val="2"/>
          </w:tcPr>
          <w:p>
            <w:pPr>
              <w:ind w:left="420"/>
              <w:spacing w:after="0"/>
              <w:rPr>
                <w:sz w:val="20"/>
                <w:szCs w:val="20"/>
                <w:color w:val="auto"/>
              </w:rPr>
            </w:pPr>
            <w:r>
              <w:rPr>
                <w:rFonts w:ascii="Arial" w:cs="Arial" w:eastAsia="Arial" w:hAnsi="Arial"/>
                <w:sz w:val="16"/>
                <w:szCs w:val="16"/>
                <w:color w:val="auto"/>
              </w:rPr>
              <w:t>Registrant’s Quarterly Report on Form 10-Q for the quarter ended September 30, 2012).*</w:t>
            </w:r>
          </w:p>
        </w:tc>
      </w:tr>
      <w:tr>
        <w:trPr>
          <w:trHeight w:val="294"/>
        </w:trPr>
        <w:tc>
          <w:tcPr>
            <w:tcW w:w="5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6"/>
                <w:szCs w:val="16"/>
                <w:color w:val="auto"/>
              </w:rPr>
              <w:t>10(iii)(f.3)</w:t>
            </w:r>
          </w:p>
        </w:tc>
        <w:tc>
          <w:tcPr>
            <w:tcW w:w="10000" w:type="dxa"/>
            <w:vAlign w:val="bottom"/>
            <w:gridSpan w:val="2"/>
          </w:tcPr>
          <w:p>
            <w:pPr>
              <w:ind w:left="220"/>
              <w:spacing w:after="0"/>
              <w:rPr>
                <w:sz w:val="20"/>
                <w:szCs w:val="20"/>
                <w:color w:val="auto"/>
              </w:rPr>
            </w:pPr>
            <w:r>
              <w:rPr>
                <w:rFonts w:ascii="Arial" w:cs="Arial" w:eastAsia="Arial" w:hAnsi="Arial"/>
                <w:sz w:val="16"/>
                <w:szCs w:val="16"/>
                <w:color w:val="auto"/>
              </w:rPr>
              <w:t>Form of restricted stock grant letter for non-employee directors.*</w:t>
            </w:r>
          </w:p>
        </w:tc>
      </w:tr>
      <w:tr>
        <w:trPr>
          <w:trHeight w:val="283"/>
        </w:trPr>
        <w:tc>
          <w:tcPr>
            <w:tcW w:w="5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6"/>
                <w:szCs w:val="16"/>
                <w:color w:val="auto"/>
              </w:rPr>
              <w:t>10(iii)(f.4)</w:t>
            </w:r>
          </w:p>
        </w:tc>
        <w:tc>
          <w:tcPr>
            <w:tcW w:w="10000" w:type="dxa"/>
            <w:vAlign w:val="bottom"/>
            <w:gridSpan w:val="2"/>
          </w:tcPr>
          <w:p>
            <w:pPr>
              <w:ind w:left="220"/>
              <w:spacing w:after="0"/>
              <w:rPr>
                <w:sz w:val="20"/>
                <w:szCs w:val="20"/>
                <w:color w:val="auto"/>
              </w:rPr>
            </w:pPr>
            <w:r>
              <w:rPr>
                <w:rFonts w:ascii="Arial" w:cs="Arial" w:eastAsia="Arial" w:hAnsi="Arial"/>
                <w:sz w:val="16"/>
                <w:szCs w:val="16"/>
                <w:color w:val="auto"/>
                <w:w w:val="99"/>
              </w:rPr>
              <w:t>Standing resolution for non-employee director cash fees dated October 26, 2011 (incorporated by reference to Exhibit 10(iii)(f.4) to the Regi</w:t>
            </w:r>
          </w:p>
        </w:tc>
      </w:tr>
      <w:tr>
        <w:trPr>
          <w:trHeight w:val="208"/>
        </w:trPr>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0" w:type="dxa"/>
            <w:vAlign w:val="bottom"/>
            <w:gridSpan w:val="2"/>
          </w:tcPr>
          <w:p>
            <w:pPr>
              <w:ind w:left="420"/>
              <w:spacing w:after="0"/>
              <w:rPr>
                <w:sz w:val="20"/>
                <w:szCs w:val="20"/>
                <w:color w:val="auto"/>
              </w:rPr>
            </w:pPr>
            <w:r>
              <w:rPr>
                <w:rFonts w:ascii="Arial" w:cs="Arial" w:eastAsia="Arial" w:hAnsi="Arial"/>
                <w:sz w:val="16"/>
                <w:szCs w:val="16"/>
                <w:color w:val="auto"/>
              </w:rPr>
              <w:t>Quarterly Report on Form 10-Q for the quarter ended September 30, 2011).*</w:t>
            </w:r>
          </w:p>
        </w:tc>
      </w:tr>
      <w:tr>
        <w:trPr>
          <w:trHeight w:val="283"/>
        </w:trPr>
        <w:tc>
          <w:tcPr>
            <w:tcW w:w="5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6"/>
                <w:szCs w:val="16"/>
                <w:color w:val="auto"/>
              </w:rPr>
              <w:t>10(iii)(g.3)</w:t>
            </w:r>
          </w:p>
        </w:tc>
        <w:tc>
          <w:tcPr>
            <w:tcW w:w="10000" w:type="dxa"/>
            <w:vAlign w:val="bottom"/>
            <w:gridSpan w:val="2"/>
          </w:tcPr>
          <w:p>
            <w:pPr>
              <w:ind w:left="220"/>
              <w:spacing w:after="0"/>
              <w:rPr>
                <w:sz w:val="20"/>
                <w:szCs w:val="20"/>
                <w:color w:val="auto"/>
              </w:rPr>
            </w:pPr>
            <w:r>
              <w:rPr>
                <w:rFonts w:ascii="Arial" w:cs="Arial" w:eastAsia="Arial" w:hAnsi="Arial"/>
                <w:sz w:val="16"/>
                <w:szCs w:val="16"/>
                <w:color w:val="auto"/>
                <w:w w:val="95"/>
              </w:rPr>
              <w:t>1984 Mobil Compensation Management Retention Plan (incorporated by reference to Exhibit 10(iii)(g.3) to the Registrant’s Annual Report on For</w:t>
            </w:r>
          </w:p>
        </w:tc>
      </w:tr>
      <w:tr>
        <w:trPr>
          <w:trHeight w:val="208"/>
        </w:trPr>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0" w:type="dxa"/>
            <w:vAlign w:val="bottom"/>
            <w:gridSpan w:val="2"/>
          </w:tcPr>
          <w:p>
            <w:pPr>
              <w:ind w:left="420"/>
              <w:spacing w:after="0"/>
              <w:rPr>
                <w:sz w:val="20"/>
                <w:szCs w:val="20"/>
                <w:color w:val="auto"/>
              </w:rPr>
            </w:pPr>
            <w:r>
              <w:rPr>
                <w:rFonts w:ascii="Arial" w:cs="Arial" w:eastAsia="Arial" w:hAnsi="Arial"/>
                <w:sz w:val="16"/>
                <w:szCs w:val="16"/>
                <w:color w:val="auto"/>
              </w:rPr>
              <w:t>for 2011).*</w:t>
            </w:r>
          </w:p>
        </w:tc>
      </w:tr>
      <w:tr>
        <w:trPr>
          <w:trHeight w:val="294"/>
        </w:trPr>
        <w:tc>
          <w:tcPr>
            <w:tcW w:w="5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6"/>
                <w:szCs w:val="16"/>
                <w:color w:val="auto"/>
              </w:rPr>
              <w:t>12</w:t>
            </w:r>
          </w:p>
        </w:tc>
        <w:tc>
          <w:tcPr>
            <w:tcW w:w="10000" w:type="dxa"/>
            <w:vAlign w:val="bottom"/>
            <w:gridSpan w:val="2"/>
          </w:tcPr>
          <w:p>
            <w:pPr>
              <w:ind w:left="220"/>
              <w:spacing w:after="0"/>
              <w:rPr>
                <w:sz w:val="20"/>
                <w:szCs w:val="20"/>
                <w:color w:val="auto"/>
              </w:rPr>
            </w:pPr>
            <w:r>
              <w:rPr>
                <w:rFonts w:ascii="Arial" w:cs="Arial" w:eastAsia="Arial" w:hAnsi="Arial"/>
                <w:sz w:val="16"/>
                <w:szCs w:val="16"/>
                <w:color w:val="auto"/>
              </w:rPr>
              <w:t>Computation of ratio of earnings to fixed charges.</w:t>
            </w:r>
          </w:p>
        </w:tc>
      </w:tr>
      <w:tr>
        <w:trPr>
          <w:trHeight w:val="294"/>
        </w:trPr>
        <w:tc>
          <w:tcPr>
            <w:tcW w:w="5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6"/>
                <w:szCs w:val="16"/>
                <w:color w:val="auto"/>
              </w:rPr>
              <w:t>14</w:t>
            </w:r>
          </w:p>
        </w:tc>
        <w:tc>
          <w:tcPr>
            <w:tcW w:w="10000" w:type="dxa"/>
            <w:vAlign w:val="bottom"/>
            <w:gridSpan w:val="2"/>
          </w:tcPr>
          <w:p>
            <w:pPr>
              <w:ind w:left="220"/>
              <w:spacing w:after="0"/>
              <w:rPr>
                <w:sz w:val="20"/>
                <w:szCs w:val="20"/>
                <w:color w:val="auto"/>
              </w:rPr>
            </w:pPr>
            <w:r>
              <w:rPr>
                <w:rFonts w:ascii="Arial" w:cs="Arial" w:eastAsia="Arial" w:hAnsi="Arial"/>
                <w:sz w:val="16"/>
                <w:szCs w:val="16"/>
                <w:color w:val="auto"/>
              </w:rPr>
              <w:t>Code of Ethics and Business Conduct (incorporated by reference to Exhibit 14 to the Registrant’s Annual Report on Form 10-K for 2013).</w:t>
            </w:r>
          </w:p>
        </w:tc>
      </w:tr>
      <w:tr>
        <w:trPr>
          <w:trHeight w:val="294"/>
        </w:trPr>
        <w:tc>
          <w:tcPr>
            <w:tcW w:w="5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6"/>
                <w:szCs w:val="16"/>
                <w:color w:val="auto"/>
              </w:rPr>
              <w:t>21</w:t>
            </w:r>
          </w:p>
        </w:tc>
        <w:tc>
          <w:tcPr>
            <w:tcW w:w="10000" w:type="dxa"/>
            <w:vAlign w:val="bottom"/>
            <w:gridSpan w:val="2"/>
          </w:tcPr>
          <w:p>
            <w:pPr>
              <w:ind w:left="220"/>
              <w:spacing w:after="0"/>
              <w:rPr>
                <w:sz w:val="20"/>
                <w:szCs w:val="20"/>
                <w:color w:val="auto"/>
              </w:rPr>
            </w:pPr>
            <w:r>
              <w:rPr>
                <w:rFonts w:ascii="Arial" w:cs="Arial" w:eastAsia="Arial" w:hAnsi="Arial"/>
                <w:sz w:val="16"/>
                <w:szCs w:val="16"/>
                <w:color w:val="auto"/>
              </w:rPr>
              <w:t>Subsidiaries of the registrant.</w:t>
            </w:r>
          </w:p>
        </w:tc>
      </w:tr>
      <w:tr>
        <w:trPr>
          <w:trHeight w:val="294"/>
        </w:trPr>
        <w:tc>
          <w:tcPr>
            <w:tcW w:w="5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6"/>
                <w:szCs w:val="16"/>
                <w:color w:val="auto"/>
              </w:rPr>
              <w:t>23</w:t>
            </w:r>
          </w:p>
        </w:tc>
        <w:tc>
          <w:tcPr>
            <w:tcW w:w="10000" w:type="dxa"/>
            <w:vAlign w:val="bottom"/>
            <w:gridSpan w:val="2"/>
          </w:tcPr>
          <w:p>
            <w:pPr>
              <w:ind w:left="220"/>
              <w:spacing w:after="0"/>
              <w:rPr>
                <w:sz w:val="20"/>
                <w:szCs w:val="20"/>
                <w:color w:val="auto"/>
              </w:rPr>
            </w:pPr>
            <w:r>
              <w:rPr>
                <w:rFonts w:ascii="Arial" w:cs="Arial" w:eastAsia="Arial" w:hAnsi="Arial"/>
                <w:sz w:val="16"/>
                <w:szCs w:val="16"/>
                <w:color w:val="auto"/>
              </w:rPr>
              <w:t>Consent of PricewaterhouseCoopers LLP, Independent Registered Public Accounting Firm.</w:t>
            </w:r>
          </w:p>
        </w:tc>
      </w:tr>
      <w:tr>
        <w:trPr>
          <w:trHeight w:val="294"/>
        </w:trPr>
        <w:tc>
          <w:tcPr>
            <w:tcW w:w="5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6"/>
                <w:szCs w:val="16"/>
                <w:color w:val="auto"/>
              </w:rPr>
              <w:t>31.1</w:t>
            </w:r>
          </w:p>
        </w:tc>
        <w:tc>
          <w:tcPr>
            <w:tcW w:w="10000" w:type="dxa"/>
            <w:vAlign w:val="bottom"/>
            <w:gridSpan w:val="2"/>
          </w:tcPr>
          <w:p>
            <w:pPr>
              <w:ind w:left="220"/>
              <w:spacing w:after="0"/>
              <w:rPr>
                <w:sz w:val="20"/>
                <w:szCs w:val="20"/>
                <w:color w:val="auto"/>
              </w:rPr>
            </w:pPr>
            <w:r>
              <w:rPr>
                <w:rFonts w:ascii="Arial" w:cs="Arial" w:eastAsia="Arial" w:hAnsi="Arial"/>
                <w:sz w:val="16"/>
                <w:szCs w:val="16"/>
                <w:color w:val="auto"/>
              </w:rPr>
              <w:t>Certification (pursuant to Securities Exchange Act Rule 13a-14(a)) by Chief Executive Officer.</w:t>
            </w:r>
          </w:p>
        </w:tc>
      </w:tr>
      <w:tr>
        <w:trPr>
          <w:trHeight w:val="294"/>
        </w:trPr>
        <w:tc>
          <w:tcPr>
            <w:tcW w:w="5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6"/>
                <w:szCs w:val="16"/>
                <w:color w:val="auto"/>
              </w:rPr>
              <w:t>31.2</w:t>
            </w:r>
          </w:p>
        </w:tc>
        <w:tc>
          <w:tcPr>
            <w:tcW w:w="10000" w:type="dxa"/>
            <w:vAlign w:val="bottom"/>
            <w:gridSpan w:val="2"/>
          </w:tcPr>
          <w:p>
            <w:pPr>
              <w:ind w:left="220"/>
              <w:spacing w:after="0"/>
              <w:rPr>
                <w:sz w:val="20"/>
                <w:szCs w:val="20"/>
                <w:color w:val="auto"/>
              </w:rPr>
            </w:pPr>
            <w:r>
              <w:rPr>
                <w:rFonts w:ascii="Arial" w:cs="Arial" w:eastAsia="Arial" w:hAnsi="Arial"/>
                <w:sz w:val="16"/>
                <w:szCs w:val="16"/>
                <w:color w:val="auto"/>
              </w:rPr>
              <w:t>Certification (pursuant to Securities Exchange Act Rule 13a-14(a)) by Principal Financial Officer.</w:t>
            </w:r>
          </w:p>
        </w:tc>
      </w:tr>
      <w:tr>
        <w:trPr>
          <w:trHeight w:val="294"/>
        </w:trPr>
        <w:tc>
          <w:tcPr>
            <w:tcW w:w="5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6"/>
                <w:szCs w:val="16"/>
                <w:color w:val="auto"/>
              </w:rPr>
              <w:t>31.3</w:t>
            </w:r>
          </w:p>
        </w:tc>
        <w:tc>
          <w:tcPr>
            <w:tcW w:w="10000" w:type="dxa"/>
            <w:vAlign w:val="bottom"/>
            <w:gridSpan w:val="2"/>
          </w:tcPr>
          <w:p>
            <w:pPr>
              <w:ind w:left="220"/>
              <w:spacing w:after="0"/>
              <w:rPr>
                <w:sz w:val="20"/>
                <w:szCs w:val="20"/>
                <w:color w:val="auto"/>
              </w:rPr>
            </w:pPr>
            <w:r>
              <w:rPr>
                <w:rFonts w:ascii="Arial" w:cs="Arial" w:eastAsia="Arial" w:hAnsi="Arial"/>
                <w:sz w:val="16"/>
                <w:szCs w:val="16"/>
                <w:color w:val="auto"/>
              </w:rPr>
              <w:t>Certification (pursuant to Securities Exchange Act Rule 13a-14(a)) by Principal Accounting Officer.</w:t>
            </w:r>
          </w:p>
        </w:tc>
      </w:tr>
      <w:tr>
        <w:trPr>
          <w:trHeight w:val="576"/>
        </w:trPr>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940" w:type="dxa"/>
            <w:vAlign w:val="bottom"/>
          </w:tcPr>
          <w:p>
            <w:pPr>
              <w:ind w:left="4640"/>
              <w:spacing w:after="0"/>
              <w:rPr>
                <w:sz w:val="20"/>
                <w:szCs w:val="20"/>
                <w:color w:val="auto"/>
              </w:rPr>
            </w:pPr>
            <w:r>
              <w:rPr>
                <w:rFonts w:ascii="Arial" w:cs="Arial" w:eastAsia="Arial" w:hAnsi="Arial"/>
                <w:sz w:val="16"/>
                <w:szCs w:val="16"/>
                <w:color w:val="auto"/>
              </w:rPr>
              <w:t>115</w:t>
            </w:r>
          </w:p>
        </w:tc>
        <w:tc>
          <w:tcPr>
            <w:tcW w:w="60" w:type="dxa"/>
            <w:vAlign w:val="bottom"/>
          </w:tcPr>
          <w:p>
            <w:pPr>
              <w:spacing w:after="0"/>
              <w:rPr>
                <w:sz w:val="24"/>
                <w:szCs w:val="24"/>
                <w:color w:val="auto"/>
              </w:rPr>
            </w:pPr>
          </w:p>
        </w:tc>
      </w:tr>
      <w:tr>
        <w:trPr>
          <w:trHeight w:val="732"/>
        </w:trPr>
        <w:tc>
          <w:tcPr>
            <w:tcW w:w="5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99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589" w:right="139" w:bottom="1440" w:gutter="0" w:footer="0" w:header="0"/>
        </w:sectPr>
      </w:pPr>
    </w:p>
    <w:bookmarkStart w:id="117" w:name="page118"/>
    <w:bookmarkEnd w:id="117"/>
    <w:tbl>
      <w:tblPr>
        <w:tblLayout w:type="fixed"/>
        <w:tblInd w:w="260" w:type="dxa"/>
        <w:tblCellMar>
          <w:top w:w="0" w:type="dxa"/>
          <w:left w:w="0" w:type="dxa"/>
          <w:bottom w:w="0" w:type="dxa"/>
          <w:right w:w="0" w:type="dxa"/>
        </w:tblCellMar>
      </w:tblPr>
      <w:tr>
        <w:trPr>
          <w:trHeight w:val="212"/>
        </w:trPr>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40" w:type="dxa"/>
            <w:vAlign w:val="bottom"/>
          </w:tcPr>
          <w:p>
            <w:pPr>
              <w:ind w:left="2120"/>
              <w:spacing w:after="0"/>
              <w:rPr>
                <w:sz w:val="20"/>
                <w:szCs w:val="20"/>
                <w:color w:val="auto"/>
              </w:rPr>
            </w:pPr>
            <w:r>
              <w:rPr>
                <w:rFonts w:ascii="Arial" w:cs="Arial" w:eastAsia="Arial" w:hAnsi="Arial"/>
                <w:sz w:val="16"/>
                <w:szCs w:val="16"/>
                <w:b w:val="1"/>
                <w:bCs w:val="1"/>
                <w:color w:val="auto"/>
              </w:rPr>
              <w:t>INDEX TO EXHIBITS – (continued)</w:t>
            </w:r>
          </w:p>
        </w:tc>
      </w:tr>
      <w:tr>
        <w:trPr>
          <w:trHeight w:val="613"/>
        </w:trPr>
        <w:tc>
          <w:tcPr>
            <w:tcW w:w="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w:t>
            </w: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w w:val="97"/>
              </w:rPr>
              <w:t>Description</w:t>
            </w:r>
          </w:p>
        </w:tc>
        <w:tc>
          <w:tcPr>
            <w:tcW w:w="8640" w:type="dxa"/>
            <w:vAlign w:val="bottom"/>
            <w:tcBorders>
              <w:bottom w:val="single" w:sz="8" w:color="auto"/>
            </w:tcBorders>
          </w:tcPr>
          <w:p>
            <w:pPr>
              <w:spacing w:after="0"/>
              <w:rPr>
                <w:sz w:val="24"/>
                <w:szCs w:val="24"/>
                <w:color w:val="auto"/>
              </w:rPr>
            </w:pPr>
          </w:p>
        </w:tc>
      </w:tr>
      <w:tr>
        <w:trPr>
          <w:trHeight w:val="384"/>
        </w:trPr>
        <w:tc>
          <w:tcPr>
            <w:tcW w:w="840" w:type="dxa"/>
            <w:vAlign w:val="bottom"/>
          </w:tcPr>
          <w:p>
            <w:pPr>
              <w:spacing w:after="0"/>
              <w:rPr>
                <w:sz w:val="20"/>
                <w:szCs w:val="20"/>
                <w:color w:val="auto"/>
              </w:rPr>
            </w:pPr>
            <w:r>
              <w:rPr>
                <w:rFonts w:ascii="Arial" w:cs="Arial" w:eastAsia="Arial" w:hAnsi="Arial"/>
                <w:sz w:val="16"/>
                <w:szCs w:val="16"/>
                <w:color w:val="auto"/>
              </w:rPr>
              <w:t>32.1</w:t>
            </w:r>
          </w:p>
        </w:tc>
        <w:tc>
          <w:tcPr>
            <w:tcW w:w="1200" w:type="dxa"/>
            <w:vAlign w:val="bottom"/>
          </w:tcPr>
          <w:p>
            <w:pPr>
              <w:ind w:left="320"/>
              <w:spacing w:after="0"/>
              <w:rPr>
                <w:sz w:val="20"/>
                <w:szCs w:val="20"/>
                <w:color w:val="auto"/>
              </w:rPr>
            </w:pPr>
            <w:r>
              <w:rPr>
                <w:rFonts w:ascii="Arial" w:cs="Arial" w:eastAsia="Arial" w:hAnsi="Arial"/>
                <w:sz w:val="16"/>
                <w:szCs w:val="16"/>
                <w:color w:val="auto"/>
                <w:w w:val="92"/>
              </w:rPr>
              <w:t>Section 1350</w:t>
            </w:r>
          </w:p>
        </w:tc>
        <w:tc>
          <w:tcPr>
            <w:tcW w:w="8640" w:type="dxa"/>
            <w:vAlign w:val="bottom"/>
          </w:tcPr>
          <w:p>
            <w:pPr>
              <w:ind w:left="20"/>
              <w:spacing w:after="0"/>
              <w:rPr>
                <w:sz w:val="20"/>
                <w:szCs w:val="20"/>
                <w:color w:val="auto"/>
              </w:rPr>
            </w:pPr>
            <w:r>
              <w:rPr>
                <w:rFonts w:ascii="Arial" w:cs="Arial" w:eastAsia="Arial" w:hAnsi="Arial"/>
                <w:sz w:val="16"/>
                <w:szCs w:val="16"/>
                <w:color w:val="auto"/>
              </w:rPr>
              <w:t>Certification (pursuant to Sarbanes-Oxley Section 906) by Chief Executive Officer.</w:t>
            </w:r>
          </w:p>
        </w:tc>
      </w:tr>
      <w:tr>
        <w:trPr>
          <w:trHeight w:val="294"/>
        </w:trPr>
        <w:tc>
          <w:tcPr>
            <w:tcW w:w="840" w:type="dxa"/>
            <w:vAlign w:val="bottom"/>
          </w:tcPr>
          <w:p>
            <w:pPr>
              <w:spacing w:after="0"/>
              <w:rPr>
                <w:sz w:val="20"/>
                <w:szCs w:val="20"/>
                <w:color w:val="auto"/>
              </w:rPr>
            </w:pPr>
            <w:r>
              <w:rPr>
                <w:rFonts w:ascii="Arial" w:cs="Arial" w:eastAsia="Arial" w:hAnsi="Arial"/>
                <w:sz w:val="16"/>
                <w:szCs w:val="16"/>
                <w:color w:val="auto"/>
              </w:rPr>
              <w:t>32.2</w:t>
            </w:r>
          </w:p>
        </w:tc>
        <w:tc>
          <w:tcPr>
            <w:tcW w:w="1200" w:type="dxa"/>
            <w:vAlign w:val="bottom"/>
          </w:tcPr>
          <w:p>
            <w:pPr>
              <w:ind w:left="320"/>
              <w:spacing w:after="0"/>
              <w:rPr>
                <w:sz w:val="20"/>
                <w:szCs w:val="20"/>
                <w:color w:val="auto"/>
              </w:rPr>
            </w:pPr>
            <w:r>
              <w:rPr>
                <w:rFonts w:ascii="Arial" w:cs="Arial" w:eastAsia="Arial" w:hAnsi="Arial"/>
                <w:sz w:val="16"/>
                <w:szCs w:val="16"/>
                <w:color w:val="auto"/>
                <w:w w:val="92"/>
              </w:rPr>
              <w:t>Section 1350</w:t>
            </w:r>
          </w:p>
        </w:tc>
        <w:tc>
          <w:tcPr>
            <w:tcW w:w="8640" w:type="dxa"/>
            <w:vAlign w:val="bottom"/>
          </w:tcPr>
          <w:p>
            <w:pPr>
              <w:ind w:left="20"/>
              <w:spacing w:after="0"/>
              <w:rPr>
                <w:sz w:val="20"/>
                <w:szCs w:val="20"/>
                <w:color w:val="auto"/>
              </w:rPr>
            </w:pPr>
            <w:r>
              <w:rPr>
                <w:rFonts w:ascii="Arial" w:cs="Arial" w:eastAsia="Arial" w:hAnsi="Arial"/>
                <w:sz w:val="16"/>
                <w:szCs w:val="16"/>
                <w:color w:val="auto"/>
              </w:rPr>
              <w:t>Certification (pursuant to Sarbanes-Oxley Section 906) by Principal Financial Officer.</w:t>
            </w:r>
          </w:p>
        </w:tc>
      </w:tr>
      <w:tr>
        <w:trPr>
          <w:trHeight w:val="294"/>
        </w:trPr>
        <w:tc>
          <w:tcPr>
            <w:tcW w:w="840" w:type="dxa"/>
            <w:vAlign w:val="bottom"/>
          </w:tcPr>
          <w:p>
            <w:pPr>
              <w:spacing w:after="0"/>
              <w:rPr>
                <w:sz w:val="20"/>
                <w:szCs w:val="20"/>
                <w:color w:val="auto"/>
              </w:rPr>
            </w:pPr>
            <w:r>
              <w:rPr>
                <w:rFonts w:ascii="Arial" w:cs="Arial" w:eastAsia="Arial" w:hAnsi="Arial"/>
                <w:sz w:val="16"/>
                <w:szCs w:val="16"/>
                <w:color w:val="auto"/>
              </w:rPr>
              <w:t>32.3</w:t>
            </w:r>
          </w:p>
        </w:tc>
        <w:tc>
          <w:tcPr>
            <w:tcW w:w="1200" w:type="dxa"/>
            <w:vAlign w:val="bottom"/>
          </w:tcPr>
          <w:p>
            <w:pPr>
              <w:ind w:left="320"/>
              <w:spacing w:after="0"/>
              <w:rPr>
                <w:sz w:val="20"/>
                <w:szCs w:val="20"/>
                <w:color w:val="auto"/>
              </w:rPr>
            </w:pPr>
            <w:r>
              <w:rPr>
                <w:rFonts w:ascii="Arial" w:cs="Arial" w:eastAsia="Arial" w:hAnsi="Arial"/>
                <w:sz w:val="16"/>
                <w:szCs w:val="16"/>
                <w:color w:val="auto"/>
                <w:w w:val="92"/>
              </w:rPr>
              <w:t>Section 1350</w:t>
            </w:r>
          </w:p>
        </w:tc>
        <w:tc>
          <w:tcPr>
            <w:tcW w:w="8640" w:type="dxa"/>
            <w:vAlign w:val="bottom"/>
          </w:tcPr>
          <w:p>
            <w:pPr>
              <w:ind w:left="20"/>
              <w:spacing w:after="0"/>
              <w:rPr>
                <w:sz w:val="20"/>
                <w:szCs w:val="20"/>
                <w:color w:val="auto"/>
              </w:rPr>
            </w:pPr>
            <w:r>
              <w:rPr>
                <w:rFonts w:ascii="Arial" w:cs="Arial" w:eastAsia="Arial" w:hAnsi="Arial"/>
                <w:sz w:val="16"/>
                <w:szCs w:val="16"/>
                <w:color w:val="auto"/>
              </w:rPr>
              <w:t>Certification (pursuant to Sarbanes-Oxley Section 906) by Principal Accounting Officer.</w:t>
            </w:r>
          </w:p>
        </w:tc>
      </w:tr>
    </w:tbl>
    <w:p>
      <w:pPr>
        <w:spacing w:after="0" w:line="87" w:lineRule="exact"/>
        <w:rPr>
          <w:sz w:val="20"/>
          <w:szCs w:val="20"/>
          <w:color w:val="auto"/>
        </w:rPr>
      </w:pPr>
    </w:p>
    <w:p>
      <w:pPr>
        <w:ind w:left="1420" w:hanging="1157"/>
        <w:spacing w:after="0"/>
        <w:tabs>
          <w:tab w:leader="none" w:pos="14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Interactive data files.</w:t>
      </w:r>
    </w:p>
    <w:p>
      <w:pPr>
        <w:spacing w:after="0" w:line="19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Compensatory plan or arrangement required to be identified pursuant to Item 15(a)(3) of this Annual Report on Form 10-K.</w:t>
      </w:r>
    </w:p>
    <w:p>
      <w:pPr>
        <w:spacing w:after="0" w:line="159"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5"/>
          <w:szCs w:val="15"/>
          <w:color w:val="auto"/>
        </w:rPr>
        <w:t>The registrant has not filed with this report copies of the instruments defining the rights of holders of long-term debt of the registrant and its subsidiaries 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-326390</wp:posOffset>
            </wp:positionV>
            <wp:extent cx="217868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78685" cy="7620"/>
                    </a:xfrm>
                    <a:prstGeom prst="rect">
                      <a:avLst/>
                    </a:prstGeom>
                    <a:noFill/>
                  </pic:spPr>
                </pic:pic>
              </a:graphicData>
            </a:graphic>
          </wp:anchor>
        </w:drawing>
      </w:r>
    </w:p>
    <w:p>
      <w:pPr>
        <w:spacing w:after="0" w:line="1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consolidated or unconsolidated financial statements are required to be filed. The registrant agrees to furnish a copy of any such instrument to the Securities and Ex Commission upon request.</w:t>
      </w:r>
    </w:p>
    <w:p>
      <w:pPr>
        <w:jc w:val="center"/>
        <w:ind w:left="1140"/>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480060</wp:posOffset>
            </wp:positionV>
            <wp:extent cx="7279640" cy="20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589" w:right="1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6"/>
          <w:szCs w:val="16"/>
          <w:b w:val="1"/>
          <w:bCs w:val="1"/>
          <w:color w:val="auto"/>
        </w:rPr>
        <w:t>EXHIBIT 10(</w:t>
      </w:r>
    </w:p>
    <w:p>
      <w:pPr>
        <w:spacing w:after="0" w:line="261"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November 2</w:t>
      </w:r>
    </w:p>
    <w:p>
      <w:pPr>
        <w:spacing w:after="0" w:line="290" w:lineRule="exact"/>
        <w:rPr>
          <w:sz w:val="20"/>
          <w:szCs w:val="20"/>
          <w:color w:val="auto"/>
        </w:rPr>
      </w:pPr>
    </w:p>
    <w:p>
      <w:pPr>
        <w:jc w:val="center"/>
        <w:ind w:left="1180"/>
        <w:spacing w:after="0"/>
        <w:rPr>
          <w:sz w:val="20"/>
          <w:szCs w:val="20"/>
          <w:color w:val="auto"/>
        </w:rPr>
      </w:pPr>
      <w:r>
        <w:rPr>
          <w:rFonts w:ascii="Arial" w:cs="Arial" w:eastAsia="Arial" w:hAnsi="Arial"/>
          <w:sz w:val="16"/>
          <w:szCs w:val="16"/>
          <w:b w:val="1"/>
          <w:bCs w:val="1"/>
          <w:color w:val="auto"/>
        </w:rPr>
        <w:t>Exxon Mobil Corporation</w:t>
      </w:r>
    </w:p>
    <w:p>
      <w:pPr>
        <w:spacing w:after="0" w:line="61" w:lineRule="exact"/>
        <w:rPr>
          <w:sz w:val="20"/>
          <w:szCs w:val="20"/>
          <w:color w:val="auto"/>
        </w:rPr>
      </w:pPr>
    </w:p>
    <w:p>
      <w:pPr>
        <w:jc w:val="center"/>
        <w:ind w:left="1180"/>
        <w:spacing w:after="0"/>
        <w:rPr>
          <w:sz w:val="20"/>
          <w:szCs w:val="20"/>
          <w:color w:val="auto"/>
        </w:rPr>
      </w:pPr>
      <w:r>
        <w:rPr>
          <w:rFonts w:ascii="Arial" w:cs="Arial" w:eastAsia="Arial" w:hAnsi="Arial"/>
          <w:sz w:val="16"/>
          <w:szCs w:val="16"/>
          <w:b w:val="1"/>
          <w:bCs w:val="1"/>
          <w:color w:val="auto"/>
        </w:rPr>
        <w:t>Extended Provisions for Restricted Stock Unit Agreements - Settlement in Shares</w:t>
      </w:r>
    </w:p>
    <w:p>
      <w:pPr>
        <w:spacing w:after="0" w:line="184" w:lineRule="exact"/>
        <w:rPr>
          <w:sz w:val="20"/>
          <w:szCs w:val="20"/>
          <w:color w:val="auto"/>
        </w:rPr>
      </w:pPr>
    </w:p>
    <w:p>
      <w:pPr>
        <w:jc w:val="both"/>
        <w:ind w:left="300" w:hanging="300"/>
        <w:spacing w:after="0" w:line="251" w:lineRule="auto"/>
        <w:tabs>
          <w:tab w:leader="none" w:pos="357" w:val="left"/>
        </w:tabs>
        <w:numPr>
          <w:ilvl w:val="0"/>
          <w:numId w:val="46"/>
        </w:numPr>
        <w:rPr>
          <w:rFonts w:ascii="Arial" w:cs="Arial" w:eastAsia="Arial" w:hAnsi="Arial"/>
          <w:sz w:val="16"/>
          <w:szCs w:val="16"/>
          <w:color w:val="auto"/>
        </w:rPr>
      </w:pPr>
      <w:r>
        <w:rPr>
          <w:rFonts w:ascii="Arial" w:cs="Arial" w:eastAsia="Arial" w:hAnsi="Arial"/>
          <w:sz w:val="16"/>
          <w:szCs w:val="16"/>
          <w:b w:val="1"/>
          <w:bCs w:val="1"/>
          <w:u w:val="single" w:color="auto"/>
          <w:color w:val="auto"/>
        </w:rPr>
        <w:t>Effective Date and Credit of Restricted Stock Units</w:t>
      </w:r>
      <w:r>
        <w:rPr>
          <w:rFonts w:ascii="Arial" w:cs="Arial" w:eastAsia="Arial" w:hAnsi="Arial"/>
          <w:sz w:val="16"/>
          <w:szCs w:val="16"/>
          <w:b w:val="1"/>
          <w:bCs w:val="1"/>
          <w:color w:val="auto"/>
        </w:rPr>
        <w:t xml:space="preserve">. </w:t>
      </w:r>
      <w:r>
        <w:rPr>
          <w:rFonts w:ascii="Arial" w:cs="Arial" w:eastAsia="Arial" w:hAnsi="Arial"/>
          <w:sz w:val="16"/>
          <w:szCs w:val="16"/>
          <w:color w:val="auto"/>
        </w:rPr>
        <w:t>If Grantee accepts the award on or before March 6, 2015, this Agreement will become effective the d</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receives the award acceptance. After this agreement becomes effective, the Corporation will credit to Grantee the number of restricted stock un specified in the award package. Subject to the terms and conditions of this Agreement, each restricted stock unit ("unit") will entitle Grantee to receive in set of the unit one share of the Corporation's common stock.</w:t>
      </w:r>
    </w:p>
    <w:p>
      <w:pPr>
        <w:spacing w:after="0" w:line="324" w:lineRule="exact"/>
        <w:rPr>
          <w:rFonts w:ascii="Arial" w:cs="Arial" w:eastAsia="Arial" w:hAnsi="Arial"/>
          <w:sz w:val="16"/>
          <w:szCs w:val="16"/>
          <w:color w:val="auto"/>
        </w:rPr>
      </w:pPr>
    </w:p>
    <w:p>
      <w:pPr>
        <w:jc w:val="both"/>
        <w:ind w:left="300" w:hanging="300"/>
        <w:spacing w:after="0" w:line="255" w:lineRule="auto"/>
        <w:tabs>
          <w:tab w:leader="none" w:pos="357" w:val="left"/>
        </w:tabs>
        <w:numPr>
          <w:ilvl w:val="0"/>
          <w:numId w:val="46"/>
        </w:numPr>
        <w:rPr>
          <w:rFonts w:ascii="Arial" w:cs="Arial" w:eastAsia="Arial" w:hAnsi="Arial"/>
          <w:sz w:val="16"/>
          <w:szCs w:val="16"/>
          <w:color w:val="auto"/>
        </w:rPr>
      </w:pPr>
      <w:r>
        <w:rPr>
          <w:rFonts w:ascii="Arial" w:cs="Arial" w:eastAsia="Arial" w:hAnsi="Arial"/>
          <w:sz w:val="16"/>
          <w:szCs w:val="16"/>
          <w:b w:val="1"/>
          <w:bCs w:val="1"/>
          <w:u w:val="single" w:color="auto"/>
          <w:color w:val="auto"/>
        </w:rPr>
        <w:t>Conditions</w:t>
      </w:r>
      <w:r>
        <w:rPr>
          <w:rFonts w:ascii="Arial" w:cs="Arial" w:eastAsia="Arial" w:hAnsi="Arial"/>
          <w:sz w:val="16"/>
          <w:szCs w:val="16"/>
          <w:b w:val="1"/>
          <w:bCs w:val="1"/>
          <w:color w:val="auto"/>
        </w:rPr>
        <w:t xml:space="preserve">. </w:t>
      </w:r>
      <w:r>
        <w:rPr>
          <w:rFonts w:ascii="Arial" w:cs="Arial" w:eastAsia="Arial" w:hAnsi="Arial"/>
          <w:sz w:val="16"/>
          <w:szCs w:val="16"/>
          <w:color w:val="auto"/>
        </w:rPr>
        <w:t>If credited, the units will be subject to the provisions of this Agreement, and to such regulations and requirements as the administrative authori</w:t>
      </w:r>
      <w:r>
        <w:rPr>
          <w:rFonts w:ascii="Arial" w:cs="Arial" w:eastAsia="Arial" w:hAnsi="Arial"/>
          <w:sz w:val="16"/>
          <w:szCs w:val="16"/>
          <w:b w:val="1"/>
          <w:bCs w:val="1"/>
          <w:color w:val="auto"/>
        </w:rPr>
        <w:t xml:space="preserve"> </w:t>
      </w:r>
      <w:r>
        <w:rPr>
          <w:rFonts w:ascii="Arial" w:cs="Arial" w:eastAsia="Arial" w:hAnsi="Arial"/>
          <w:sz w:val="16"/>
          <w:szCs w:val="16"/>
          <w:color w:val="auto"/>
        </w:rPr>
        <w:t>the Program may establish from time to time. The units will be credited to Grantee only on the condition that Grantee accepts such provisions, regulations, an requirements.</w:t>
      </w:r>
    </w:p>
    <w:p>
      <w:pPr>
        <w:spacing w:after="0" w:line="340" w:lineRule="exact"/>
        <w:rPr>
          <w:rFonts w:ascii="Arial" w:cs="Arial" w:eastAsia="Arial" w:hAnsi="Arial"/>
          <w:sz w:val="16"/>
          <w:szCs w:val="16"/>
          <w:color w:val="auto"/>
        </w:rPr>
      </w:pPr>
    </w:p>
    <w:p>
      <w:pPr>
        <w:ind w:left="360" w:hanging="360"/>
        <w:spacing w:after="0"/>
        <w:tabs>
          <w:tab w:leader="none" w:pos="360" w:val="left"/>
        </w:tabs>
        <w:numPr>
          <w:ilvl w:val="0"/>
          <w:numId w:val="46"/>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Restrictions and Risk of Forfeiture</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applicable restricted periods specified in section 4 of this Agreement,</w:t>
      </w:r>
    </w:p>
    <w:p>
      <w:pPr>
        <w:spacing w:after="0" w:line="187" w:lineRule="exact"/>
        <w:rPr>
          <w:rFonts w:ascii="Arial" w:cs="Arial" w:eastAsia="Arial" w:hAnsi="Arial"/>
          <w:sz w:val="16"/>
          <w:szCs w:val="16"/>
          <w:color w:val="auto"/>
        </w:rPr>
      </w:pPr>
    </w:p>
    <w:p>
      <w:pPr>
        <w:ind w:left="880" w:hanging="292"/>
        <w:spacing w:after="0" w:line="239" w:lineRule="auto"/>
        <w:tabs>
          <w:tab w:leader="none" w:pos="913"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units under restriction may not be sold, assigned, transferred, pledged, or otherwise disposed of or encumbered, and any attempt to do so will be n and void; and</w:t>
      </w:r>
    </w:p>
    <w:p>
      <w:pPr>
        <w:ind w:left="960" w:hanging="372"/>
        <w:spacing w:after="0"/>
        <w:tabs>
          <w:tab w:leader="none" w:pos="9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units under restriction may be forfeited as provided in section 6.</w:t>
      </w:r>
    </w:p>
    <w:p>
      <w:pPr>
        <w:spacing w:after="0" w:line="159" w:lineRule="exact"/>
        <w:rPr>
          <w:rFonts w:ascii="Arial" w:cs="Arial" w:eastAsia="Arial" w:hAnsi="Arial"/>
          <w:sz w:val="16"/>
          <w:szCs w:val="16"/>
          <w:color w:val="auto"/>
        </w:rPr>
      </w:pPr>
    </w:p>
    <w:p>
      <w:pPr>
        <w:ind w:left="300" w:hanging="300"/>
        <w:spacing w:after="0" w:line="286" w:lineRule="auto"/>
        <w:tabs>
          <w:tab w:leader="none" w:pos="357" w:val="left"/>
        </w:tabs>
        <w:numPr>
          <w:ilvl w:val="0"/>
          <w:numId w:val="46"/>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Restricted Periods</w:t>
      </w:r>
      <w:r>
        <w:rPr>
          <w:rFonts w:ascii="Arial" w:cs="Arial" w:eastAsia="Arial" w:hAnsi="Arial"/>
          <w:sz w:val="16"/>
          <w:szCs w:val="16"/>
          <w:b w:val="1"/>
          <w:bCs w:val="1"/>
          <w:color w:val="auto"/>
        </w:rPr>
        <w:t xml:space="preserve">. </w:t>
      </w:r>
      <w:r>
        <w:rPr>
          <w:rFonts w:ascii="Arial" w:cs="Arial" w:eastAsia="Arial" w:hAnsi="Arial"/>
          <w:sz w:val="16"/>
          <w:szCs w:val="16"/>
          <w:color w:val="auto"/>
        </w:rPr>
        <w:t>The restricted periods will commence when the units are credited to Grantee and, unless the units have been forfeited earlier under sec</w:t>
      </w:r>
      <w:r>
        <w:rPr>
          <w:rFonts w:ascii="Arial" w:cs="Arial" w:eastAsia="Arial" w:hAnsi="Arial"/>
          <w:sz w:val="16"/>
          <w:szCs w:val="16"/>
          <w:b w:val="1"/>
          <w:bCs w:val="1"/>
          <w:color w:val="auto"/>
        </w:rPr>
        <w:t xml:space="preserve"> </w:t>
      </w:r>
      <w:r>
        <w:rPr>
          <w:rFonts w:ascii="Arial" w:cs="Arial" w:eastAsia="Arial" w:hAnsi="Arial"/>
          <w:sz w:val="16"/>
          <w:szCs w:val="16"/>
          <w:color w:val="auto"/>
        </w:rPr>
        <w:t>will expire as follows, whether or not Grantee is still an employee:</w:t>
      </w:r>
    </w:p>
    <w:p>
      <w:pPr>
        <w:spacing w:after="0" w:line="174" w:lineRule="exact"/>
        <w:rPr>
          <w:rFonts w:ascii="Arial" w:cs="Arial" w:eastAsia="Arial" w:hAnsi="Arial"/>
          <w:sz w:val="16"/>
          <w:szCs w:val="16"/>
          <w:color w:val="auto"/>
        </w:rPr>
      </w:pPr>
    </w:p>
    <w:p>
      <w:pPr>
        <w:ind w:left="920" w:hanging="332"/>
        <w:spacing w:after="0"/>
        <w:tabs>
          <w:tab w:leader="none" w:pos="9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with respect to 50% of the units, on November 25, 2019; and</w:t>
      </w:r>
    </w:p>
    <w:p>
      <w:pPr>
        <w:spacing w:after="0" w:line="23" w:lineRule="exact"/>
        <w:rPr>
          <w:rFonts w:ascii="Arial" w:cs="Arial" w:eastAsia="Arial" w:hAnsi="Arial"/>
          <w:sz w:val="16"/>
          <w:szCs w:val="16"/>
          <w:color w:val="auto"/>
        </w:rPr>
      </w:pPr>
    </w:p>
    <w:p>
      <w:pPr>
        <w:ind w:left="920" w:hanging="332"/>
        <w:spacing w:after="0"/>
        <w:tabs>
          <w:tab w:leader="none" w:pos="9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with respect to the remaining units, on the later to occur of</w:t>
      </w:r>
    </w:p>
    <w:p>
      <w:pPr>
        <w:spacing w:after="0" w:line="12" w:lineRule="exact"/>
        <w:rPr>
          <w:rFonts w:ascii="Arial" w:cs="Arial" w:eastAsia="Arial" w:hAnsi="Arial"/>
          <w:sz w:val="16"/>
          <w:szCs w:val="16"/>
          <w:color w:val="auto"/>
        </w:rPr>
      </w:pPr>
    </w:p>
    <w:p>
      <w:pPr>
        <w:ind w:left="1120" w:hanging="238"/>
        <w:spacing w:after="0"/>
        <w:tabs>
          <w:tab w:leader="none" w:pos="1120" w:val="left"/>
        </w:tabs>
        <w:numPr>
          <w:ilvl w:val="2"/>
          <w:numId w:val="46"/>
        </w:numPr>
        <w:rPr>
          <w:rFonts w:ascii="Arial" w:cs="Arial" w:eastAsia="Arial" w:hAnsi="Arial"/>
          <w:sz w:val="16"/>
          <w:szCs w:val="16"/>
          <w:color w:val="auto"/>
        </w:rPr>
      </w:pPr>
      <w:r>
        <w:rPr>
          <w:rFonts w:ascii="Arial" w:cs="Arial" w:eastAsia="Arial" w:hAnsi="Arial"/>
          <w:sz w:val="16"/>
          <w:szCs w:val="16"/>
          <w:color w:val="auto"/>
        </w:rPr>
        <w:t>November 25, 2024, or</w:t>
      </w:r>
    </w:p>
    <w:p>
      <w:pPr>
        <w:spacing w:after="0" w:line="24" w:lineRule="exact"/>
        <w:rPr>
          <w:sz w:val="20"/>
          <w:szCs w:val="20"/>
          <w:color w:val="auto"/>
        </w:rPr>
      </w:pPr>
    </w:p>
    <w:p>
      <w:pPr>
        <w:ind w:left="1160" w:hanging="294"/>
        <w:spacing w:after="0"/>
        <w:tabs>
          <w:tab w:leader="none" w:pos="1160" w:val="left"/>
        </w:tabs>
        <w:numPr>
          <w:ilvl w:val="3"/>
          <w:numId w:val="47"/>
        </w:numPr>
        <w:rPr>
          <w:rFonts w:ascii="Arial" w:cs="Arial" w:eastAsia="Arial" w:hAnsi="Arial"/>
          <w:sz w:val="16"/>
          <w:szCs w:val="16"/>
          <w:color w:val="auto"/>
        </w:rPr>
      </w:pPr>
      <w:r>
        <w:rPr>
          <w:rFonts w:ascii="Arial" w:cs="Arial" w:eastAsia="Arial" w:hAnsi="Arial"/>
          <w:sz w:val="16"/>
          <w:szCs w:val="16"/>
          <w:color w:val="auto"/>
        </w:rPr>
        <w:t>the first day of the calendar year immediately following the year in which Grantee terminates; except that</w:t>
      </w:r>
    </w:p>
    <w:p>
      <w:pPr>
        <w:spacing w:after="0" w:line="24" w:lineRule="exact"/>
        <w:rPr>
          <w:rFonts w:ascii="Arial" w:cs="Arial" w:eastAsia="Arial" w:hAnsi="Arial"/>
          <w:sz w:val="16"/>
          <w:szCs w:val="16"/>
          <w:color w:val="auto"/>
        </w:rPr>
      </w:pPr>
    </w:p>
    <w:p>
      <w:pPr>
        <w:ind w:left="880" w:hanging="218"/>
        <w:spacing w:after="0"/>
        <w:tabs>
          <w:tab w:leader="none" w:pos="880" w:val="left"/>
        </w:tabs>
        <w:numPr>
          <w:ilvl w:val="2"/>
          <w:numId w:val="48"/>
        </w:numPr>
        <w:rPr>
          <w:rFonts w:ascii="Arial" w:cs="Arial" w:eastAsia="Arial" w:hAnsi="Arial"/>
          <w:sz w:val="16"/>
          <w:szCs w:val="16"/>
          <w:color w:val="auto"/>
        </w:rPr>
      </w:pPr>
      <w:r>
        <w:rPr>
          <w:rFonts w:ascii="Arial" w:cs="Arial" w:eastAsia="Arial" w:hAnsi="Arial"/>
          <w:sz w:val="16"/>
          <w:szCs w:val="16"/>
          <w:color w:val="auto"/>
        </w:rPr>
        <w:t>the restricted periods will automatically expire with respect to all shares on the death of Grantee.</w:t>
      </w:r>
    </w:p>
    <w:p>
      <w:pPr>
        <w:spacing w:after="0" w:line="244" w:lineRule="exact"/>
        <w:rPr>
          <w:rFonts w:ascii="Arial" w:cs="Arial" w:eastAsia="Arial" w:hAnsi="Arial"/>
          <w:sz w:val="16"/>
          <w:szCs w:val="16"/>
          <w:color w:val="auto"/>
        </w:rPr>
      </w:pPr>
    </w:p>
    <w:p>
      <w:pPr>
        <w:jc w:val="both"/>
        <w:ind w:left="300" w:hanging="300"/>
        <w:spacing w:after="0" w:line="303" w:lineRule="auto"/>
        <w:tabs>
          <w:tab w:leader="none" w:pos="357" w:val="left"/>
        </w:tabs>
        <w:numPr>
          <w:ilvl w:val="0"/>
          <w:numId w:val="49"/>
        </w:numPr>
        <w:rPr>
          <w:rFonts w:ascii="Arial" w:cs="Arial" w:eastAsia="Arial" w:hAnsi="Arial"/>
          <w:sz w:val="16"/>
          <w:szCs w:val="16"/>
          <w:color w:val="auto"/>
        </w:rPr>
      </w:pPr>
      <w:r>
        <w:rPr>
          <w:rFonts w:ascii="Arial" w:cs="Arial" w:eastAsia="Arial" w:hAnsi="Arial"/>
          <w:sz w:val="16"/>
          <w:szCs w:val="16"/>
          <w:b w:val="1"/>
          <w:bCs w:val="1"/>
          <w:u w:val="single" w:color="auto"/>
          <w:color w:val="auto"/>
        </w:rPr>
        <w:t>No Obligation to Credit Units</w:t>
      </w:r>
      <w:r>
        <w:rPr>
          <w:rFonts w:ascii="Arial" w:cs="Arial" w:eastAsia="Arial" w:hAnsi="Arial"/>
          <w:sz w:val="16"/>
          <w:szCs w:val="16"/>
          <w:b w:val="1"/>
          <w:bCs w:val="1"/>
          <w:color w:val="auto"/>
        </w:rPr>
        <w:t xml:space="preserve"> . </w:t>
      </w:r>
      <w:r>
        <w:rPr>
          <w:rFonts w:ascii="Arial" w:cs="Arial" w:eastAsia="Arial" w:hAnsi="Arial"/>
          <w:sz w:val="16"/>
          <w:szCs w:val="16"/>
          <w:color w:val="auto"/>
        </w:rPr>
        <w:t>The Corporation will have no obligation to credit any units and will have no other obligation to Grantee with respect to th</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matter of this Agreement if Grantee fails to accept the award on or before March 6, 2015. In addition, whether or not Grantee has accepted the awar Corporation will have no obligation to credit any units and will have no other obligation to Grantee with respect to the subject matter of this Agreement if, be the units are credited:</w:t>
      </w:r>
    </w:p>
    <w:p>
      <w:pPr>
        <w:spacing w:after="0" w:line="234" w:lineRule="exact"/>
        <w:rPr>
          <w:rFonts w:ascii="Arial" w:cs="Arial" w:eastAsia="Arial" w:hAnsi="Arial"/>
          <w:sz w:val="16"/>
          <w:szCs w:val="16"/>
          <w:color w:val="auto"/>
        </w:rPr>
      </w:pPr>
    </w:p>
    <w:p>
      <w:pPr>
        <w:ind w:left="880" w:right="100" w:hanging="292"/>
        <w:spacing w:after="0" w:line="311" w:lineRule="auto"/>
        <w:tabs>
          <w:tab w:leader="none" w:pos="913" w:val="left"/>
        </w:tabs>
        <w:numPr>
          <w:ilvl w:val="1"/>
          <w:numId w:val="49"/>
        </w:numPr>
        <w:rPr>
          <w:rFonts w:ascii="Arial" w:cs="Arial" w:eastAsia="Arial" w:hAnsi="Arial"/>
          <w:sz w:val="16"/>
          <w:szCs w:val="16"/>
          <w:color w:val="auto"/>
        </w:rPr>
      </w:pPr>
      <w:r>
        <w:rPr>
          <w:rFonts w:ascii="Arial" w:cs="Arial" w:eastAsia="Arial" w:hAnsi="Arial"/>
          <w:sz w:val="16"/>
          <w:szCs w:val="16"/>
          <w:color w:val="auto"/>
        </w:rPr>
        <w:t>Grantee terminates (other than by death) before standard retirement time within the meaning of the Program, except to the extent the administrative authority of the Program determines Grantee may receive units under this Agreement; or</w:t>
      </w:r>
    </w:p>
    <w:p>
      <w:pPr>
        <w:spacing w:after="0" w:line="1" w:lineRule="exact"/>
        <w:rPr>
          <w:rFonts w:ascii="Arial" w:cs="Arial" w:eastAsia="Arial" w:hAnsi="Arial"/>
          <w:sz w:val="16"/>
          <w:szCs w:val="16"/>
          <w:color w:val="auto"/>
        </w:rPr>
      </w:pPr>
    </w:p>
    <w:p>
      <w:pPr>
        <w:ind w:left="920" w:hanging="332"/>
        <w:spacing w:after="0"/>
        <w:tabs>
          <w:tab w:leader="none" w:pos="9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Grantee is determined to have engaged in detrimental activity within the meaning of the Program; or</w:t>
      </w:r>
    </w:p>
    <w:p>
      <w:pPr>
        <w:spacing w:after="0" w:line="73" w:lineRule="exact"/>
        <w:rPr>
          <w:rFonts w:ascii="Arial" w:cs="Arial" w:eastAsia="Arial" w:hAnsi="Arial"/>
          <w:sz w:val="16"/>
          <w:szCs w:val="16"/>
          <w:color w:val="auto"/>
        </w:rPr>
      </w:pPr>
    </w:p>
    <w:p>
      <w:pPr>
        <w:ind w:left="920" w:hanging="332"/>
        <w:spacing w:after="0"/>
        <w:tabs>
          <w:tab w:leader="none" w:pos="920" w:val="left"/>
        </w:tabs>
        <w:numPr>
          <w:ilvl w:val="1"/>
          <w:numId w:val="49"/>
        </w:numPr>
        <w:rPr>
          <w:rFonts w:ascii="Arial" w:cs="Arial" w:eastAsia="Arial" w:hAnsi="Arial"/>
          <w:sz w:val="14"/>
          <w:szCs w:val="14"/>
          <w:color w:val="auto"/>
        </w:rPr>
      </w:pPr>
      <w:r>
        <w:rPr>
          <w:rFonts w:ascii="Arial" w:cs="Arial" w:eastAsia="Arial" w:hAnsi="Arial"/>
          <w:sz w:val="14"/>
          <w:szCs w:val="14"/>
          <w:color w:val="auto"/>
        </w:rPr>
        <w:t>Grantee fails to provide the Corporation with cash for any required taxes due upon crediting the units, if Grantee is required to do so under section 7.</w:t>
      </w:r>
    </w:p>
    <w:p>
      <w:pPr>
        <w:spacing w:after="0" w:line="200" w:lineRule="exact"/>
        <w:rPr>
          <w:sz w:val="20"/>
          <w:szCs w:val="20"/>
          <w:color w:val="auto"/>
        </w:rPr>
      </w:pPr>
    </w:p>
    <w:p>
      <w:pPr>
        <w:spacing w:after="0" w:line="203" w:lineRule="exact"/>
        <w:rPr>
          <w:sz w:val="20"/>
          <w:szCs w:val="20"/>
          <w:color w:val="auto"/>
        </w:rPr>
      </w:pPr>
    </w:p>
    <w:p>
      <w:pPr>
        <w:jc w:val="center"/>
        <w:ind w:left="118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542290</wp:posOffset>
            </wp:positionV>
            <wp:extent cx="7279640" cy="203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640"/>
          </w:cols>
          <w:pgMar w:left="1120" w:top="968" w:right="139" w:bottom="1440" w:gutter="0" w:footer="0" w:header="0"/>
        </w:sectPr>
      </w:pPr>
    </w:p>
    <w:bookmarkStart w:id="119" w:name="page120"/>
    <w:bookmarkEnd w:id="119"/>
    <w:p>
      <w:pPr>
        <w:ind w:left="300" w:hanging="300"/>
        <w:spacing w:after="0" w:line="334" w:lineRule="auto"/>
        <w:tabs>
          <w:tab w:leader="none" w:pos="357" w:val="left"/>
        </w:tabs>
        <w:numPr>
          <w:ilvl w:val="0"/>
          <w:numId w:val="50"/>
        </w:numPr>
        <w:rPr>
          <w:rFonts w:ascii="Arial" w:cs="Arial" w:eastAsia="Arial" w:hAnsi="Arial"/>
          <w:sz w:val="16"/>
          <w:szCs w:val="16"/>
          <w:color w:val="auto"/>
        </w:rPr>
      </w:pPr>
      <w:r>
        <w:rPr>
          <w:rFonts w:ascii="Arial" w:cs="Arial" w:eastAsia="Arial" w:hAnsi="Arial"/>
          <w:sz w:val="16"/>
          <w:szCs w:val="16"/>
          <w:b w:val="1"/>
          <w:bCs w:val="1"/>
          <w:u w:val="single" w:color="auto"/>
          <w:color w:val="auto"/>
        </w:rPr>
        <w:t>Forfeiture of Units After Crediting</w:t>
      </w:r>
      <w:r>
        <w:rPr>
          <w:rFonts w:ascii="Arial" w:cs="Arial" w:eastAsia="Arial" w:hAnsi="Arial"/>
          <w:sz w:val="16"/>
          <w:szCs w:val="16"/>
          <w:b w:val="1"/>
          <w:bCs w:val="1"/>
          <w:color w:val="auto"/>
        </w:rPr>
        <w:t xml:space="preserve"> . </w:t>
      </w:r>
      <w:r>
        <w:rPr>
          <w:rFonts w:ascii="Arial" w:cs="Arial" w:eastAsia="Arial" w:hAnsi="Arial"/>
          <w:sz w:val="16"/>
          <w:szCs w:val="16"/>
          <w:color w:val="auto"/>
        </w:rPr>
        <w:t>Until the applicable restricted period specified in section 4 has expired, the units under restriction will be forfeited o</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forfeiture in the following circumstances:</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Termination</w:t>
      </w:r>
    </w:p>
    <w:p>
      <w:pPr>
        <w:spacing w:after="0" w:line="61" w:lineRule="exact"/>
        <w:rPr>
          <w:sz w:val="20"/>
          <w:szCs w:val="20"/>
          <w:color w:val="auto"/>
        </w:rPr>
      </w:pPr>
    </w:p>
    <w:p>
      <w:pPr>
        <w:jc w:val="both"/>
        <w:ind w:left="300"/>
        <w:spacing w:after="0" w:line="303" w:lineRule="auto"/>
        <w:rPr>
          <w:sz w:val="20"/>
          <w:szCs w:val="20"/>
          <w:color w:val="auto"/>
        </w:rPr>
      </w:pPr>
      <w:r>
        <w:rPr>
          <w:rFonts w:ascii="Arial" w:cs="Arial" w:eastAsia="Arial" w:hAnsi="Arial"/>
          <w:sz w:val="16"/>
          <w:szCs w:val="16"/>
          <w:color w:val="auto"/>
        </w:rPr>
        <w:t>If Grantee terminates (other than by death) before standard retirement time within the meaning of the Program, all units for which the applicable restricted per have not expired will be automatically forfeited as of the date of termination, except to the extent the administrative authority determines Grantee may retain u issued under this Agreement.</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Detrimental activity</w:t>
      </w:r>
    </w:p>
    <w:p>
      <w:pPr>
        <w:spacing w:after="0" w:line="61" w:lineRule="exact"/>
        <w:rPr>
          <w:sz w:val="20"/>
          <w:szCs w:val="20"/>
          <w:color w:val="auto"/>
        </w:rPr>
      </w:pPr>
    </w:p>
    <w:p>
      <w:pPr>
        <w:ind w:left="300" w:right="120"/>
        <w:spacing w:after="0" w:line="318" w:lineRule="auto"/>
        <w:rPr>
          <w:sz w:val="20"/>
          <w:szCs w:val="20"/>
          <w:color w:val="auto"/>
        </w:rPr>
      </w:pPr>
      <w:r>
        <w:rPr>
          <w:rFonts w:ascii="Arial" w:cs="Arial" w:eastAsia="Arial" w:hAnsi="Arial"/>
          <w:sz w:val="16"/>
          <w:szCs w:val="16"/>
          <w:color w:val="auto"/>
        </w:rPr>
        <w:t>If Grantee is determined to have engaged in detrimental activity within the meaning of the Program, either before or after termination, all units for which the applicable restricted periods have not expired will be automatically forfeited as of the date of such determination.</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Attempted transfer</w:t>
      </w:r>
    </w:p>
    <w:p>
      <w:pPr>
        <w:spacing w:after="0" w:line="61" w:lineRule="exact"/>
        <w:rPr>
          <w:sz w:val="20"/>
          <w:szCs w:val="20"/>
          <w:color w:val="auto"/>
        </w:rPr>
      </w:pPr>
    </w:p>
    <w:p>
      <w:pPr>
        <w:ind w:left="300" w:right="40"/>
        <w:spacing w:after="0" w:line="318" w:lineRule="auto"/>
        <w:rPr>
          <w:sz w:val="20"/>
          <w:szCs w:val="20"/>
          <w:color w:val="auto"/>
        </w:rPr>
      </w:pPr>
      <w:r>
        <w:rPr>
          <w:rFonts w:ascii="Arial" w:cs="Arial" w:eastAsia="Arial" w:hAnsi="Arial"/>
          <w:sz w:val="16"/>
          <w:szCs w:val="16"/>
          <w:color w:val="auto"/>
        </w:rPr>
        <w:t>The units are subject to forfeiture in the discretion of the administrative authority if Grantee attempts to sell, assign, transfer, pledge, or otherwise dispose of encumber them during the applicable restricted periods.</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Applicable law</w:t>
      </w:r>
    </w:p>
    <w:p>
      <w:pPr>
        <w:spacing w:after="0" w:line="6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units are subject to forfeiture in whole or in part as the administrative authority deems necessary in order to comply with applicable law.</w:t>
      </w:r>
    </w:p>
    <w:p>
      <w:pPr>
        <w:spacing w:after="0" w:line="302" w:lineRule="exact"/>
        <w:rPr>
          <w:sz w:val="20"/>
          <w:szCs w:val="20"/>
          <w:color w:val="auto"/>
        </w:rPr>
      </w:pPr>
    </w:p>
    <w:p>
      <w:pPr>
        <w:ind w:left="360" w:hanging="360"/>
        <w:spacing w:after="0"/>
        <w:tabs>
          <w:tab w:leader="none" w:pos="360" w:val="left"/>
        </w:tabs>
        <w:numPr>
          <w:ilvl w:val="0"/>
          <w:numId w:val="51"/>
        </w:numPr>
        <w:rPr>
          <w:rFonts w:ascii="Arial" w:cs="Arial" w:eastAsia="Arial" w:hAnsi="Arial"/>
          <w:sz w:val="14"/>
          <w:szCs w:val="14"/>
          <w:color w:val="auto"/>
        </w:rPr>
      </w:pPr>
      <w:r>
        <w:rPr>
          <w:rFonts w:ascii="Arial" w:cs="Arial" w:eastAsia="Arial" w:hAnsi="Arial"/>
          <w:sz w:val="14"/>
          <w:szCs w:val="14"/>
          <w:b w:val="1"/>
          <w:bCs w:val="1"/>
          <w:u w:val="single" w:color="auto"/>
          <w:color w:val="auto"/>
        </w:rPr>
        <w:t>Taxes</w:t>
      </w:r>
      <w:r>
        <w:rPr>
          <w:rFonts w:ascii="Arial" w:cs="Arial" w:eastAsia="Arial" w:hAnsi="Arial"/>
          <w:sz w:val="14"/>
          <w:szCs w:val="14"/>
          <w:b w:val="1"/>
          <w:bCs w:val="1"/>
          <w:color w:val="auto"/>
        </w:rPr>
        <w:t xml:space="preserve">. </w:t>
      </w:r>
      <w:r>
        <w:rPr>
          <w:rFonts w:ascii="Arial" w:cs="Arial" w:eastAsia="Arial" w:hAnsi="Arial"/>
          <w:sz w:val="14"/>
          <w:szCs w:val="14"/>
          <w:color w:val="auto"/>
        </w:rPr>
        <w:t>Notwithstanding the restrictions on transfer that otherwise apply, the Corporation in its sole discretion may withhold units or shares, either at the time</w:t>
      </w:r>
    </w:p>
    <w:p>
      <w:pPr>
        <w:spacing w:after="0" w:line="75" w:lineRule="exact"/>
        <w:rPr>
          <w:rFonts w:ascii="Arial" w:cs="Arial" w:eastAsia="Arial" w:hAnsi="Arial"/>
          <w:sz w:val="14"/>
          <w:szCs w:val="14"/>
          <w:color w:val="auto"/>
        </w:rPr>
      </w:pPr>
    </w:p>
    <w:p>
      <w:pPr>
        <w:ind w:left="300"/>
        <w:spacing w:after="0" w:line="316" w:lineRule="auto"/>
        <w:rPr>
          <w:rFonts w:ascii="Arial" w:cs="Arial" w:eastAsia="Arial" w:hAnsi="Arial"/>
          <w:sz w:val="14"/>
          <w:szCs w:val="14"/>
          <w:color w:val="auto"/>
        </w:rPr>
      </w:pPr>
      <w:r>
        <w:rPr>
          <w:rFonts w:ascii="Arial" w:cs="Arial" w:eastAsia="Arial" w:hAnsi="Arial"/>
          <w:sz w:val="15"/>
          <w:szCs w:val="15"/>
          <w:color w:val="auto"/>
        </w:rPr>
        <w:t>issuance, at the time the applicable restricted periods expire, or at any other time in order to satisfy any required withholding, social security, and similar taxes contributions (collectively, "required taxes"). Withheld units or shares may be retained by the Corporation or sold on behalf of Grantee. If the Corporation doe withhold units or shares to satisfy required taxes, in the alternative the Corporation may require Grantee to deposit with the Corporation cash in an amount determined by the Corporation to be necessary to satisfy required taxes. Notwithstanding any other provision of this Agreement, the Corporation will be under obligation to credit units or to deliver shares to Grantee in settlement of any units if Grantee fails timely to deposit such amount with the Corporation. The Corporation in its sole discretion may also withhold any required taxes from dividends paid on the units.</w:t>
      </w:r>
    </w:p>
    <w:p>
      <w:pPr>
        <w:spacing w:after="0" w:line="226" w:lineRule="exact"/>
        <w:rPr>
          <w:rFonts w:ascii="Arial" w:cs="Arial" w:eastAsia="Arial" w:hAnsi="Arial"/>
          <w:sz w:val="14"/>
          <w:szCs w:val="14"/>
          <w:color w:val="auto"/>
        </w:rPr>
      </w:pPr>
    </w:p>
    <w:p>
      <w:pPr>
        <w:ind w:left="360" w:hanging="360"/>
        <w:spacing w:after="0"/>
        <w:tabs>
          <w:tab w:leader="none" w:pos="360" w:val="left"/>
        </w:tabs>
        <w:numPr>
          <w:ilvl w:val="0"/>
          <w:numId w:val="51"/>
        </w:numPr>
        <w:rPr>
          <w:rFonts w:ascii="Arial" w:cs="Arial" w:eastAsia="Arial" w:hAnsi="Arial"/>
          <w:sz w:val="14"/>
          <w:szCs w:val="14"/>
          <w:color w:val="auto"/>
        </w:rPr>
      </w:pPr>
      <w:r>
        <w:rPr>
          <w:rFonts w:ascii="Arial" w:cs="Arial" w:eastAsia="Arial" w:hAnsi="Arial"/>
          <w:sz w:val="14"/>
          <w:szCs w:val="14"/>
          <w:b w:val="1"/>
          <w:bCs w:val="1"/>
          <w:u w:val="single" w:color="auto"/>
          <w:color w:val="auto"/>
        </w:rPr>
        <w:t>Form of Units; No Shareholder Status</w:t>
      </w:r>
      <w:r>
        <w:rPr>
          <w:rFonts w:ascii="Arial" w:cs="Arial" w:eastAsia="Arial" w:hAnsi="Arial"/>
          <w:sz w:val="14"/>
          <w:szCs w:val="14"/>
          <w:b w:val="1"/>
          <w:bCs w:val="1"/>
          <w:color w:val="auto"/>
        </w:rPr>
        <w:t xml:space="preserve">. </w:t>
      </w:r>
      <w:r>
        <w:rPr>
          <w:rFonts w:ascii="Arial" w:cs="Arial" w:eastAsia="Arial" w:hAnsi="Arial"/>
          <w:sz w:val="14"/>
          <w:szCs w:val="14"/>
          <w:color w:val="auto"/>
        </w:rPr>
        <w:t>The units will be represented by book-entry credits in records maintained by or on behalf of the Corporation. Units</w:t>
      </w:r>
    </w:p>
    <w:p>
      <w:pPr>
        <w:spacing w:after="0" w:line="75" w:lineRule="exact"/>
        <w:rPr>
          <w:rFonts w:ascii="Arial" w:cs="Arial" w:eastAsia="Arial" w:hAnsi="Arial"/>
          <w:sz w:val="14"/>
          <w:szCs w:val="14"/>
          <w:color w:val="auto"/>
        </w:rPr>
      </w:pPr>
    </w:p>
    <w:p>
      <w:pPr>
        <w:jc w:val="both"/>
        <w:ind w:left="300"/>
        <w:spacing w:after="0" w:line="303" w:lineRule="auto"/>
        <w:rPr>
          <w:rFonts w:ascii="Arial" w:cs="Arial" w:eastAsia="Arial" w:hAnsi="Arial"/>
          <w:sz w:val="14"/>
          <w:szCs w:val="14"/>
          <w:color w:val="auto"/>
        </w:rPr>
      </w:pPr>
      <w:r>
        <w:rPr>
          <w:rFonts w:ascii="Arial" w:cs="Arial" w:eastAsia="Arial" w:hAnsi="Arial"/>
          <w:sz w:val="16"/>
          <w:szCs w:val="16"/>
          <w:color w:val="auto"/>
        </w:rPr>
        <w:t>will be unfunded and unsecured promises by the Corporation to deliver shares in the future upon the terms and subject to the conditions of this Agreement. Grantee will not be a shareholder of the Corporation with respect to units prior to the time shares are actually registered in Grantee's name in settlement of suc units in accordance with section 9.</w:t>
      </w:r>
    </w:p>
    <w:p>
      <w:pPr>
        <w:spacing w:after="0" w:line="169" w:lineRule="exact"/>
        <w:rPr>
          <w:rFonts w:ascii="Arial" w:cs="Arial" w:eastAsia="Arial" w:hAnsi="Arial"/>
          <w:sz w:val="14"/>
          <w:szCs w:val="14"/>
          <w:color w:val="auto"/>
        </w:rPr>
      </w:pPr>
    </w:p>
    <w:p>
      <w:pPr>
        <w:ind w:left="360" w:hanging="360"/>
        <w:spacing w:after="0"/>
        <w:tabs>
          <w:tab w:leader="none" w:pos="360" w:val="left"/>
        </w:tabs>
        <w:numPr>
          <w:ilvl w:val="0"/>
          <w:numId w:val="51"/>
        </w:numPr>
        <w:rPr>
          <w:rFonts w:ascii="Arial" w:cs="Arial" w:eastAsia="Arial" w:hAnsi="Arial"/>
          <w:sz w:val="15"/>
          <w:szCs w:val="15"/>
          <w:color w:val="auto"/>
        </w:rPr>
      </w:pPr>
      <w:r>
        <w:rPr>
          <w:rFonts w:ascii="Arial" w:cs="Arial" w:eastAsia="Arial" w:hAnsi="Arial"/>
          <w:sz w:val="15"/>
          <w:szCs w:val="15"/>
          <w:b w:val="1"/>
          <w:bCs w:val="1"/>
          <w:u w:val="single" w:color="auto"/>
          <w:color w:val="auto"/>
        </w:rPr>
        <w:t>Settlement of Units</w:t>
      </w:r>
      <w:r>
        <w:rPr>
          <w:rFonts w:ascii="Arial" w:cs="Arial" w:eastAsia="Arial" w:hAnsi="Arial"/>
          <w:sz w:val="15"/>
          <w:szCs w:val="15"/>
          <w:b w:val="1"/>
          <w:bCs w:val="1"/>
          <w:color w:val="auto"/>
        </w:rPr>
        <w:t xml:space="preserve"> . </w:t>
      </w:r>
      <w:r>
        <w:rPr>
          <w:rFonts w:ascii="Arial" w:cs="Arial" w:eastAsia="Arial" w:hAnsi="Arial"/>
          <w:sz w:val="15"/>
          <w:szCs w:val="15"/>
          <w:color w:val="auto"/>
        </w:rPr>
        <w:t>If and when the applicable restricted period expires with respect to any units, subject to section 7, the Corporation will issue shares,</w:t>
      </w:r>
    </w:p>
    <w:p>
      <w:pPr>
        <w:spacing w:after="0" w:line="64" w:lineRule="exact"/>
        <w:rPr>
          <w:rFonts w:ascii="Arial" w:cs="Arial" w:eastAsia="Arial" w:hAnsi="Arial"/>
          <w:sz w:val="15"/>
          <w:szCs w:val="15"/>
          <w:color w:val="auto"/>
        </w:rPr>
      </w:pPr>
    </w:p>
    <w:p>
      <w:pPr>
        <w:ind w:left="300" w:right="20"/>
        <w:spacing w:after="0" w:line="355" w:lineRule="auto"/>
        <w:rPr>
          <w:rFonts w:ascii="Arial" w:cs="Arial" w:eastAsia="Arial" w:hAnsi="Arial"/>
          <w:sz w:val="15"/>
          <w:szCs w:val="15"/>
          <w:color w:val="auto"/>
        </w:rPr>
      </w:pPr>
      <w:r>
        <w:rPr>
          <w:rFonts w:ascii="Arial" w:cs="Arial" w:eastAsia="Arial" w:hAnsi="Arial"/>
          <w:sz w:val="15"/>
          <w:szCs w:val="15"/>
          <w:color w:val="auto"/>
        </w:rPr>
        <w:t>restriction and registered in the name of Grantee, in settlement of such units. Such shares will be delivered promptly after such expiration to or for the accou Grantee either in certificated form or by book-entry transfer in accordance with the procedures of the administrative authority in effect at the time.</w:t>
      </w:r>
    </w:p>
    <w:p>
      <w:pPr>
        <w:spacing w:after="0" w:line="196" w:lineRule="exact"/>
        <w:rPr>
          <w:rFonts w:ascii="Arial" w:cs="Arial" w:eastAsia="Arial" w:hAnsi="Arial"/>
          <w:sz w:val="15"/>
          <w:szCs w:val="15"/>
          <w:color w:val="auto"/>
        </w:rPr>
      </w:pPr>
    </w:p>
    <w:p>
      <w:pPr>
        <w:ind w:left="340" w:hanging="340"/>
        <w:spacing w:after="0"/>
        <w:tabs>
          <w:tab w:leader="none" w:pos="340" w:val="left"/>
        </w:tabs>
        <w:numPr>
          <w:ilvl w:val="0"/>
          <w:numId w:val="51"/>
        </w:numPr>
        <w:rPr>
          <w:rFonts w:ascii="Arial" w:cs="Arial" w:eastAsia="Arial" w:hAnsi="Arial"/>
          <w:sz w:val="15"/>
          <w:szCs w:val="15"/>
          <w:color w:val="auto"/>
        </w:rPr>
      </w:pPr>
      <w:r>
        <w:rPr>
          <w:rFonts w:ascii="Arial" w:cs="Arial" w:eastAsia="Arial" w:hAnsi="Arial"/>
          <w:sz w:val="15"/>
          <w:szCs w:val="15"/>
          <w:b w:val="1"/>
          <w:bCs w:val="1"/>
          <w:u w:val="single" w:color="auto"/>
          <w:color w:val="auto"/>
        </w:rPr>
        <w:t>Change in Capitalization</w:t>
      </w:r>
      <w:r>
        <w:rPr>
          <w:rFonts w:ascii="Arial" w:cs="Arial" w:eastAsia="Arial" w:hAnsi="Arial"/>
          <w:sz w:val="15"/>
          <w:szCs w:val="15"/>
          <w:b w:val="1"/>
          <w:bCs w:val="1"/>
          <w:color w:val="auto"/>
        </w:rPr>
        <w:t xml:space="preserve"> . </w:t>
      </w:r>
      <w:r>
        <w:rPr>
          <w:rFonts w:ascii="Arial" w:cs="Arial" w:eastAsia="Arial" w:hAnsi="Arial"/>
          <w:sz w:val="15"/>
          <w:szCs w:val="15"/>
          <w:color w:val="auto"/>
        </w:rPr>
        <w:t>If during the applicable restricted periods a stock split, stock dividend, or other relevant change in capitalization of the Corpora</w:t>
      </w:r>
    </w:p>
    <w:p>
      <w:pPr>
        <w:spacing w:after="0" w:line="64" w:lineRule="exact"/>
        <w:rPr>
          <w:rFonts w:ascii="Arial" w:cs="Arial" w:eastAsia="Arial" w:hAnsi="Arial"/>
          <w:sz w:val="15"/>
          <w:szCs w:val="15"/>
          <w:color w:val="auto"/>
        </w:rPr>
      </w:pPr>
    </w:p>
    <w:p>
      <w:pPr>
        <w:jc w:val="both"/>
        <w:ind w:left="300" w:right="20"/>
        <w:spacing w:after="0" w:line="283" w:lineRule="auto"/>
        <w:rPr>
          <w:rFonts w:ascii="Arial" w:cs="Arial" w:eastAsia="Arial" w:hAnsi="Arial"/>
          <w:sz w:val="15"/>
          <w:szCs w:val="15"/>
          <w:color w:val="auto"/>
        </w:rPr>
      </w:pPr>
      <w:r>
        <w:rPr>
          <w:rFonts w:ascii="Arial" w:cs="Arial" w:eastAsia="Arial" w:hAnsi="Arial"/>
          <w:sz w:val="16"/>
          <w:szCs w:val="16"/>
          <w:color w:val="auto"/>
        </w:rPr>
        <w:t>occurs, the administrative authority will make such adjustments in the number of units credited to Grantee, or in the number and type of securities deliverable Grantee in settlement of such units and used in determining dividend equivalent amounts, as the administrative authority may determine to be appropriate. An resulting new units or securities credited with respect to previously credited units that are still restricted under this Agreement will be delivered to and held by behalf of the Corporation and will be subject to the same</w:t>
      </w:r>
    </w:p>
    <w:p>
      <w:pPr>
        <w:spacing w:after="0" w:line="2" w:lineRule="exact"/>
        <w:rPr>
          <w:sz w:val="20"/>
          <w:szCs w:val="20"/>
          <w:color w:val="auto"/>
        </w:rPr>
      </w:pPr>
    </w:p>
    <w:p>
      <w:pPr>
        <w:jc w:val="center"/>
        <w:ind w:left="118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542290</wp:posOffset>
            </wp:positionV>
            <wp:extent cx="7279640" cy="203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640"/>
          </w:cols>
          <w:pgMar w:left="1120" w:top="1058" w:right="139" w:bottom="1440" w:gutter="0" w:footer="0" w:header="0"/>
        </w:sectPr>
      </w:pPr>
    </w:p>
    <w:bookmarkStart w:id="120" w:name="page121"/>
    <w:bookmarkEnd w:id="120"/>
    <w:p>
      <w:pPr>
        <w:ind w:left="300"/>
        <w:spacing w:after="0"/>
        <w:rPr>
          <w:sz w:val="20"/>
          <w:szCs w:val="20"/>
          <w:color w:val="auto"/>
        </w:rPr>
      </w:pPr>
      <w:r>
        <w:rPr>
          <w:rFonts w:ascii="Arial" w:cs="Arial" w:eastAsia="Arial" w:hAnsi="Arial"/>
          <w:sz w:val="16"/>
          <w:szCs w:val="16"/>
          <w:color w:val="auto"/>
        </w:rPr>
        <w:t>provisions, restrictions, and requirements as those previously credited units.</w:t>
      </w:r>
    </w:p>
    <w:p>
      <w:pPr>
        <w:spacing w:after="0" w:line="302" w:lineRule="exact"/>
        <w:rPr>
          <w:sz w:val="20"/>
          <w:szCs w:val="20"/>
          <w:color w:val="auto"/>
        </w:rPr>
      </w:pPr>
    </w:p>
    <w:p>
      <w:pPr>
        <w:ind w:left="340" w:hanging="340"/>
        <w:spacing w:after="0"/>
        <w:tabs>
          <w:tab w:leader="none" w:pos="340" w:val="left"/>
        </w:tabs>
        <w:numPr>
          <w:ilvl w:val="0"/>
          <w:numId w:val="52"/>
        </w:numPr>
        <w:rPr>
          <w:rFonts w:ascii="Arial" w:cs="Arial" w:eastAsia="Arial" w:hAnsi="Arial"/>
          <w:sz w:val="15"/>
          <w:szCs w:val="15"/>
          <w:color w:val="auto"/>
        </w:rPr>
      </w:pPr>
      <w:r>
        <w:rPr>
          <w:rFonts w:ascii="Arial" w:cs="Arial" w:eastAsia="Arial" w:hAnsi="Arial"/>
          <w:sz w:val="15"/>
          <w:szCs w:val="15"/>
          <w:b w:val="1"/>
          <w:bCs w:val="1"/>
          <w:u w:val="single" w:color="auto"/>
          <w:color w:val="auto"/>
        </w:rPr>
        <w:t>Limits on the Corporation's Obligations</w:t>
      </w:r>
      <w:r>
        <w:rPr>
          <w:rFonts w:ascii="Arial" w:cs="Arial" w:eastAsia="Arial" w:hAnsi="Arial"/>
          <w:sz w:val="15"/>
          <w:szCs w:val="15"/>
          <w:b w:val="1"/>
          <w:bCs w:val="1"/>
          <w:color w:val="auto"/>
        </w:rPr>
        <w:t xml:space="preserve">. </w:t>
      </w:r>
      <w:r>
        <w:rPr>
          <w:rFonts w:ascii="Arial" w:cs="Arial" w:eastAsia="Arial" w:hAnsi="Arial"/>
          <w:sz w:val="15"/>
          <w:szCs w:val="15"/>
          <w:color w:val="auto"/>
        </w:rPr>
        <w:t>Notwithstanding anything else contained in this Agreement, under no circumstances will the Corporation be req</w:t>
      </w:r>
    </w:p>
    <w:p>
      <w:pPr>
        <w:spacing w:after="0" w:line="64" w:lineRule="exact"/>
        <w:rPr>
          <w:rFonts w:ascii="Arial" w:cs="Arial" w:eastAsia="Arial" w:hAnsi="Arial"/>
          <w:sz w:val="15"/>
          <w:szCs w:val="15"/>
          <w:color w:val="auto"/>
        </w:rPr>
      </w:pPr>
    </w:p>
    <w:p>
      <w:pPr>
        <w:ind w:left="300" w:right="140"/>
        <w:spacing w:after="0" w:line="318" w:lineRule="auto"/>
        <w:rPr>
          <w:rFonts w:ascii="Arial" w:cs="Arial" w:eastAsia="Arial" w:hAnsi="Arial"/>
          <w:sz w:val="15"/>
          <w:szCs w:val="15"/>
          <w:color w:val="auto"/>
        </w:rPr>
      </w:pPr>
      <w:r>
        <w:rPr>
          <w:rFonts w:ascii="Arial" w:cs="Arial" w:eastAsia="Arial" w:hAnsi="Arial"/>
          <w:sz w:val="16"/>
          <w:szCs w:val="16"/>
          <w:color w:val="auto"/>
        </w:rPr>
        <w:t>credit any units or issue or deliver any shares in settlement of units if doing so would violate any law or listing requirement that the administrative authority determines to be applicable, or if Grantee has failed to provide for required taxes pursuant to section 7.</w:t>
      </w:r>
    </w:p>
    <w:p>
      <w:pPr>
        <w:spacing w:after="0" w:line="219" w:lineRule="exact"/>
        <w:rPr>
          <w:rFonts w:ascii="Arial" w:cs="Arial" w:eastAsia="Arial" w:hAnsi="Arial"/>
          <w:sz w:val="15"/>
          <w:szCs w:val="15"/>
          <w:color w:val="auto"/>
        </w:rPr>
      </w:pPr>
    </w:p>
    <w:p>
      <w:pPr>
        <w:ind w:left="340" w:hanging="340"/>
        <w:spacing w:after="0"/>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b w:val="1"/>
          <w:bCs w:val="1"/>
          <w:u w:val="single" w:color="auto"/>
          <w:color w:val="auto"/>
        </w:rPr>
        <w:t>Receipt or Access to Program</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acknowledges receipt of or access to the full text of the Program.</w:t>
      </w:r>
    </w:p>
    <w:p>
      <w:pPr>
        <w:spacing w:after="0" w:line="310" w:lineRule="exact"/>
        <w:rPr>
          <w:rFonts w:ascii="Arial" w:cs="Arial" w:eastAsia="Arial" w:hAnsi="Arial"/>
          <w:sz w:val="16"/>
          <w:szCs w:val="16"/>
          <w:color w:val="auto"/>
        </w:rPr>
      </w:pPr>
    </w:p>
    <w:p>
      <w:pPr>
        <w:ind w:left="300" w:hanging="300"/>
        <w:spacing w:after="0" w:line="303" w:lineRule="auto"/>
        <w:tabs>
          <w:tab w:leader="none" w:pos="353" w:val="left"/>
        </w:tabs>
        <w:numPr>
          <w:ilvl w:val="0"/>
          <w:numId w:val="52"/>
        </w:numPr>
        <w:rPr>
          <w:rFonts w:ascii="Arial" w:cs="Arial" w:eastAsia="Arial" w:hAnsi="Arial"/>
          <w:sz w:val="16"/>
          <w:szCs w:val="16"/>
          <w:color w:val="auto"/>
        </w:rPr>
      </w:pPr>
      <w:r>
        <w:rPr>
          <w:rFonts w:ascii="Arial" w:cs="Arial" w:eastAsia="Arial" w:hAnsi="Arial"/>
          <w:sz w:val="16"/>
          <w:szCs w:val="16"/>
          <w:b w:val="1"/>
          <w:bCs w:val="1"/>
          <w:u w:val="single" w:color="auto"/>
          <w:color w:val="auto"/>
        </w:rPr>
        <w:t>Dividend Equivalents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will pay to Grantee cash with respect to each credited unit corresponding in amount, currency, and timing to cash</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dividends that would be payable with respect to a share of common stock outstanding on each record date that occurs during the applicable restricted period Alternatively, the administrative authority may determine to reinvest such dividend equivalents in additional units which will be held subject to all the terms an conditions otherwise applicable to units under this Agreement.</w:t>
      </w:r>
    </w:p>
    <w:p>
      <w:pPr>
        <w:spacing w:after="0" w:line="181" w:lineRule="exact"/>
        <w:rPr>
          <w:rFonts w:ascii="Arial" w:cs="Arial" w:eastAsia="Arial" w:hAnsi="Arial"/>
          <w:sz w:val="16"/>
          <w:szCs w:val="16"/>
          <w:color w:val="auto"/>
        </w:rPr>
      </w:pPr>
    </w:p>
    <w:p>
      <w:pPr>
        <w:ind w:left="340" w:hanging="340"/>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b w:val="1"/>
          <w:bCs w:val="1"/>
          <w:u w:val="single" w:color="auto"/>
          <w:color w:val="auto"/>
        </w:rPr>
        <w:t>Addresses for Communications</w:t>
      </w:r>
      <w:r>
        <w:rPr>
          <w:rFonts w:ascii="Arial" w:cs="Arial" w:eastAsia="Arial" w:hAnsi="Arial"/>
          <w:sz w:val="14"/>
          <w:szCs w:val="14"/>
          <w:b w:val="1"/>
          <w:bCs w:val="1"/>
          <w:color w:val="auto"/>
        </w:rPr>
        <w:t xml:space="preserve">. </w:t>
      </w:r>
      <w:r>
        <w:rPr>
          <w:rFonts w:ascii="Arial" w:cs="Arial" w:eastAsia="Arial" w:hAnsi="Arial"/>
          <w:sz w:val="14"/>
          <w:szCs w:val="14"/>
          <w:color w:val="auto"/>
        </w:rPr>
        <w:t>To facilitate communications regarding this Agreement, Grantee agrees to notify the Corporation promptly of changes in c</w:t>
      </w:r>
    </w:p>
    <w:p>
      <w:pPr>
        <w:spacing w:after="0" w:line="75" w:lineRule="exact"/>
        <w:rPr>
          <w:rFonts w:ascii="Arial" w:cs="Arial" w:eastAsia="Arial" w:hAnsi="Arial"/>
          <w:sz w:val="14"/>
          <w:szCs w:val="14"/>
          <w:color w:val="auto"/>
        </w:rPr>
      </w:pPr>
    </w:p>
    <w:p>
      <w:pPr>
        <w:ind w:left="300"/>
        <w:spacing w:after="0" w:line="318" w:lineRule="auto"/>
        <w:rPr>
          <w:rFonts w:ascii="Arial" w:cs="Arial" w:eastAsia="Arial" w:hAnsi="Arial"/>
          <w:sz w:val="14"/>
          <w:szCs w:val="14"/>
          <w:color w:val="auto"/>
        </w:rPr>
      </w:pPr>
      <w:r>
        <w:rPr>
          <w:rFonts w:ascii="Arial" w:cs="Arial" w:eastAsia="Arial" w:hAnsi="Arial"/>
          <w:sz w:val="16"/>
          <w:szCs w:val="16"/>
          <w:color w:val="auto"/>
        </w:rPr>
        <w:t>mailing and email addresses. Communications to the Corporation in connection with this Agreement should be directed to the Incentive Processing Office, or such other address as the Corporation may designate by further notice to Grantee.</w:t>
      </w:r>
    </w:p>
    <w:p>
      <w:pPr>
        <w:spacing w:after="0" w:line="210" w:lineRule="exact"/>
        <w:rPr>
          <w:rFonts w:ascii="Arial" w:cs="Arial" w:eastAsia="Arial" w:hAnsi="Arial"/>
          <w:sz w:val="14"/>
          <w:szCs w:val="14"/>
          <w:color w:val="auto"/>
        </w:rPr>
      </w:pPr>
    </w:p>
    <w:p>
      <w:pPr>
        <w:jc w:val="both"/>
        <w:ind w:left="300" w:hanging="300"/>
        <w:spacing w:after="0" w:line="317" w:lineRule="auto"/>
        <w:tabs>
          <w:tab w:leader="none" w:pos="353" w:val="left"/>
        </w:tabs>
        <w:numPr>
          <w:ilvl w:val="0"/>
          <w:numId w:val="52"/>
        </w:numPr>
        <w:rPr>
          <w:rFonts w:ascii="Arial" w:cs="Arial" w:eastAsia="Arial" w:hAnsi="Arial"/>
          <w:sz w:val="15"/>
          <w:szCs w:val="15"/>
          <w:color w:val="auto"/>
        </w:rPr>
      </w:pPr>
      <w:r>
        <w:rPr>
          <w:rFonts w:ascii="Arial" w:cs="Arial" w:eastAsia="Arial" w:hAnsi="Arial"/>
          <w:sz w:val="15"/>
          <w:szCs w:val="15"/>
          <w:b w:val="1"/>
          <w:bCs w:val="1"/>
          <w:u w:val="single" w:color="auto"/>
          <w:color w:val="auto"/>
        </w:rPr>
        <w:t>Transfer of Personal Data</w:t>
      </w:r>
      <w:r>
        <w:rPr>
          <w:rFonts w:ascii="Arial" w:cs="Arial" w:eastAsia="Arial" w:hAnsi="Arial"/>
          <w:sz w:val="15"/>
          <w:szCs w:val="15"/>
          <w:b w:val="1"/>
          <w:bCs w:val="1"/>
          <w:color w:val="auto"/>
        </w:rPr>
        <w:t xml:space="preserve">. </w:t>
      </w:r>
      <w:r>
        <w:rPr>
          <w:rFonts w:ascii="Arial" w:cs="Arial" w:eastAsia="Arial" w:hAnsi="Arial"/>
          <w:sz w:val="15"/>
          <w:szCs w:val="15"/>
          <w:color w:val="auto"/>
        </w:rPr>
        <w:t>The administration of the Program and this Agreement, including any subsequent ownership of shares, involve the collection, us</w:t>
      </w:r>
      <w:r>
        <w:rPr>
          <w:rFonts w:ascii="Arial" w:cs="Arial" w:eastAsia="Arial" w:hAnsi="Arial"/>
          <w:sz w:val="15"/>
          <w:szCs w:val="15"/>
          <w:b w:val="1"/>
          <w:bCs w:val="1"/>
          <w:color w:val="auto"/>
        </w:rPr>
        <w:t xml:space="preserve"> </w:t>
      </w:r>
      <w:r>
        <w:rPr>
          <w:rFonts w:ascii="Arial" w:cs="Arial" w:eastAsia="Arial" w:hAnsi="Arial"/>
          <w:sz w:val="15"/>
          <w:szCs w:val="15"/>
          <w:color w:val="auto"/>
        </w:rPr>
        <w:t>transfer of personal data about Grantee between and among the Corporation, selected subsidiaries and other affiliates of the Corporation, and third-party servi providers such as Morgan Stanley and Computershare (the Corporation's transfer agent), as well as various regulatory and tax authorities around the world. T data includes Grantee's name, age, date of birth, contact information, work location, employment status, tax status, social security number, salary, nationality, title, share ownership, and details of incentive awards granted, cancelled, vested or unvested, and related information. By accepting this award, Grantee auth such collection, use, and transfer of this data. Grantee may, at any time and without charge, view such data and require necessary corrections to it. Such data w all times be held in accordance with applicable laws, regulations, and agreements.</w:t>
      </w:r>
    </w:p>
    <w:p>
      <w:pPr>
        <w:spacing w:after="0" w:line="230" w:lineRule="exact"/>
        <w:rPr>
          <w:rFonts w:ascii="Arial" w:cs="Arial" w:eastAsia="Arial" w:hAnsi="Arial"/>
          <w:sz w:val="15"/>
          <w:szCs w:val="15"/>
          <w:color w:val="auto"/>
        </w:rPr>
      </w:pPr>
    </w:p>
    <w:p>
      <w:pPr>
        <w:ind w:left="300" w:hanging="300"/>
        <w:spacing w:after="0" w:line="357" w:lineRule="auto"/>
        <w:tabs>
          <w:tab w:leader="none" w:pos="353" w:val="left"/>
        </w:tabs>
        <w:numPr>
          <w:ilvl w:val="0"/>
          <w:numId w:val="52"/>
        </w:numPr>
        <w:rPr>
          <w:rFonts w:ascii="Arial" w:cs="Arial" w:eastAsia="Arial" w:hAnsi="Arial"/>
          <w:sz w:val="14"/>
          <w:szCs w:val="14"/>
          <w:color w:val="auto"/>
        </w:rPr>
      </w:pPr>
      <w:r>
        <w:rPr>
          <w:rFonts w:ascii="Arial" w:cs="Arial" w:eastAsia="Arial" w:hAnsi="Arial"/>
          <w:sz w:val="14"/>
          <w:szCs w:val="14"/>
          <w:b w:val="1"/>
          <w:bCs w:val="1"/>
          <w:u w:val="single" w:color="auto"/>
          <w:color w:val="auto"/>
        </w:rPr>
        <w:t>No Employment Contract or Entitlement to Other or Future Awards</w:t>
      </w:r>
      <w:r>
        <w:rPr>
          <w:rFonts w:ascii="Arial" w:cs="Arial" w:eastAsia="Arial" w:hAnsi="Arial"/>
          <w:sz w:val="14"/>
          <w:szCs w:val="14"/>
          <w:b w:val="1"/>
          <w:bCs w:val="1"/>
          <w:color w:val="auto"/>
        </w:rPr>
        <w:t xml:space="preserve"> . </w:t>
      </w:r>
      <w:r>
        <w:rPr>
          <w:rFonts w:ascii="Arial" w:cs="Arial" w:eastAsia="Arial" w:hAnsi="Arial"/>
          <w:sz w:val="14"/>
          <w:szCs w:val="14"/>
          <w:color w:val="auto"/>
        </w:rPr>
        <w:t>This Agreement, the Corporation's incentive programs, and Grantee's selection fo</w:t>
      </w:r>
      <w:r>
        <w:rPr>
          <w:rFonts w:ascii="Arial" w:cs="Arial" w:eastAsia="Arial" w:hAnsi="Arial"/>
          <w:sz w:val="14"/>
          <w:szCs w:val="14"/>
          <w:b w:val="1"/>
          <w:bCs w:val="1"/>
          <w:color w:val="auto"/>
        </w:rPr>
        <w:t xml:space="preserve"> </w:t>
      </w:r>
      <w:r>
        <w:rPr>
          <w:rFonts w:ascii="Arial" w:cs="Arial" w:eastAsia="Arial" w:hAnsi="Arial"/>
          <w:sz w:val="14"/>
          <w:szCs w:val="14"/>
          <w:color w:val="auto"/>
        </w:rPr>
        <w:t>incentive awards do not imply or form a part of any contract or assurance of employment, and they do not in any way limit or restrict the ability of Grantee's employer to terminate Grantee's employment. Grantee acknowledges that the Corporation maintains and administers its incentive programs entirely in its discretion and that Grantee is not entitled to any other or future incentive awards of any kind in addition to those that have already been granted.</w:t>
      </w:r>
    </w:p>
    <w:p>
      <w:pPr>
        <w:spacing w:after="0" w:line="206" w:lineRule="exact"/>
        <w:rPr>
          <w:rFonts w:ascii="Arial" w:cs="Arial" w:eastAsia="Arial" w:hAnsi="Arial"/>
          <w:sz w:val="14"/>
          <w:szCs w:val="14"/>
          <w:color w:val="auto"/>
        </w:rPr>
      </w:pPr>
    </w:p>
    <w:p>
      <w:pPr>
        <w:jc w:val="both"/>
        <w:ind w:left="300" w:hanging="300"/>
        <w:spacing w:after="0" w:line="303" w:lineRule="auto"/>
        <w:tabs>
          <w:tab w:leader="none" w:pos="353" w:val="left"/>
        </w:tabs>
        <w:numPr>
          <w:ilvl w:val="0"/>
          <w:numId w:val="52"/>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 and Consent to Jurisdiction</w:t>
      </w:r>
      <w:r>
        <w:rPr>
          <w:rFonts w:ascii="Arial" w:cs="Arial" w:eastAsia="Arial" w:hAnsi="Arial"/>
          <w:sz w:val="16"/>
          <w:szCs w:val="16"/>
          <w:b w:val="1"/>
          <w:bCs w:val="1"/>
          <w:color w:val="auto"/>
        </w:rPr>
        <w:t xml:space="preserve"> . </w:t>
      </w:r>
      <w:r>
        <w:rPr>
          <w:rFonts w:ascii="Arial" w:cs="Arial" w:eastAsia="Arial" w:hAnsi="Arial"/>
          <w:sz w:val="16"/>
          <w:szCs w:val="16"/>
          <w:color w:val="auto"/>
        </w:rPr>
        <w:t>This Agreement and the Program are governed by the laws of the State of New York without regard to any</w:t>
      </w:r>
      <w:r>
        <w:rPr>
          <w:rFonts w:ascii="Arial" w:cs="Arial" w:eastAsia="Arial" w:hAnsi="Arial"/>
          <w:sz w:val="16"/>
          <w:szCs w:val="16"/>
          <w:b w:val="1"/>
          <w:bCs w:val="1"/>
          <w:color w:val="auto"/>
        </w:rPr>
        <w:t xml:space="preserve"> </w:t>
      </w:r>
      <w:r>
        <w:rPr>
          <w:rFonts w:ascii="Arial" w:cs="Arial" w:eastAsia="Arial" w:hAnsi="Arial"/>
          <w:sz w:val="16"/>
          <w:szCs w:val="16"/>
          <w:color w:val="auto"/>
        </w:rPr>
        <w:t>conflict of law rules. Any dispute arising out of or relating to this Agreement or the Program may be resolved in any state or federal court located within D County, Texas, U.S.A. Grantee accepts that venue and submits to the personal jurisdiction of any such court. Similarly, the Corporation accepts such venue a submits to such jurisdiction.</w:t>
      </w:r>
    </w:p>
    <w:p>
      <w:pPr>
        <w:spacing w:after="0" w:line="234" w:lineRule="exact"/>
        <w:rPr>
          <w:rFonts w:ascii="Arial" w:cs="Arial" w:eastAsia="Arial" w:hAnsi="Arial"/>
          <w:sz w:val="16"/>
          <w:szCs w:val="16"/>
          <w:color w:val="auto"/>
        </w:rPr>
      </w:pPr>
    </w:p>
    <w:p>
      <w:pPr>
        <w:ind w:left="300" w:right="220" w:hanging="300"/>
        <w:spacing w:after="0" w:line="334" w:lineRule="auto"/>
        <w:tabs>
          <w:tab w:leader="none" w:pos="353" w:val="left"/>
        </w:tabs>
        <w:numPr>
          <w:ilvl w:val="0"/>
          <w:numId w:val="52"/>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 </w:t>
      </w:r>
      <w:r>
        <w:rPr>
          <w:rFonts w:ascii="Arial" w:cs="Arial" w:eastAsia="Arial" w:hAnsi="Arial"/>
          <w:sz w:val="16"/>
          <w:szCs w:val="16"/>
          <w:color w:val="auto"/>
        </w:rPr>
        <w:t>This Agreement constitutes the entire understanding between Grantee and the Corporation with respect to the subject matter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w:t>
      </w:r>
    </w:p>
    <w:p>
      <w:pPr>
        <w:spacing w:after="0" w:line="125" w:lineRule="exact"/>
        <w:rPr>
          <w:sz w:val="20"/>
          <w:szCs w:val="20"/>
          <w:color w:val="auto"/>
        </w:rPr>
      </w:pPr>
    </w:p>
    <w:p>
      <w:pPr>
        <w:jc w:val="center"/>
        <w:ind w:left="118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542290</wp:posOffset>
            </wp:positionV>
            <wp:extent cx="7279640" cy="20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640"/>
          </w:cols>
          <w:pgMar w:left="1120" w:top="813" w:right="139" w:bottom="1440" w:gutter="0" w:footer="0" w:header="0"/>
        </w:sectPr>
      </w:pPr>
    </w:p>
    <w:bookmarkStart w:id="121" w:name="page122"/>
    <w:bookmarkEnd w:id="121"/>
    <w:tbl>
      <w:tblPr>
        <w:tblLayout w:type="fixed"/>
        <w:tblInd w:w="480" w:type="dxa"/>
        <w:tblCellMar>
          <w:top w:w="0" w:type="dxa"/>
          <w:left w:w="0" w:type="dxa"/>
          <w:bottom w:w="0" w:type="dxa"/>
          <w:right w:w="0" w:type="dxa"/>
        </w:tblCellMar>
      </w:tblPr>
      <w:tr>
        <w:trPr>
          <w:trHeight w:val="212"/>
        </w:trPr>
        <w:tc>
          <w:tcPr>
            <w:tcW w:w="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EXHIBIT 10(</w:t>
            </w:r>
          </w:p>
        </w:tc>
      </w:tr>
      <w:tr>
        <w:trPr>
          <w:trHeight w:val="405"/>
        </w:trPr>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80" w:type="dxa"/>
            <w:vAlign w:val="bottom"/>
            <w:gridSpan w:val="3"/>
          </w:tcPr>
          <w:p>
            <w:pPr>
              <w:jc w:val="center"/>
              <w:ind w:left="250"/>
              <w:spacing w:after="0"/>
              <w:rPr>
                <w:sz w:val="20"/>
                <w:szCs w:val="20"/>
                <w:color w:val="auto"/>
              </w:rPr>
            </w:pPr>
            <w:r>
              <w:rPr>
                <w:rFonts w:ascii="Arial" w:cs="Arial" w:eastAsia="Arial" w:hAnsi="Arial"/>
                <w:sz w:val="20"/>
                <w:szCs w:val="20"/>
                <w:b w:val="1"/>
                <w:bCs w:val="1"/>
                <w:color w:val="auto"/>
              </w:rPr>
              <w:t>EXXON MOBIL CORPORATION</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8"/>
        </w:trPr>
        <w:tc>
          <w:tcPr>
            <w:tcW w:w="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80" w:type="dxa"/>
            <w:vAlign w:val="bottom"/>
            <w:gridSpan w:val="3"/>
          </w:tcPr>
          <w:p>
            <w:pPr>
              <w:jc w:val="center"/>
              <w:ind w:left="250"/>
              <w:spacing w:after="0"/>
              <w:rPr>
                <w:sz w:val="20"/>
                <w:szCs w:val="20"/>
                <w:color w:val="auto"/>
              </w:rPr>
            </w:pPr>
            <w:r>
              <w:rPr>
                <w:rFonts w:ascii="Arial" w:cs="Arial" w:eastAsia="Arial" w:hAnsi="Arial"/>
                <w:sz w:val="16"/>
                <w:szCs w:val="16"/>
                <w:color w:val="auto"/>
                <w:w w:val="98"/>
              </w:rPr>
              <w:t>EARNINGS BONUS UNIT AWARD</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68"/>
        </w:trPr>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0" w:type="dxa"/>
            <w:vAlign w:val="bottom"/>
            <w:gridSpan w:val="3"/>
          </w:tcPr>
          <w:p>
            <w:pPr>
              <w:jc w:val="center"/>
              <w:ind w:right="840"/>
              <w:spacing w:after="0"/>
              <w:rPr>
                <w:sz w:val="20"/>
                <w:szCs w:val="20"/>
                <w:color w:val="auto"/>
              </w:rPr>
            </w:pPr>
            <w:r>
              <w:rPr>
                <w:rFonts w:ascii="Arial" w:cs="Arial" w:eastAsia="Arial" w:hAnsi="Arial"/>
                <w:sz w:val="16"/>
                <w:szCs w:val="16"/>
                <w:color w:val="auto"/>
                <w:w w:val="98"/>
              </w:rPr>
              <w:t>Maximum</w:t>
            </w:r>
          </w:p>
        </w:tc>
        <w:tc>
          <w:tcPr>
            <w:tcW w:w="2080" w:type="dxa"/>
            <w:vAlign w:val="bottom"/>
            <w:gridSpan w:val="3"/>
          </w:tcPr>
          <w:p>
            <w:pPr>
              <w:jc w:val="center"/>
              <w:ind w:left="318"/>
              <w:spacing w:after="0"/>
              <w:rPr>
                <w:sz w:val="20"/>
                <w:szCs w:val="20"/>
                <w:color w:val="auto"/>
              </w:rPr>
            </w:pPr>
            <w:r>
              <w:rPr>
                <w:rFonts w:ascii="Arial" w:cs="Arial" w:eastAsia="Arial" w:hAnsi="Arial"/>
                <w:sz w:val="16"/>
                <w:szCs w:val="16"/>
                <w:color w:val="auto"/>
                <w:w w:val="98"/>
              </w:rPr>
              <w:t>Maximum</w:t>
            </w:r>
          </w:p>
        </w:tc>
      </w:tr>
      <w:tr>
        <w:trPr>
          <w:trHeight w:val="221"/>
        </w:trPr>
        <w:tc>
          <w:tcPr>
            <w:tcW w:w="5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gridSpan w:val="3"/>
          </w:tcPr>
          <w:p>
            <w:pPr>
              <w:jc w:val="center"/>
              <w:ind w:right="820"/>
              <w:spacing w:after="0"/>
              <w:rPr>
                <w:sz w:val="20"/>
                <w:szCs w:val="20"/>
                <w:color w:val="auto"/>
              </w:rPr>
            </w:pPr>
            <w:r>
              <w:rPr>
                <w:rFonts w:ascii="Arial" w:cs="Arial" w:eastAsia="Arial" w:hAnsi="Arial"/>
                <w:sz w:val="16"/>
                <w:szCs w:val="16"/>
                <w:color w:val="auto"/>
                <w:w w:val="91"/>
              </w:rPr>
              <w:t>Settlement</w:t>
            </w:r>
          </w:p>
        </w:tc>
        <w:tc>
          <w:tcPr>
            <w:tcW w:w="2080" w:type="dxa"/>
            <w:vAlign w:val="bottom"/>
            <w:gridSpan w:val="3"/>
          </w:tcPr>
          <w:p>
            <w:pPr>
              <w:jc w:val="center"/>
              <w:ind w:left="298"/>
              <w:spacing w:after="0"/>
              <w:rPr>
                <w:sz w:val="20"/>
                <w:szCs w:val="20"/>
                <w:color w:val="auto"/>
              </w:rPr>
            </w:pPr>
            <w:r>
              <w:rPr>
                <w:rFonts w:ascii="Arial" w:cs="Arial" w:eastAsia="Arial" w:hAnsi="Arial"/>
                <w:sz w:val="16"/>
                <w:szCs w:val="16"/>
                <w:color w:val="auto"/>
                <w:w w:val="91"/>
              </w:rPr>
              <w:t>Settlement</w:t>
            </w:r>
          </w:p>
        </w:tc>
      </w:tr>
      <w:tr>
        <w:trPr>
          <w:trHeight w:val="221"/>
        </w:trPr>
        <w:tc>
          <w:tcPr>
            <w:tcW w:w="540" w:type="dxa"/>
            <w:vAlign w:val="bottom"/>
          </w:tcPr>
          <w:p>
            <w:pPr>
              <w:jc w:val="center"/>
              <w:spacing w:after="0"/>
              <w:rPr>
                <w:sz w:val="20"/>
                <w:szCs w:val="20"/>
                <w:color w:val="auto"/>
              </w:rPr>
            </w:pPr>
            <w:r>
              <w:rPr>
                <w:rFonts w:ascii="Arial" w:cs="Arial" w:eastAsia="Arial" w:hAnsi="Arial"/>
                <w:sz w:val="16"/>
                <w:szCs w:val="16"/>
                <w:color w:val="auto"/>
                <w:w w:val="97"/>
              </w:rPr>
              <w:t>EBU</w:t>
            </w:r>
          </w:p>
        </w:tc>
        <w:tc>
          <w:tcPr>
            <w:tcW w:w="1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80" w:type="dxa"/>
            <w:vAlign w:val="bottom"/>
            <w:gridSpan w:val="2"/>
          </w:tcPr>
          <w:p>
            <w:pPr>
              <w:ind w:left="20"/>
              <w:spacing w:after="0"/>
              <w:rPr>
                <w:sz w:val="20"/>
                <w:szCs w:val="20"/>
                <w:color w:val="auto"/>
              </w:rPr>
            </w:pPr>
            <w:r>
              <w:rPr>
                <w:rFonts w:ascii="Arial" w:cs="Arial" w:eastAsia="Arial" w:hAnsi="Arial"/>
                <w:sz w:val="16"/>
                <w:szCs w:val="16"/>
                <w:color w:val="auto"/>
              </w:rPr>
              <w:t>Number</w:t>
            </w:r>
          </w:p>
        </w:tc>
        <w:tc>
          <w:tcPr>
            <w:tcW w:w="1600" w:type="dxa"/>
            <w:vAlign w:val="bottom"/>
            <w:gridSpan w:val="3"/>
          </w:tcPr>
          <w:p>
            <w:pPr>
              <w:jc w:val="center"/>
              <w:ind w:right="840"/>
              <w:spacing w:after="0"/>
              <w:rPr>
                <w:sz w:val="20"/>
                <w:szCs w:val="20"/>
                <w:color w:val="auto"/>
              </w:rPr>
            </w:pPr>
            <w:r>
              <w:rPr>
                <w:rFonts w:ascii="Arial" w:cs="Arial" w:eastAsia="Arial" w:hAnsi="Arial"/>
                <w:sz w:val="16"/>
                <w:szCs w:val="16"/>
                <w:color w:val="auto"/>
                <w:w w:val="91"/>
              </w:rPr>
              <w:t>Value Per</w:t>
            </w:r>
          </w:p>
        </w:tc>
        <w:tc>
          <w:tcPr>
            <w:tcW w:w="2080" w:type="dxa"/>
            <w:vAlign w:val="bottom"/>
            <w:gridSpan w:val="3"/>
          </w:tcPr>
          <w:p>
            <w:pPr>
              <w:jc w:val="center"/>
              <w:ind w:left="298"/>
              <w:spacing w:after="0"/>
              <w:rPr>
                <w:sz w:val="20"/>
                <w:szCs w:val="20"/>
                <w:color w:val="auto"/>
              </w:rPr>
            </w:pPr>
            <w:r>
              <w:rPr>
                <w:rFonts w:ascii="Arial" w:cs="Arial" w:eastAsia="Arial" w:hAnsi="Arial"/>
                <w:sz w:val="16"/>
                <w:szCs w:val="16"/>
                <w:color w:val="auto"/>
                <w:w w:val="91"/>
              </w:rPr>
              <w:t>Value of</w:t>
            </w:r>
          </w:p>
        </w:tc>
      </w:tr>
      <w:tr>
        <w:trPr>
          <w:trHeight w:val="185"/>
        </w:trPr>
        <w:tc>
          <w:tcPr>
            <w:tcW w:w="540" w:type="dxa"/>
            <w:vAlign w:val="bottom"/>
          </w:tcPr>
          <w:p>
            <w:pPr>
              <w:jc w:val="center"/>
              <w:spacing w:after="0"/>
              <w:rPr>
                <w:sz w:val="20"/>
                <w:szCs w:val="20"/>
                <w:color w:val="auto"/>
              </w:rPr>
            </w:pPr>
            <w:r>
              <w:rPr>
                <w:rFonts w:ascii="Arial" w:cs="Arial" w:eastAsia="Arial" w:hAnsi="Arial"/>
                <w:sz w:val="16"/>
                <w:szCs w:val="16"/>
                <w:color w:val="auto"/>
                <w:w w:val="94"/>
              </w:rPr>
              <w:t>Number</w:t>
            </w:r>
          </w:p>
        </w:tc>
        <w:tc>
          <w:tcPr>
            <w:tcW w:w="136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6"/>
                <w:szCs w:val="16"/>
                <w:color w:val="auto"/>
                <w:w w:val="89"/>
              </w:rPr>
              <w:t>Name of Grantee</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Arial" w:cs="Arial" w:eastAsia="Arial" w:hAnsi="Arial"/>
                <w:sz w:val="16"/>
                <w:szCs w:val="16"/>
                <w:color w:val="auto"/>
                <w:w w:val="95"/>
              </w:rPr>
              <w:t>of EBUs</w:t>
            </w:r>
          </w:p>
        </w:tc>
        <w:tc>
          <w:tcPr>
            <w:tcW w:w="1500" w:type="dxa"/>
            <w:vAlign w:val="bottom"/>
          </w:tcPr>
          <w:p>
            <w:pPr>
              <w:spacing w:after="0"/>
              <w:rPr>
                <w:sz w:val="16"/>
                <w:szCs w:val="16"/>
                <w:color w:val="auto"/>
              </w:rPr>
            </w:pPr>
          </w:p>
        </w:tc>
        <w:tc>
          <w:tcPr>
            <w:tcW w:w="1600" w:type="dxa"/>
            <w:vAlign w:val="bottom"/>
            <w:gridSpan w:val="3"/>
          </w:tcPr>
          <w:p>
            <w:pPr>
              <w:jc w:val="center"/>
              <w:ind w:right="840"/>
              <w:spacing w:after="0"/>
              <w:rPr>
                <w:sz w:val="20"/>
                <w:szCs w:val="20"/>
                <w:color w:val="auto"/>
              </w:rPr>
            </w:pPr>
            <w:r>
              <w:rPr>
                <w:rFonts w:ascii="Arial" w:cs="Arial" w:eastAsia="Arial" w:hAnsi="Arial"/>
                <w:sz w:val="16"/>
                <w:szCs w:val="16"/>
                <w:color w:val="auto"/>
                <w:w w:val="97"/>
              </w:rPr>
              <w:t>EBU</w:t>
            </w:r>
          </w:p>
        </w:tc>
        <w:tc>
          <w:tcPr>
            <w:tcW w:w="2080" w:type="dxa"/>
            <w:vAlign w:val="bottom"/>
            <w:gridSpan w:val="3"/>
          </w:tcPr>
          <w:p>
            <w:pPr>
              <w:jc w:val="center"/>
              <w:ind w:left="298"/>
              <w:spacing w:after="0"/>
              <w:rPr>
                <w:sz w:val="20"/>
                <w:szCs w:val="20"/>
                <w:color w:val="auto"/>
              </w:rPr>
            </w:pPr>
            <w:r>
              <w:rPr>
                <w:rFonts w:ascii="Arial" w:cs="Arial" w:eastAsia="Arial" w:hAnsi="Arial"/>
                <w:sz w:val="16"/>
                <w:szCs w:val="16"/>
                <w:color w:val="auto"/>
                <w:w w:val="92"/>
              </w:rPr>
              <w:t>Award</w:t>
            </w:r>
          </w:p>
        </w:tc>
      </w:tr>
      <w:tr>
        <w:trPr>
          <w:trHeight w:val="20"/>
        </w:trPr>
        <w:tc>
          <w:tcPr>
            <w:tcW w:w="5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2"/>
        </w:trPr>
        <w:tc>
          <w:tcPr>
            <w:tcW w:w="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0" w:type="dxa"/>
            <w:vAlign w:val="bottom"/>
            <w:gridSpan w:val="3"/>
          </w:tcPr>
          <w:p>
            <w:pPr>
              <w:jc w:val="center"/>
              <w:ind w:right="840"/>
              <w:spacing w:after="0"/>
              <w:rPr>
                <w:sz w:val="20"/>
                <w:szCs w:val="20"/>
                <w:color w:val="auto"/>
              </w:rPr>
            </w:pPr>
            <w:r>
              <w:rPr>
                <w:rFonts w:ascii="Arial" w:cs="Arial" w:eastAsia="Arial" w:hAnsi="Arial"/>
                <w:sz w:val="16"/>
                <w:szCs w:val="16"/>
                <w:color w:val="auto"/>
                <w:w w:val="89"/>
              </w:rPr>
              <w:t>$6.50</w:t>
            </w: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bl>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EARNINGS BONUS UNIT AWARD</w:t>
      </w:r>
      <w:r>
        <w:rPr>
          <w:rFonts w:ascii="Arial" w:cs="Arial" w:eastAsia="Arial" w:hAnsi="Arial"/>
          <w:sz w:val="17"/>
          <w:szCs w:val="17"/>
          <w:color w:val="auto"/>
        </w:rPr>
        <w:t xml:space="preserve"> is granted in Dallas County, Texas by Exxon Mobil Corporation (the "Corporation") effective November 2 2014 (the "date of grant"), pursuant to the Short Term Incentive Program adopted by the Board of Directors of the Corporation on October 27, 1993, as amended (the "Program"). This award is subject to the provisions of this instrument and the Program and to such regulations and requirements as may b stipulated from time to time by the administrative authority defined in the Program and is granted on the condition that Grantee accepts such provisions, regulations and requirements. This instrument incorporates by reference the provisions of the Program, as it may be amended from time to time, includi without limitation the definitions of terms used in this instrument and defined in the Program.</w:t>
      </w:r>
    </w:p>
    <w:p>
      <w:pPr>
        <w:spacing w:after="0" w:line="118" w:lineRule="exact"/>
        <w:rPr>
          <w:sz w:val="20"/>
          <w:szCs w:val="20"/>
          <w:color w:val="auto"/>
        </w:rPr>
      </w:pPr>
    </w:p>
    <w:p>
      <w:pPr>
        <w:ind w:firstLine="6"/>
        <w:spacing w:after="0" w:line="267" w:lineRule="auto"/>
        <w:tabs>
          <w:tab w:leader="none" w:pos="269"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Award</w:t>
      </w:r>
      <w:r>
        <w:rPr>
          <w:rFonts w:ascii="Arial" w:cs="Arial" w:eastAsia="Arial" w:hAnsi="Arial"/>
          <w:sz w:val="16"/>
          <w:szCs w:val="16"/>
          <w:color w:val="auto"/>
        </w:rPr>
        <w:t>. The Corporation has granted to Grantee the number of earnings bonus units ("EBUs") set forth above, with each EBU having the maximum settlement value set forth above. Subject to the other terms of this award, Grantee has the right, for each of these EBUs, to receive from the Corporation, promptly after the settlement date defined below, an amount of cash equal to the Corporation's cumulative earnings per common share (assuming dilutio reflected in its quarterly earnings statements as initially filed in its quarterly or annual reports with the U.S. Securities and Exchange Commission commencing with earnings for the first full quarter following the date of grant to and including the last full quarter preceding the settlement date; provid however, that the amount of such settlement will not exceed the maximum settlement value specified above.</w:t>
      </w:r>
    </w:p>
    <w:p>
      <w:pPr>
        <w:spacing w:after="0" w:line="119" w:lineRule="exact"/>
        <w:rPr>
          <w:rFonts w:ascii="Arial" w:cs="Arial" w:eastAsia="Arial" w:hAnsi="Arial"/>
          <w:sz w:val="16"/>
          <w:szCs w:val="16"/>
          <w:color w:val="auto"/>
        </w:rPr>
      </w:pPr>
    </w:p>
    <w:p>
      <w:pPr>
        <w:ind w:firstLine="6"/>
        <w:spacing w:after="0" w:line="235" w:lineRule="auto"/>
        <w:tabs>
          <w:tab w:leader="none" w:pos="269"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Settlement Date</w:t>
      </w:r>
      <w:r>
        <w:rPr>
          <w:rFonts w:ascii="Arial" w:cs="Arial" w:eastAsia="Arial" w:hAnsi="Arial"/>
          <w:sz w:val="18"/>
          <w:szCs w:val="18"/>
          <w:color w:val="auto"/>
        </w:rPr>
        <w:t>. The settlement date of these EBUs will be the earlier of (i) the date of publication of the Corporation's quarterly earnings statemen the twelfth (12th) full quarter following the date of grant, or (ii) the date of publication of the Corporation's quarterly earnings statement which brings th cumulative earnings per common share (assuming dilution) as initially filed in its quarterly or annual reports with the U.S. Securities and Exchange Commission commencing with the first full quarter following the date of grant to an amount at least equal to the maximum settlement value per EBU sp above.</w:t>
      </w:r>
    </w:p>
    <w:p>
      <w:pPr>
        <w:spacing w:after="0" w:line="126" w:lineRule="exact"/>
        <w:rPr>
          <w:rFonts w:ascii="Arial" w:cs="Arial" w:eastAsia="Arial" w:hAnsi="Arial"/>
          <w:sz w:val="18"/>
          <w:szCs w:val="18"/>
          <w:color w:val="auto"/>
        </w:rPr>
      </w:pPr>
    </w:p>
    <w:p>
      <w:pPr>
        <w:ind w:left="280" w:hanging="274"/>
        <w:spacing w:after="0"/>
        <w:tabs>
          <w:tab w:leader="none" w:pos="2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Annulment</w:t>
      </w:r>
      <w:r>
        <w:rPr>
          <w:rFonts w:ascii="Arial" w:cs="Arial" w:eastAsia="Arial" w:hAnsi="Arial"/>
          <w:sz w:val="18"/>
          <w:szCs w:val="18"/>
          <w:color w:val="auto"/>
        </w:rPr>
        <w:t>. This award is provisional until the Corporation actually pays cash in settlement of the award.</w:t>
      </w:r>
    </w:p>
    <w:p>
      <w:pPr>
        <w:spacing w:after="0" w:line="148" w:lineRule="exact"/>
        <w:rPr>
          <w:rFonts w:ascii="Arial" w:cs="Arial" w:eastAsia="Arial" w:hAnsi="Arial"/>
          <w:sz w:val="18"/>
          <w:szCs w:val="18"/>
          <w:color w:val="auto"/>
        </w:rPr>
      </w:pPr>
    </w:p>
    <w:p>
      <w:pPr>
        <w:jc w:val="both"/>
        <w:ind w:firstLine="276"/>
        <w:spacing w:after="0" w:line="266" w:lineRule="auto"/>
        <w:tabs>
          <w:tab w:leader="none" w:pos="514" w:val="left"/>
        </w:tabs>
        <w:numPr>
          <w:ilvl w:val="1"/>
          <w:numId w:val="53"/>
        </w:numPr>
        <w:rPr>
          <w:rFonts w:ascii="Arial" w:cs="Arial" w:eastAsia="Arial" w:hAnsi="Arial"/>
          <w:sz w:val="16"/>
          <w:szCs w:val="16"/>
          <w:color w:val="auto"/>
        </w:rPr>
      </w:pPr>
      <w:r>
        <w:rPr>
          <w:rFonts w:ascii="Arial" w:cs="Arial" w:eastAsia="Arial" w:hAnsi="Arial"/>
          <w:sz w:val="16"/>
          <w:szCs w:val="16"/>
          <w:color w:val="auto"/>
        </w:rPr>
        <w:t>If, before the Corporation pays such cash, Grantee terminates (other than by death) before standard retirement time within the meaning of the Pro this award will automatically expire as of the date of termination, except to the extent the administrative authority determines Grantee may retain this aw</w:t>
      </w:r>
    </w:p>
    <w:p>
      <w:pPr>
        <w:ind w:right="40" w:firstLine="276"/>
        <w:spacing w:after="0" w:line="237" w:lineRule="auto"/>
        <w:tabs>
          <w:tab w:leader="none" w:pos="524" w:val="left"/>
        </w:tabs>
        <w:numPr>
          <w:ilvl w:val="1"/>
          <w:numId w:val="53"/>
        </w:numPr>
        <w:rPr>
          <w:rFonts w:ascii="Arial" w:cs="Arial" w:eastAsia="Arial" w:hAnsi="Arial"/>
          <w:sz w:val="18"/>
          <w:szCs w:val="18"/>
          <w:color w:val="auto"/>
        </w:rPr>
      </w:pPr>
      <w:r>
        <w:rPr>
          <w:rFonts w:ascii="Arial" w:cs="Arial" w:eastAsia="Arial" w:hAnsi="Arial"/>
          <w:sz w:val="18"/>
          <w:szCs w:val="18"/>
          <w:color w:val="auto"/>
        </w:rPr>
        <w:t>If, before the Corporation pays such cash, Grantee is determined to have engaged in detrimental activity within the meaning of the Program, this will automatically expire as of the date of such determination.</w:t>
      </w:r>
    </w:p>
    <w:p>
      <w:pPr>
        <w:spacing w:after="0" w:line="138" w:lineRule="exact"/>
        <w:rPr>
          <w:rFonts w:ascii="Arial" w:cs="Arial" w:eastAsia="Arial" w:hAnsi="Arial"/>
          <w:sz w:val="18"/>
          <w:szCs w:val="18"/>
          <w:color w:val="auto"/>
        </w:rPr>
      </w:pPr>
    </w:p>
    <w:p>
      <w:pPr>
        <w:jc w:val="both"/>
        <w:ind w:firstLine="6"/>
        <w:spacing w:after="0"/>
        <w:tabs>
          <w:tab w:leader="none" w:pos="269"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number of EBUs covered by this award and the meaning of the term "common share" will be adjusted by the administrative autho it deems appropriate to give effect to any stock split, stock dividend or other relevant change in capitalization of the Corporation after the date of grant a prior to the 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648970</wp:posOffset>
            </wp:positionV>
            <wp:extent cx="7279640" cy="203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1103" w:right="139" w:bottom="1440" w:gutter="0" w:footer="0" w:header="0"/>
        </w:sectPr>
      </w:pPr>
    </w:p>
    <w:bookmarkStart w:id="122" w:name="page123"/>
    <w:bookmarkEnd w:id="122"/>
    <w:p>
      <w:pPr>
        <w:ind w:left="-6" w:firstLine="6"/>
        <w:spacing w:after="0" w:line="237" w:lineRule="auto"/>
        <w:tabs>
          <w:tab w:leader="none" w:pos="263"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Governing Law and Consent to Jurisdiction</w:t>
      </w:r>
      <w:r>
        <w:rPr>
          <w:rFonts w:ascii="Arial" w:cs="Arial" w:eastAsia="Arial" w:hAnsi="Arial"/>
          <w:sz w:val="18"/>
          <w:szCs w:val="18"/>
          <w:color w:val="auto"/>
        </w:rPr>
        <w:t>. This award and the Program are governed by the laws of the State of New York without regard to any conflict of law rules. Any dispute arising out of or relating to this award or the Program may be resolved in any state or federal court located within Dall County, Texas, U.S.A. This award is issued on the condition that Grantee accepts such venue and submits to the personal jurisdiction of any such court. Similarly, the Corporation accepts such venue and submits to such jurisdiction.</w:t>
      </w:r>
    </w:p>
    <w:p>
      <w:pPr>
        <w:spacing w:after="0" w:line="122" w:lineRule="exact"/>
        <w:rPr>
          <w:sz w:val="20"/>
          <w:szCs w:val="20"/>
          <w:color w:val="auto"/>
        </w:rPr>
      </w:pPr>
    </w:p>
    <w:p>
      <w:pPr>
        <w:ind w:left="3774"/>
        <w:spacing w:after="0"/>
        <w:rPr>
          <w:sz w:val="20"/>
          <w:szCs w:val="20"/>
          <w:color w:val="auto"/>
        </w:rPr>
      </w:pPr>
      <w:r>
        <w:rPr>
          <w:rFonts w:ascii="Arial" w:cs="Arial" w:eastAsia="Arial" w:hAnsi="Arial"/>
          <w:sz w:val="18"/>
          <w:szCs w:val="18"/>
          <w:b w:val="1"/>
          <w:bCs w:val="1"/>
          <w:color w:val="auto"/>
        </w:rPr>
        <w:t>EXXON MOBIL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673100</wp:posOffset>
            </wp:positionV>
            <wp:extent cx="7279640" cy="203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34"/>
          </w:cols>
          <w:pgMar w:left="826" w:top="907" w:right="1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6"/>
          <w:szCs w:val="16"/>
          <w:b w:val="1"/>
          <w:bCs w:val="1"/>
          <w:color w:val="auto"/>
        </w:rPr>
        <w:t>EXHIBIT 10(</w:t>
      </w:r>
    </w:p>
    <w:p>
      <w:pPr>
        <w:spacing w:after="0" w:line="208" w:lineRule="exact"/>
        <w:rPr>
          <w:sz w:val="20"/>
          <w:szCs w:val="20"/>
          <w:color w:val="auto"/>
        </w:rPr>
      </w:pPr>
    </w:p>
    <w:p>
      <w:pPr>
        <w:jc w:val="center"/>
        <w:ind w:left="1180"/>
        <w:spacing w:after="0"/>
        <w:rPr>
          <w:sz w:val="20"/>
          <w:szCs w:val="20"/>
          <w:color w:val="auto"/>
        </w:rPr>
      </w:pPr>
      <w:r>
        <w:rPr>
          <w:rFonts w:ascii="Arial" w:cs="Arial" w:eastAsia="Arial" w:hAnsi="Arial"/>
          <w:sz w:val="18"/>
          <w:szCs w:val="18"/>
          <w:u w:val="single" w:color="auto"/>
          <w:color w:val="auto"/>
        </w:rPr>
        <w:t>EXXONMOBIL SUPPLEMENTAL SAVINGS PLAN</w:t>
      </w:r>
    </w:p>
    <w:p>
      <w:pPr>
        <w:spacing w:after="0" w:line="17" w:lineRule="exact"/>
        <w:rPr>
          <w:sz w:val="20"/>
          <w:szCs w:val="20"/>
          <w:color w:val="auto"/>
        </w:rPr>
      </w:pPr>
    </w:p>
    <w:p>
      <w:pPr>
        <w:jc w:val="center"/>
        <w:ind w:left="1180"/>
        <w:spacing w:after="0"/>
        <w:rPr>
          <w:sz w:val="20"/>
          <w:szCs w:val="20"/>
          <w:color w:val="auto"/>
        </w:rPr>
      </w:pPr>
      <w:r>
        <w:rPr>
          <w:rFonts w:ascii="Arial" w:cs="Arial" w:eastAsia="Arial" w:hAnsi="Arial"/>
          <w:sz w:val="18"/>
          <w:szCs w:val="18"/>
          <w:u w:val="single" w:color="auto"/>
          <w:color w:val="auto"/>
        </w:rPr>
        <w:t>(including Key Employee Supplemental Savings Plan)</w:t>
      </w:r>
    </w:p>
    <w:p>
      <w:pPr>
        <w:spacing w:after="0" w:line="1" w:lineRule="exact"/>
        <w:rPr>
          <w:sz w:val="20"/>
          <w:szCs w:val="20"/>
          <w:color w:val="auto"/>
        </w:rPr>
      </w:pPr>
    </w:p>
    <w:p>
      <w:pPr>
        <w:jc w:val="center"/>
        <w:ind w:left="1180"/>
        <w:spacing w:after="0"/>
        <w:rPr>
          <w:sz w:val="20"/>
          <w:szCs w:val="20"/>
          <w:color w:val="auto"/>
        </w:rPr>
      </w:pPr>
      <w:r>
        <w:rPr>
          <w:rFonts w:ascii="Arial" w:cs="Arial" w:eastAsia="Arial" w:hAnsi="Arial"/>
          <w:sz w:val="18"/>
          <w:szCs w:val="18"/>
          <w:u w:val="single" w:color="auto"/>
          <w:color w:val="auto"/>
        </w:rPr>
        <w:t>Effective January 1, 2015</w:t>
      </w:r>
    </w:p>
    <w:p>
      <w:pPr>
        <w:spacing w:after="0" w:line="200" w:lineRule="exact"/>
        <w:rPr>
          <w:sz w:val="20"/>
          <w:szCs w:val="20"/>
          <w:color w:val="auto"/>
        </w:rPr>
      </w:pPr>
    </w:p>
    <w:p>
      <w:pPr>
        <w:spacing w:after="0" w:line="231" w:lineRule="exact"/>
        <w:rPr>
          <w:sz w:val="20"/>
          <w:szCs w:val="20"/>
          <w:color w:val="auto"/>
        </w:rPr>
      </w:pPr>
    </w:p>
    <w:p>
      <w:pPr>
        <w:ind w:left="5520" w:hanging="163"/>
        <w:spacing w:after="0"/>
        <w:tabs>
          <w:tab w:leader="none" w:pos="552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Purpose</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purpose of this Plan is to provide a payment of approximately equivalent value from the general assets of Exxon Mobil Corporation (“Corporation”) to a participating in the ExxonMobil Savings Plan (“Savings Plan”) who, because of the application of United States Internal Revenue Code (“Code”) sections 415 and 401 is precluded from receiving employer contributions to the person's Savings Plan account to which the person would otherwise be entitled.</w:t>
      </w:r>
    </w:p>
    <w:p>
      <w:pPr>
        <w:spacing w:after="0" w:line="357" w:lineRule="exact"/>
        <w:rPr>
          <w:sz w:val="20"/>
          <w:szCs w:val="20"/>
          <w:color w:val="auto"/>
        </w:rPr>
      </w:pPr>
    </w:p>
    <w:p>
      <w:pPr>
        <w:ind w:left="5520" w:hanging="172"/>
        <w:spacing w:after="0"/>
        <w:tabs>
          <w:tab w:leader="none" w:pos="5520"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Benefits</w:t>
      </w:r>
    </w:p>
    <w:p>
      <w:pPr>
        <w:spacing w:after="0" w:line="208"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6"/>
          <w:szCs w:val="16"/>
          <w:u w:val="single" w:color="auto"/>
          <w:color w:val="auto"/>
        </w:rPr>
        <w:t>Eligibility</w:t>
      </w:r>
    </w:p>
    <w:p>
      <w:pPr>
        <w:spacing w:after="0" w:line="2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 person is eligible to receive benefits under this Plan only if the person satisfies any of the following requirements:</w:t>
      </w:r>
    </w:p>
    <w:p>
      <w:pPr>
        <w:spacing w:after="0" w:line="12" w:lineRule="exact"/>
        <w:rPr>
          <w:sz w:val="20"/>
          <w:szCs w:val="20"/>
          <w:color w:val="auto"/>
        </w:rPr>
      </w:pPr>
    </w:p>
    <w:p>
      <w:pPr>
        <w:ind w:left="1180" w:hanging="586"/>
        <w:spacing w:after="0" w:line="271" w:lineRule="auto"/>
        <w:tabs>
          <w:tab w:leader="none" w:pos="1338"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person becomes a retiree pursuant to section 4.1(A) (relating to age, service and LTD-eligibility requirements) or section 4.1(D) (relating to grow-ins in connection with certain divestments) of the ExxonMobil Common Provisions; or</w:t>
      </w:r>
    </w:p>
    <w:p>
      <w:pPr>
        <w:spacing w:after="0" w:line="124" w:lineRule="exact"/>
        <w:rPr>
          <w:rFonts w:ascii="Arial" w:cs="Arial" w:eastAsia="Arial" w:hAnsi="Arial"/>
          <w:sz w:val="16"/>
          <w:szCs w:val="16"/>
          <w:color w:val="auto"/>
        </w:rPr>
      </w:pPr>
    </w:p>
    <w:p>
      <w:pPr>
        <w:ind w:left="1220" w:hanging="626"/>
        <w:spacing w:after="0"/>
        <w:tabs>
          <w:tab w:leader="none" w:pos="12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person becomes a qualified plans retiree within the meaning of the ExxonMobil Pension Plan.</w:t>
      </w:r>
    </w:p>
    <w:p>
      <w:pPr>
        <w:spacing w:after="0" w:line="184"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5"/>
          <w:szCs w:val="15"/>
          <w:u w:val="single" w:color="auto"/>
          <w:color w:val="auto"/>
        </w:rPr>
        <w:t>Benefit Formula</w:t>
      </w:r>
    </w:p>
    <w:p>
      <w:pPr>
        <w:spacing w:after="0" w:line="24" w:lineRule="exact"/>
        <w:rPr>
          <w:sz w:val="20"/>
          <w:szCs w:val="20"/>
          <w:color w:val="auto"/>
        </w:rPr>
      </w:pPr>
    </w:p>
    <w:p>
      <w:pPr>
        <w:ind w:left="1220" w:hanging="626"/>
        <w:spacing w:after="0"/>
        <w:tabs>
          <w:tab w:leader="none" w:pos="1220"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In General</w:t>
      </w:r>
    </w:p>
    <w:p>
      <w:pPr>
        <w:spacing w:after="0" w:line="12" w:lineRule="exact"/>
        <w:rPr>
          <w:sz w:val="20"/>
          <w:szCs w:val="20"/>
          <w:color w:val="auto"/>
        </w:rPr>
      </w:pPr>
    </w:p>
    <w:p>
      <w:pPr>
        <w:jc w:val="both"/>
        <w:ind w:left="1180"/>
        <w:spacing w:after="0" w:line="272" w:lineRule="auto"/>
        <w:rPr>
          <w:sz w:val="20"/>
          <w:szCs w:val="20"/>
          <w:color w:val="auto"/>
        </w:rPr>
      </w:pPr>
      <w:r>
        <w:rPr>
          <w:rFonts w:ascii="Arial" w:cs="Arial" w:eastAsia="Arial" w:hAnsi="Arial"/>
          <w:sz w:val="15"/>
          <w:szCs w:val="15"/>
          <w:color w:val="auto"/>
        </w:rPr>
        <w:t>As to any specific Savings Plan participant the total amount of payment under this Plan is an amount that is in general determined by notionally cred a monthly basis the amount of employer contributions that cannot be made to the Savings Plan for that person as a result of application to that pe Code sections 415 and 401(a)(17); except that, for those persons who, as of December 31, 1993, are classified at level 36 and are age 50 and abov notional employer contributions made after such date are taken into account. This amount is enhanced in each instance by 120 percent of the lo Applicable Federal Rate, compounded monthly, as of the last month of each calendar quarter as published by the Internal Revenue Service, and reduced, but not below zero, by the amount, if any, of the actuarial lump-sum value of the amount payable to the participant under the ExxonMo Employee Additional Payments Plan that is not applied as an offset against the participant's benefit under the ExxonMobil Additional Payments Pla ExxonMobil Supplemental Pension Plan. For this purpose, the actuarial lump-sum value shall be determined using the mortality and inter assumptions set out in the ExxonMobil Pension Accounts Instrument.</w:t>
      </w:r>
    </w:p>
    <w:p>
      <w:pPr>
        <w:spacing w:after="0" w:line="5" w:lineRule="exact"/>
        <w:rPr>
          <w:sz w:val="20"/>
          <w:szCs w:val="20"/>
          <w:color w:val="auto"/>
        </w:rPr>
      </w:pPr>
    </w:p>
    <w:p>
      <w:pPr>
        <w:ind w:left="1220" w:hanging="626"/>
        <w:spacing w:after="0"/>
        <w:tabs>
          <w:tab w:leader="none" w:pos="122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Notional Interest Rate for Key Employees after Termination or Retirement</w:t>
      </w:r>
    </w:p>
    <w:p>
      <w:pPr>
        <w:spacing w:after="0" w:line="12" w:lineRule="exact"/>
        <w:rPr>
          <w:sz w:val="20"/>
          <w:szCs w:val="20"/>
          <w:color w:val="auto"/>
        </w:rPr>
      </w:pPr>
    </w:p>
    <w:p>
      <w:pPr>
        <w:jc w:val="both"/>
        <w:ind w:left="1180"/>
        <w:spacing w:after="0" w:line="260" w:lineRule="auto"/>
        <w:rPr>
          <w:sz w:val="20"/>
          <w:szCs w:val="20"/>
          <w:color w:val="auto"/>
        </w:rPr>
      </w:pPr>
      <w:r>
        <w:rPr>
          <w:rFonts w:ascii="Arial" w:cs="Arial" w:eastAsia="Arial" w:hAnsi="Arial"/>
          <w:sz w:val="16"/>
          <w:szCs w:val="16"/>
          <w:color w:val="auto"/>
        </w:rPr>
        <w:t>As to a participant who, immediately prior to his or her termination or retirement, has a Classification Level of 36 or above (“Key Employee”), "120 of the long-term Applicable Federal Rate, compounded monthly, as of the last month of each calendar quarter as published by the Internal Revenue S in paragraph (A) above shall be replaced with "Citibank Prime Lending Rate as of the last business day of each calendar quarter" for the period betwe of termination or retirement and date of payment.</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5"/>
          <w:szCs w:val="15"/>
          <w:u w:val="single" w:color="auto"/>
          <w:color w:val="auto"/>
        </w:rPr>
        <w:t>Calculation Methodology</w:t>
      </w:r>
    </w:p>
    <w:p>
      <w:pPr>
        <w:spacing w:after="0" w:line="2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exact methodology used in determining such monthly credits and interest thereon will be established from time to time by the Plan Administrator.</w:t>
      </w:r>
    </w:p>
    <w:p>
      <w:pPr>
        <w:spacing w:after="0" w:line="2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guidelines to be followed are:</w:t>
      </w:r>
    </w:p>
    <w:p>
      <w:pPr>
        <w:spacing w:after="0" w:line="12" w:lineRule="exact"/>
        <w:rPr>
          <w:sz w:val="20"/>
          <w:szCs w:val="20"/>
          <w:color w:val="auto"/>
        </w:rPr>
      </w:pPr>
    </w:p>
    <w:p>
      <w:pPr>
        <w:ind w:left="1220" w:hanging="626"/>
        <w:spacing w:after="0"/>
        <w:tabs>
          <w:tab w:leader="none" w:pos="122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Required Participant Contributions</w:t>
      </w:r>
    </w:p>
    <w:p>
      <w:pPr>
        <w:spacing w:after="0" w:line="12" w:lineRule="exact"/>
        <w:rPr>
          <w:sz w:val="20"/>
          <w:szCs w:val="20"/>
          <w:color w:val="auto"/>
        </w:rPr>
      </w:pPr>
    </w:p>
    <w:p>
      <w:pPr>
        <w:ind w:left="1180" w:right="60"/>
        <w:spacing w:after="0" w:line="255" w:lineRule="auto"/>
        <w:rPr>
          <w:sz w:val="20"/>
          <w:szCs w:val="20"/>
          <w:color w:val="auto"/>
        </w:rPr>
      </w:pPr>
      <w:r>
        <w:rPr>
          <w:rFonts w:ascii="Arial" w:cs="Arial" w:eastAsia="Arial" w:hAnsi="Arial"/>
          <w:sz w:val="16"/>
          <w:szCs w:val="16"/>
          <w:color w:val="auto"/>
        </w:rPr>
        <w:t>To the extent determined by those administering this Plan, a person is required to make regular employee contributions to the person's Savings Plan up to the maximum permitted by the Code to receive credits under this Plan.</w:t>
      </w:r>
    </w:p>
    <w:p>
      <w:pPr>
        <w:spacing w:after="0" w:line="1" w:lineRule="exact"/>
        <w:rPr>
          <w:sz w:val="20"/>
          <w:szCs w:val="20"/>
          <w:color w:val="auto"/>
        </w:rPr>
      </w:pPr>
    </w:p>
    <w:p>
      <w:pPr>
        <w:ind w:left="1220" w:hanging="626"/>
        <w:spacing w:after="0"/>
        <w:tabs>
          <w:tab w:leader="none" w:pos="122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Discretionary Employee Contributions</w:t>
      </w:r>
    </w:p>
    <w:p>
      <w:pPr>
        <w:spacing w:after="0" w:line="12" w:lineRule="exact"/>
        <w:rPr>
          <w:sz w:val="20"/>
          <w:szCs w:val="20"/>
          <w:color w:val="auto"/>
        </w:rPr>
      </w:pPr>
    </w:p>
    <w:p>
      <w:pPr>
        <w:ind w:left="1180" w:right="100"/>
        <w:spacing w:after="0" w:line="271" w:lineRule="auto"/>
        <w:rPr>
          <w:sz w:val="20"/>
          <w:szCs w:val="20"/>
          <w:color w:val="auto"/>
        </w:rPr>
      </w:pPr>
      <w:r>
        <w:rPr>
          <w:rFonts w:ascii="Arial" w:cs="Arial" w:eastAsia="Arial" w:hAnsi="Arial"/>
          <w:sz w:val="16"/>
          <w:szCs w:val="16"/>
          <w:color w:val="auto"/>
        </w:rPr>
        <w:t>Prior to July 1, 2002, a person may not enhance the amounts credited under this Plan by making discretionary employee contributions to the Savings Plan account.</w:t>
      </w:r>
    </w:p>
    <w:p>
      <w:pPr>
        <w:spacing w:after="0" w:line="382"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549910</wp:posOffset>
            </wp:positionV>
            <wp:extent cx="7279640" cy="203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968" w:right="139" w:bottom="1440" w:gutter="0" w:footer="0" w:header="0"/>
        </w:sectPr>
      </w:pPr>
    </w:p>
    <w:bookmarkStart w:id="124" w:name="page125"/>
    <w:bookmarkEnd w:id="124"/>
    <w:p>
      <w:pPr>
        <w:ind w:left="5140" w:hanging="166"/>
        <w:spacing w:after="0"/>
        <w:tabs>
          <w:tab w:leader="none" w:pos="514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Payment of Benefits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Payment of the benefit determined under article 2 above shall be made in a lump sum as soon as practicable following the latest of the following times:</w:t>
      </w:r>
    </w:p>
    <w:p>
      <w:pPr>
        <w:spacing w:after="0" w:line="24" w:lineRule="exact"/>
        <w:rPr>
          <w:sz w:val="20"/>
          <w:szCs w:val="20"/>
          <w:color w:val="auto"/>
        </w:rPr>
      </w:pPr>
    </w:p>
    <w:p>
      <w:pPr>
        <w:ind w:left="1220" w:hanging="626"/>
        <w:spacing w:after="0"/>
        <w:tabs>
          <w:tab w:leader="none" w:pos="12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participant’s retirement from ExxonMobil;</w:t>
      </w:r>
    </w:p>
    <w:p>
      <w:pPr>
        <w:spacing w:after="0" w:line="12" w:lineRule="exact"/>
        <w:rPr>
          <w:rFonts w:ascii="Arial" w:cs="Arial" w:eastAsia="Arial" w:hAnsi="Arial"/>
          <w:sz w:val="16"/>
          <w:szCs w:val="16"/>
          <w:color w:val="auto"/>
        </w:rPr>
      </w:pPr>
    </w:p>
    <w:p>
      <w:pPr>
        <w:ind w:left="1220" w:hanging="626"/>
        <w:spacing w:after="0"/>
        <w:tabs>
          <w:tab w:leader="none" w:pos="12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the case of a Key Employee, the six-month anniversary of the participant's termination of employment or retirement;</w:t>
      </w:r>
    </w:p>
    <w:p>
      <w:pPr>
        <w:spacing w:after="0" w:line="12" w:lineRule="exact"/>
        <w:rPr>
          <w:rFonts w:ascii="Arial" w:cs="Arial" w:eastAsia="Arial" w:hAnsi="Arial"/>
          <w:sz w:val="16"/>
          <w:szCs w:val="16"/>
          <w:color w:val="auto"/>
        </w:rPr>
      </w:pPr>
    </w:p>
    <w:p>
      <w:pPr>
        <w:ind w:left="1180" w:right="20" w:hanging="586"/>
        <w:spacing w:after="0" w:line="255" w:lineRule="auto"/>
        <w:tabs>
          <w:tab w:leader="none" w:pos="1218"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the case of a participant whose Savings Plan account is transferred to a savings plan sponsored by Infineum USA Inc. or any of its affiliates ("Infi the participant’s termination of employment from Infineum; or</w:t>
      </w:r>
    </w:p>
    <w:p>
      <w:pPr>
        <w:spacing w:after="0" w:line="1" w:lineRule="exact"/>
        <w:rPr>
          <w:rFonts w:ascii="Arial" w:cs="Arial" w:eastAsia="Arial" w:hAnsi="Arial"/>
          <w:sz w:val="16"/>
          <w:szCs w:val="16"/>
          <w:color w:val="auto"/>
        </w:rPr>
      </w:pPr>
    </w:p>
    <w:p>
      <w:pPr>
        <w:ind w:left="1180" w:hanging="586"/>
        <w:spacing w:after="0" w:line="271" w:lineRule="auto"/>
        <w:tabs>
          <w:tab w:leader="none" w:pos="1275"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the case of a participant whose Savings Plan account is transferred to a savings plan sponsored by Tenneco, Inc. or any of its affiliates ("Tennec participant’s termination of employment from Tenneco.</w:t>
      </w:r>
    </w:p>
    <w:p>
      <w:pPr>
        <w:spacing w:after="0" w:line="308" w:lineRule="exact"/>
        <w:rPr>
          <w:sz w:val="20"/>
          <w:szCs w:val="20"/>
          <w:color w:val="auto"/>
        </w:rPr>
      </w:pPr>
    </w:p>
    <w:p>
      <w:pPr>
        <w:ind w:left="5100" w:hanging="162"/>
        <w:spacing w:after="0"/>
        <w:tabs>
          <w:tab w:leader="none" w:pos="5100"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Payment Upon Death</w:t>
      </w:r>
    </w:p>
    <w:p>
      <w:pPr>
        <w:spacing w:after="0" w:line="208"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4"/>
          <w:szCs w:val="14"/>
          <w:u w:val="single" w:color="auto"/>
          <w:color w:val="auto"/>
        </w:rPr>
        <w:t>In General</w:t>
      </w:r>
    </w:p>
    <w:p>
      <w:pPr>
        <w:spacing w:after="0" w:line="24" w:lineRule="exact"/>
        <w:rPr>
          <w:sz w:val="20"/>
          <w:szCs w:val="20"/>
          <w:color w:val="auto"/>
        </w:rPr>
      </w:pPr>
    </w:p>
    <w:p>
      <w:pPr>
        <w:ind w:left="600"/>
        <w:spacing w:after="0" w:line="326" w:lineRule="auto"/>
        <w:rPr>
          <w:sz w:val="20"/>
          <w:szCs w:val="20"/>
          <w:color w:val="auto"/>
        </w:rPr>
      </w:pPr>
      <w:r>
        <w:rPr>
          <w:rFonts w:ascii="Arial" w:cs="Arial" w:eastAsia="Arial" w:hAnsi="Arial"/>
          <w:sz w:val="14"/>
          <w:szCs w:val="14"/>
          <w:color w:val="auto"/>
        </w:rPr>
        <w:t>If a person dies as an employee with eligibility for a pension death benefit under the ExxonMobil Pension Plan or as a retiree but before his benefit under this distributed to him, then such benefit shall be distributed as soon as practicable after death to the person’s beneficiary determined under section 4.2 below.</w:t>
      </w:r>
    </w:p>
    <w:p>
      <w:pPr>
        <w:spacing w:after="0" w:line="286"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5"/>
          <w:szCs w:val="15"/>
          <w:u w:val="single" w:color="auto"/>
          <w:color w:val="auto"/>
        </w:rPr>
        <w:t>Designation of Beneficiaries</w:t>
      </w:r>
    </w:p>
    <w:p>
      <w:pPr>
        <w:spacing w:after="0" w:line="24" w:lineRule="exact"/>
        <w:rPr>
          <w:sz w:val="20"/>
          <w:szCs w:val="20"/>
          <w:color w:val="auto"/>
        </w:rPr>
      </w:pPr>
    </w:p>
    <w:p>
      <w:pPr>
        <w:ind w:left="1220" w:hanging="626"/>
        <w:spacing w:after="0"/>
        <w:tabs>
          <w:tab w:leader="none" w:pos="1220"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In General</w:t>
      </w:r>
    </w:p>
    <w:p>
      <w:pPr>
        <w:spacing w:after="0" w:line="12" w:lineRule="exact"/>
        <w:rPr>
          <w:sz w:val="20"/>
          <w:szCs w:val="20"/>
          <w:color w:val="auto"/>
        </w:rPr>
      </w:pPr>
    </w:p>
    <w:p>
      <w:pPr>
        <w:jc w:val="both"/>
        <w:ind w:left="1180" w:right="20"/>
        <w:spacing w:after="0" w:line="255" w:lineRule="auto"/>
        <w:rPr>
          <w:sz w:val="20"/>
          <w:szCs w:val="20"/>
          <w:color w:val="auto"/>
        </w:rPr>
      </w:pPr>
      <w:r>
        <w:rPr>
          <w:rFonts w:ascii="Arial" w:cs="Arial" w:eastAsia="Arial" w:hAnsi="Arial"/>
          <w:sz w:val="16"/>
          <w:szCs w:val="16"/>
          <w:color w:val="auto"/>
        </w:rPr>
        <w:t>A person entitled to receive a payment under this Plan may name one or more designated beneficiaries to receive such payment in the event of the death. Beneficiary designations shall be made in accordance with such procedures as the Plan Administrator may establish. Spousal consent designation is not required.</w:t>
      </w:r>
    </w:p>
    <w:p>
      <w:pPr>
        <w:spacing w:after="0" w:line="2" w:lineRule="exact"/>
        <w:rPr>
          <w:sz w:val="20"/>
          <w:szCs w:val="20"/>
          <w:color w:val="auto"/>
        </w:rPr>
      </w:pPr>
    </w:p>
    <w:p>
      <w:pPr>
        <w:ind w:left="1220" w:hanging="626"/>
        <w:spacing w:after="0"/>
        <w:tabs>
          <w:tab w:leader="none" w:pos="122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Default Beneficiaries</w:t>
      </w:r>
    </w:p>
    <w:p>
      <w:pPr>
        <w:spacing w:after="0" w:line="12" w:lineRule="exact"/>
        <w:rPr>
          <w:rFonts w:ascii="Arial" w:cs="Arial" w:eastAsia="Arial" w:hAnsi="Arial"/>
          <w:sz w:val="16"/>
          <w:szCs w:val="16"/>
          <w:color w:val="auto"/>
        </w:rPr>
      </w:pPr>
    </w:p>
    <w:p>
      <w:pPr>
        <w:ind w:left="1820" w:hanging="638"/>
        <w:spacing w:after="0"/>
        <w:tabs>
          <w:tab w:leader="none" w:pos="1820"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In General</w:t>
      </w:r>
    </w:p>
    <w:p>
      <w:pPr>
        <w:spacing w:after="0" w:line="12" w:lineRule="exact"/>
        <w:rPr>
          <w:sz w:val="20"/>
          <w:szCs w:val="20"/>
          <w:color w:val="auto"/>
        </w:rPr>
      </w:pPr>
    </w:p>
    <w:p>
      <w:pPr>
        <w:ind w:left="1780"/>
        <w:spacing w:after="0" w:line="255" w:lineRule="auto"/>
        <w:rPr>
          <w:sz w:val="20"/>
          <w:szCs w:val="20"/>
          <w:color w:val="auto"/>
        </w:rPr>
      </w:pPr>
      <w:r>
        <w:rPr>
          <w:rFonts w:ascii="Arial" w:cs="Arial" w:eastAsia="Arial" w:hAnsi="Arial"/>
          <w:sz w:val="16"/>
          <w:szCs w:val="16"/>
          <w:color w:val="auto"/>
        </w:rPr>
        <w:t>If no specific designation is in effect, the deceased’s beneficiary is the person or persons in the first of the following classes of suc beneficiaries living at the time of death of the deceased:</w:t>
      </w:r>
    </w:p>
    <w:p>
      <w:pPr>
        <w:spacing w:after="0" w:line="1" w:lineRule="exact"/>
        <w:rPr>
          <w:sz w:val="20"/>
          <w:szCs w:val="20"/>
          <w:color w:val="auto"/>
        </w:rPr>
      </w:pPr>
    </w:p>
    <w:p>
      <w:pPr>
        <w:ind w:left="2400" w:hanging="629"/>
        <w:spacing w:after="0"/>
        <w:tabs>
          <w:tab w:leader="none" w:pos="24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spouse;</w:t>
      </w:r>
    </w:p>
    <w:p>
      <w:pPr>
        <w:spacing w:after="0" w:line="12" w:lineRule="exact"/>
        <w:rPr>
          <w:rFonts w:ascii="Arial" w:cs="Arial" w:eastAsia="Arial" w:hAnsi="Arial"/>
          <w:sz w:val="16"/>
          <w:szCs w:val="16"/>
          <w:color w:val="auto"/>
        </w:rPr>
      </w:pPr>
    </w:p>
    <w:p>
      <w:pPr>
        <w:ind w:left="2420" w:hanging="649"/>
        <w:spacing w:after="0"/>
        <w:tabs>
          <w:tab w:leader="none" w:pos="24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children who survive the participant or who die before the participant leaving children of their own who survive the participant;</w:t>
      </w:r>
    </w:p>
    <w:p>
      <w:pPr>
        <w:spacing w:after="0" w:line="23" w:lineRule="exact"/>
        <w:rPr>
          <w:rFonts w:ascii="Arial" w:cs="Arial" w:eastAsia="Arial" w:hAnsi="Arial"/>
          <w:sz w:val="15"/>
          <w:szCs w:val="15"/>
          <w:color w:val="auto"/>
        </w:rPr>
      </w:pPr>
    </w:p>
    <w:p>
      <w:pPr>
        <w:ind w:left="2400" w:hanging="629"/>
        <w:spacing w:after="0"/>
        <w:tabs>
          <w:tab w:leader="none" w:pos="24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parents;</w:t>
      </w:r>
    </w:p>
    <w:p>
      <w:pPr>
        <w:spacing w:after="0" w:line="12" w:lineRule="exact"/>
        <w:rPr>
          <w:rFonts w:ascii="Arial" w:cs="Arial" w:eastAsia="Arial" w:hAnsi="Arial"/>
          <w:sz w:val="16"/>
          <w:szCs w:val="16"/>
          <w:color w:val="auto"/>
        </w:rPr>
      </w:pPr>
    </w:p>
    <w:p>
      <w:pPr>
        <w:ind w:left="2680" w:hanging="909"/>
        <w:spacing w:after="0"/>
        <w:tabs>
          <w:tab w:leader="none" w:pos="26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brothers and sisters who survive the participant or who die before the participant leaving children of their own who surv</w:t>
      </w:r>
    </w:p>
    <w:p>
      <w:pPr>
        <w:spacing w:after="0" w:line="24"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participant.</w:t>
      </w:r>
    </w:p>
    <w:p>
      <w:pPr>
        <w:spacing w:after="0" w:line="12"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If there are no members of any class of such beneficiaries, payment is made to the deceased’s executors or administrators.</w:t>
      </w:r>
    </w:p>
    <w:p>
      <w:pPr>
        <w:spacing w:after="0" w:line="12" w:lineRule="exact"/>
        <w:rPr>
          <w:sz w:val="20"/>
          <w:szCs w:val="20"/>
          <w:color w:val="auto"/>
        </w:rPr>
      </w:pPr>
    </w:p>
    <w:p>
      <w:pPr>
        <w:ind w:left="1820" w:hanging="638"/>
        <w:spacing w:after="0"/>
        <w:tabs>
          <w:tab w:leader="none" w:pos="182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Allocation among Default Beneficiaries</w:t>
      </w:r>
    </w:p>
    <w:p>
      <w:pPr>
        <w:spacing w:after="0" w:line="12" w:lineRule="exact"/>
        <w:rPr>
          <w:sz w:val="20"/>
          <w:szCs w:val="20"/>
          <w:color w:val="auto"/>
        </w:rPr>
      </w:pPr>
    </w:p>
    <w:p>
      <w:pPr>
        <w:jc w:val="both"/>
        <w:ind w:left="1780"/>
        <w:spacing w:after="0" w:line="255" w:lineRule="auto"/>
        <w:rPr>
          <w:sz w:val="20"/>
          <w:szCs w:val="20"/>
          <w:color w:val="auto"/>
        </w:rPr>
      </w:pPr>
      <w:r>
        <w:rPr>
          <w:rFonts w:ascii="Arial" w:cs="Arial" w:eastAsia="Arial" w:hAnsi="Arial"/>
          <w:sz w:val="16"/>
          <w:szCs w:val="16"/>
          <w:color w:val="auto"/>
        </w:rPr>
        <w:t>If the same class of beneficiaries under paragraph (1) above contains two or more persons, they share equally, with further subdivision equal shares as next provided. In class (b), where a child dies before the participant leaving children who survive the participant, such child is subdivided equally among those children. In class (d), where a brother or sister dies before the participant leaving children who surv participant, such brother or sister's share is subdivided equally among those children.</w:t>
      </w:r>
    </w:p>
    <w:p>
      <w:pPr>
        <w:spacing w:after="0" w:line="2" w:lineRule="exact"/>
        <w:rPr>
          <w:sz w:val="20"/>
          <w:szCs w:val="20"/>
          <w:color w:val="auto"/>
        </w:rPr>
      </w:pPr>
    </w:p>
    <w:p>
      <w:pPr>
        <w:ind w:left="1820" w:hanging="638"/>
        <w:spacing w:after="0"/>
        <w:tabs>
          <w:tab w:leader="none" w:pos="1820"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Definitions</w:t>
      </w:r>
    </w:p>
    <w:p>
      <w:pPr>
        <w:spacing w:after="0" w:line="12" w:lineRule="exact"/>
        <w:rPr>
          <w:sz w:val="20"/>
          <w:szCs w:val="20"/>
          <w:color w:val="auto"/>
        </w:rPr>
      </w:pPr>
    </w:p>
    <w:p>
      <w:pPr>
        <w:jc w:val="both"/>
        <w:ind w:left="1780" w:right="80"/>
        <w:spacing w:after="0" w:line="263" w:lineRule="auto"/>
        <w:rPr>
          <w:sz w:val="20"/>
          <w:szCs w:val="20"/>
          <w:color w:val="auto"/>
        </w:rPr>
      </w:pPr>
      <w:r>
        <w:rPr>
          <w:rFonts w:ascii="Arial" w:cs="Arial" w:eastAsia="Arial" w:hAnsi="Arial"/>
          <w:sz w:val="16"/>
          <w:szCs w:val="16"/>
          <w:color w:val="auto"/>
        </w:rPr>
        <w:t>For purposes of this Section 4.2, "child" means a person's son or daughter by legitimate blood relationship or legal adoption; "parent" person's father or mother by legitimate blood relationship or legal adoption; "brother" or "sister" means another child of either or both parents.</w:t>
      </w:r>
    </w:p>
    <w:p>
      <w:pPr>
        <w:spacing w:after="0" w:line="168" w:lineRule="exact"/>
        <w:rPr>
          <w:sz w:val="20"/>
          <w:szCs w:val="20"/>
          <w:color w:val="auto"/>
        </w:rPr>
      </w:pPr>
    </w:p>
    <w:p>
      <w:pPr>
        <w:ind w:left="5320" w:hanging="172"/>
        <w:spacing w:after="0"/>
        <w:tabs>
          <w:tab w:leader="none" w:pos="5320"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Miscellaneous</w:t>
      </w:r>
    </w:p>
    <w:p>
      <w:pPr>
        <w:spacing w:after="0" w:line="208"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5"/>
          <w:szCs w:val="15"/>
          <w:u w:val="single" w:color="auto"/>
          <w:color w:val="auto"/>
        </w:rPr>
        <w:t>Administration of Plan</w:t>
      </w:r>
    </w:p>
    <w:p>
      <w:pPr>
        <w:spacing w:after="0" w:line="24" w:lineRule="exact"/>
        <w:rPr>
          <w:sz w:val="20"/>
          <w:szCs w:val="20"/>
          <w:color w:val="auto"/>
        </w:rPr>
      </w:pPr>
    </w:p>
    <w:p>
      <w:pPr>
        <w:jc w:val="both"/>
        <w:ind w:left="600" w:right="20"/>
        <w:spacing w:after="0" w:line="259" w:lineRule="auto"/>
        <w:rPr>
          <w:sz w:val="20"/>
          <w:szCs w:val="20"/>
          <w:color w:val="auto"/>
        </w:rPr>
      </w:pPr>
      <w:r>
        <w:rPr>
          <w:rFonts w:ascii="Arial" w:cs="Arial" w:eastAsia="Arial" w:hAnsi="Arial"/>
          <w:sz w:val="16"/>
          <w:szCs w:val="16"/>
          <w:color w:val="auto"/>
        </w:rPr>
        <w:t>The Plan Administrator shall be the Manager, Compensation, Benefit Plans and Policies, Human Resources Department, Exxon Mobil Corporation. T Administrator shall have the right and authority to conclusively interpret this Plan for all purposes, including the determination of any person’s eligibility for hereunder and the resolution of any and all appeals relating to claims by participants or beneficiaries, with any such interpretation being conclusive participants and beneficiaries.</w:t>
      </w:r>
    </w:p>
    <w:p>
      <w:pPr>
        <w:spacing w:after="0" w:line="3"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549910</wp:posOffset>
            </wp:positionV>
            <wp:extent cx="7279640" cy="203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776" w:right="139" w:bottom="1440" w:gutter="0" w:footer="0" w:header="0"/>
        </w:sectPr>
      </w:pPr>
    </w:p>
    <w:bookmarkStart w:id="125" w:name="page126"/>
    <w:bookmarkEnd w:id="125"/>
    <w:p>
      <w:pPr>
        <w:spacing w:after="0"/>
        <w:tabs>
          <w:tab w:leader="none" w:pos="60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4"/>
          <w:szCs w:val="14"/>
          <w:u w:val="single" w:color="auto"/>
          <w:color w:val="auto"/>
        </w:rPr>
        <w:t>Nature of Payments</w:t>
      </w:r>
    </w:p>
    <w:p>
      <w:pPr>
        <w:spacing w:after="0" w:line="2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Payments provided under this Plan are considered general obligations of the Corporation.</w:t>
      </w:r>
    </w:p>
    <w:p>
      <w:pPr>
        <w:spacing w:after="0" w:line="197"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5"/>
          <w:szCs w:val="15"/>
          <w:u w:val="single" w:color="auto"/>
          <w:color w:val="auto"/>
        </w:rPr>
        <w:t>Assignment or Alienation</w:t>
      </w:r>
    </w:p>
    <w:p>
      <w:pPr>
        <w:spacing w:after="0" w:line="2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Except as provided in section 5.5 below, payments provided under this Plan may not be assigned or otherwise alienated or pledged.</w:t>
      </w:r>
    </w:p>
    <w:p>
      <w:pPr>
        <w:spacing w:after="0" w:line="197"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5"/>
          <w:szCs w:val="15"/>
          <w:u w:val="single" w:color="auto"/>
          <w:color w:val="auto"/>
        </w:rPr>
        <w:t>Amendment or Termination</w:t>
      </w:r>
    </w:p>
    <w:p>
      <w:pPr>
        <w:spacing w:after="0" w:line="24" w:lineRule="exact"/>
        <w:rPr>
          <w:sz w:val="20"/>
          <w:szCs w:val="20"/>
          <w:color w:val="auto"/>
        </w:rPr>
      </w:pPr>
    </w:p>
    <w:p>
      <w:pPr>
        <w:ind w:left="600" w:right="80"/>
        <w:spacing w:after="0" w:line="271" w:lineRule="auto"/>
        <w:rPr>
          <w:sz w:val="20"/>
          <w:szCs w:val="20"/>
          <w:color w:val="auto"/>
        </w:rPr>
      </w:pPr>
      <w:r>
        <w:rPr>
          <w:rFonts w:ascii="Arial" w:cs="Arial" w:eastAsia="Arial" w:hAnsi="Arial"/>
          <w:sz w:val="16"/>
          <w:szCs w:val="16"/>
          <w:color w:val="auto"/>
        </w:rPr>
        <w:t>The Corporation reserves the right to amend or terminate this plan, in whole or in part, including the right at any time to reduce or eliminate any accrued hereunder and to alter or amend the benefit formula set out herein.</w:t>
      </w:r>
    </w:p>
    <w:p>
      <w:pPr>
        <w:spacing w:after="0" w:line="161"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5.5</w:t>
      </w:r>
      <w:r>
        <w:rPr>
          <w:sz w:val="20"/>
          <w:szCs w:val="20"/>
          <w:color w:val="auto"/>
        </w:rPr>
        <w:tab/>
      </w:r>
      <w:r>
        <w:rPr>
          <w:rFonts w:ascii="Arial" w:cs="Arial" w:eastAsia="Arial" w:hAnsi="Arial"/>
          <w:sz w:val="15"/>
          <w:szCs w:val="15"/>
          <w:u w:val="single" w:color="auto"/>
          <w:color w:val="auto"/>
        </w:rPr>
        <w:t>Forfeiture of Benefits</w:t>
      </w:r>
    </w:p>
    <w:p>
      <w:pPr>
        <w:spacing w:after="0" w:line="24" w:lineRule="exact"/>
        <w:rPr>
          <w:sz w:val="20"/>
          <w:szCs w:val="20"/>
          <w:color w:val="auto"/>
        </w:rPr>
      </w:pPr>
    </w:p>
    <w:p>
      <w:pPr>
        <w:jc w:val="both"/>
        <w:ind w:left="600"/>
        <w:spacing w:after="0" w:line="255" w:lineRule="auto"/>
        <w:rPr>
          <w:sz w:val="20"/>
          <w:szCs w:val="20"/>
          <w:color w:val="auto"/>
        </w:rPr>
      </w:pPr>
      <w:r>
        <w:rPr>
          <w:rFonts w:ascii="Arial" w:cs="Arial" w:eastAsia="Arial" w:hAnsi="Arial"/>
          <w:sz w:val="16"/>
          <w:szCs w:val="16"/>
          <w:color w:val="auto"/>
        </w:rPr>
        <w:t>No person shall be entitled to receive payments under this Plan and any payments received under this Plan shall be forfeited and returned if it is determined Corporation in its sole discretion, acting through its chief executive or such person or committee as the chief executive may designate, that a person ot entitled to a payment under this Plan or who has commenced receiving payments under this Plan:</w:t>
      </w:r>
    </w:p>
    <w:p>
      <w:pPr>
        <w:spacing w:after="0" w:line="2" w:lineRule="exact"/>
        <w:rPr>
          <w:sz w:val="20"/>
          <w:szCs w:val="20"/>
          <w:color w:val="auto"/>
        </w:rPr>
      </w:pPr>
    </w:p>
    <w:p>
      <w:pPr>
        <w:ind w:left="1220" w:hanging="626"/>
        <w:spacing w:after="0"/>
        <w:tabs>
          <w:tab w:leader="none" w:pos="12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engaged in gross misconduct harmful to the Corporation,</w:t>
      </w:r>
    </w:p>
    <w:p>
      <w:pPr>
        <w:spacing w:after="0" w:line="12" w:lineRule="exact"/>
        <w:rPr>
          <w:rFonts w:ascii="Arial" w:cs="Arial" w:eastAsia="Arial" w:hAnsi="Arial"/>
          <w:sz w:val="16"/>
          <w:szCs w:val="16"/>
          <w:color w:val="auto"/>
        </w:rPr>
      </w:pPr>
    </w:p>
    <w:p>
      <w:pPr>
        <w:ind w:left="1220" w:hanging="626"/>
        <w:spacing w:after="0"/>
        <w:tabs>
          <w:tab w:leader="none" w:pos="12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committed a criminal violation harmful to the Corporation,</w:t>
      </w:r>
    </w:p>
    <w:p>
      <w:pPr>
        <w:spacing w:after="0" w:line="12" w:lineRule="exact"/>
        <w:rPr>
          <w:rFonts w:ascii="Arial" w:cs="Arial" w:eastAsia="Arial" w:hAnsi="Arial"/>
          <w:sz w:val="16"/>
          <w:szCs w:val="16"/>
          <w:color w:val="auto"/>
        </w:rPr>
      </w:pPr>
    </w:p>
    <w:p>
      <w:pPr>
        <w:ind w:left="1180" w:hanging="586"/>
        <w:spacing w:after="0" w:line="255" w:lineRule="auto"/>
        <w:tabs>
          <w:tab w:leader="none" w:pos="1261" w:val="left"/>
        </w:tabs>
        <w:numPr>
          <w:ilvl w:val="0"/>
          <w:numId w:val="71"/>
        </w:numPr>
        <w:rPr>
          <w:rFonts w:ascii="Arial" w:cs="Arial" w:eastAsia="Arial" w:hAnsi="Arial"/>
          <w:sz w:val="16"/>
          <w:szCs w:val="16"/>
          <w:color w:val="auto"/>
        </w:rPr>
      </w:pPr>
      <w:r>
        <w:rPr>
          <w:rFonts w:ascii="Arial" w:cs="Arial" w:eastAsia="Arial" w:hAnsi="Arial"/>
          <w:sz w:val="16"/>
          <w:szCs w:val="16"/>
          <w:color w:val="auto"/>
        </w:rPr>
        <w:t>had concealed actions described in paragraph (A) or (B) above which would have brought about termination from employment thereby making the ineligible for benefits under this Plan,</w:t>
      </w:r>
    </w:p>
    <w:p>
      <w:pPr>
        <w:spacing w:after="0" w:line="1" w:lineRule="exact"/>
        <w:rPr>
          <w:rFonts w:ascii="Arial" w:cs="Arial" w:eastAsia="Arial" w:hAnsi="Arial"/>
          <w:sz w:val="16"/>
          <w:szCs w:val="16"/>
          <w:color w:val="auto"/>
        </w:rPr>
      </w:pPr>
    </w:p>
    <w:p>
      <w:pPr>
        <w:ind w:left="1180" w:hanging="586"/>
        <w:spacing w:after="0" w:line="255" w:lineRule="auto"/>
        <w:tabs>
          <w:tab w:leader="none" w:pos="1277" w:val="left"/>
        </w:tabs>
        <w:numPr>
          <w:ilvl w:val="0"/>
          <w:numId w:val="71"/>
        </w:numPr>
        <w:rPr>
          <w:rFonts w:ascii="Arial" w:cs="Arial" w:eastAsia="Arial" w:hAnsi="Arial"/>
          <w:sz w:val="16"/>
          <w:szCs w:val="16"/>
          <w:color w:val="auto"/>
        </w:rPr>
      </w:pPr>
      <w:r>
        <w:rPr>
          <w:rFonts w:ascii="Arial" w:cs="Arial" w:eastAsia="Arial" w:hAnsi="Arial"/>
          <w:sz w:val="16"/>
          <w:szCs w:val="16"/>
          <w:color w:val="auto"/>
        </w:rPr>
        <w:t>separated from service prior to attaining age 65 without having received from the Corporation or its delegatee prior written approval for such term given in the sole discretion of the Corporation or its delegatee</w:t>
      </w:r>
    </w:p>
    <w:p>
      <w:pPr>
        <w:spacing w:after="0" w:line="1"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6"/>
          <w:szCs w:val="16"/>
          <w:color w:val="auto"/>
        </w:rPr>
        <w:t>and in the context of recognition that benefits under this Plan would not be forfeited upon such termination, or</w:t>
      </w:r>
    </w:p>
    <w:p>
      <w:pPr>
        <w:spacing w:after="0" w:line="12" w:lineRule="exact"/>
        <w:rPr>
          <w:rFonts w:ascii="Arial" w:cs="Arial" w:eastAsia="Arial" w:hAnsi="Arial"/>
          <w:sz w:val="16"/>
          <w:szCs w:val="16"/>
          <w:color w:val="auto"/>
        </w:rPr>
      </w:pPr>
    </w:p>
    <w:p>
      <w:pPr>
        <w:ind w:left="1260" w:hanging="666"/>
        <w:spacing w:after="0"/>
        <w:tabs>
          <w:tab w:leader="none" w:pos="12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had been terminated for cause.</w:t>
      </w:r>
    </w:p>
    <w:p>
      <w:pPr>
        <w:spacing w:after="0" w:line="200" w:lineRule="exact"/>
        <w:rPr>
          <w:sz w:val="20"/>
          <w:szCs w:val="20"/>
          <w:color w:val="auto"/>
        </w:rPr>
      </w:pPr>
    </w:p>
    <w:p>
      <w:pPr>
        <w:spacing w:after="0" w:line="389"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557530</wp:posOffset>
            </wp:positionV>
            <wp:extent cx="7279640" cy="203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972" w:right="139" w:bottom="1440" w:gutter="0" w:footer="0" w:header="0"/>
        </w:sectPr>
      </w:pPr>
    </w:p>
    <w:bookmarkStart w:id="126" w:name="page127"/>
    <w:bookmarkEnd w:id="126"/>
    <w:p>
      <w:pPr>
        <w:jc w:val="center"/>
        <w:ind w:left="1180"/>
        <w:spacing w:after="0"/>
        <w:rPr>
          <w:sz w:val="20"/>
          <w:szCs w:val="20"/>
          <w:color w:val="auto"/>
        </w:rPr>
      </w:pPr>
      <w:r>
        <w:rPr>
          <w:rFonts w:ascii="Arial" w:cs="Arial" w:eastAsia="Arial" w:hAnsi="Arial"/>
          <w:sz w:val="16"/>
          <w:szCs w:val="16"/>
          <w:color w:val="auto"/>
        </w:rPr>
        <w:t>EXXONMOBIL KEY EMPLOYEE SUPPLEMENTAL SAVINGS PLAN</w:t>
      </w:r>
    </w:p>
    <w:p>
      <w:pPr>
        <w:spacing w:after="0" w:line="208"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 xml:space="preserve">K1. </w:t>
      </w:r>
      <w:r>
        <w:rPr>
          <w:rFonts w:ascii="Arial" w:cs="Arial" w:eastAsia="Arial" w:hAnsi="Arial"/>
          <w:sz w:val="16"/>
          <w:szCs w:val="16"/>
          <w:u w:val="single" w:color="auto"/>
          <w:color w:val="auto"/>
        </w:rPr>
        <w:t>Purpose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This Plan provides a payment from the general assets of Exxon Mobil Corporation (“Corporation”) to a person who, as of December 31, 1993,</w:t>
      </w:r>
    </w:p>
    <w:p>
      <w:pPr>
        <w:spacing w:after="0" w:line="24" w:lineRule="exact"/>
        <w:rPr>
          <w:sz w:val="20"/>
          <w:szCs w:val="20"/>
          <w:color w:val="auto"/>
        </w:rPr>
      </w:pPr>
    </w:p>
    <w:p>
      <w:pPr>
        <w:ind w:left="1220" w:hanging="626"/>
        <w:spacing w:after="0"/>
        <w:tabs>
          <w:tab w:leader="none" w:pos="12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was classified at level 36 or above,</w:t>
      </w:r>
    </w:p>
    <w:p>
      <w:pPr>
        <w:spacing w:after="0" w:line="12" w:lineRule="exact"/>
        <w:rPr>
          <w:rFonts w:ascii="Arial" w:cs="Arial" w:eastAsia="Arial" w:hAnsi="Arial"/>
          <w:sz w:val="16"/>
          <w:szCs w:val="16"/>
          <w:color w:val="auto"/>
        </w:rPr>
      </w:pPr>
    </w:p>
    <w:p>
      <w:pPr>
        <w:ind w:left="1220" w:hanging="626"/>
        <w:spacing w:after="0"/>
        <w:tabs>
          <w:tab w:leader="none" w:pos="12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was age 50 or above,</w:t>
      </w:r>
    </w:p>
    <w:p>
      <w:pPr>
        <w:spacing w:after="0" w:line="12" w:lineRule="exact"/>
        <w:rPr>
          <w:rFonts w:ascii="Arial" w:cs="Arial" w:eastAsia="Arial" w:hAnsi="Arial"/>
          <w:sz w:val="16"/>
          <w:szCs w:val="16"/>
          <w:color w:val="auto"/>
        </w:rPr>
      </w:pPr>
    </w:p>
    <w:p>
      <w:pPr>
        <w:ind w:left="1220" w:hanging="626"/>
        <w:spacing w:after="0"/>
        <w:tabs>
          <w:tab w:leader="none" w:pos="12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was a participant in the Thrift Plan of Exxon Corporation (“Thrift Plan”), and</w:t>
      </w:r>
    </w:p>
    <w:p>
      <w:pPr>
        <w:spacing w:after="0" w:line="12" w:lineRule="exact"/>
        <w:rPr>
          <w:rFonts w:ascii="Arial" w:cs="Arial" w:eastAsia="Arial" w:hAnsi="Arial"/>
          <w:sz w:val="16"/>
          <w:szCs w:val="16"/>
          <w:color w:val="auto"/>
        </w:rPr>
      </w:pPr>
    </w:p>
    <w:p>
      <w:pPr>
        <w:ind w:left="1180" w:hanging="586"/>
        <w:spacing w:after="0" w:line="255" w:lineRule="auto"/>
        <w:tabs>
          <w:tab w:leader="none" w:pos="12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had been precluded from receiving employer contributions to the person's account within the Thrift Plan to which the person would otherwise be e because of the application of United States Internal Revenue Code (“Code”) sections 415 and 401(a)(17).</w:t>
      </w:r>
    </w:p>
    <w:p>
      <w:pPr>
        <w:spacing w:after="0" w:line="1"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This plan expresses the Corporation's commitment to make such a payment at the time payment is made to the participant under the ExxonMobil Supplemental Savin and sets forth the method for doing so.</w:t>
      </w:r>
    </w:p>
    <w:p>
      <w:pPr>
        <w:spacing w:after="0" w:line="357"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 xml:space="preserve">K2. </w:t>
      </w:r>
      <w:r>
        <w:rPr>
          <w:rFonts w:ascii="Arial" w:cs="Arial" w:eastAsia="Arial" w:hAnsi="Arial"/>
          <w:sz w:val="16"/>
          <w:szCs w:val="16"/>
          <w:u w:val="single" w:color="auto"/>
          <w:color w:val="auto"/>
        </w:rPr>
        <w:t>Benefits</w:t>
      </w:r>
    </w:p>
    <w:p>
      <w:pPr>
        <w:spacing w:after="0" w:line="208"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K2.1</w:t>
      </w:r>
      <w:r>
        <w:rPr>
          <w:sz w:val="20"/>
          <w:szCs w:val="20"/>
          <w:color w:val="auto"/>
        </w:rPr>
        <w:tab/>
      </w:r>
      <w:r>
        <w:rPr>
          <w:rFonts w:ascii="Arial" w:cs="Arial" w:eastAsia="Arial" w:hAnsi="Arial"/>
          <w:sz w:val="15"/>
          <w:szCs w:val="15"/>
          <w:u w:val="single" w:color="auto"/>
          <w:color w:val="auto"/>
        </w:rPr>
        <w:t>Benefit Formula</w:t>
      </w:r>
    </w:p>
    <w:p>
      <w:pPr>
        <w:spacing w:after="0" w:line="24" w:lineRule="exact"/>
        <w:rPr>
          <w:sz w:val="20"/>
          <w:szCs w:val="20"/>
          <w:color w:val="auto"/>
        </w:rPr>
      </w:pPr>
    </w:p>
    <w:p>
      <w:pPr>
        <w:ind w:left="1220" w:hanging="626"/>
        <w:spacing w:after="0"/>
        <w:tabs>
          <w:tab w:leader="none" w:pos="122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In General</w:t>
      </w:r>
    </w:p>
    <w:p>
      <w:pPr>
        <w:spacing w:after="0" w:line="12" w:lineRule="exact"/>
        <w:rPr>
          <w:sz w:val="20"/>
          <w:szCs w:val="20"/>
          <w:color w:val="auto"/>
        </w:rPr>
      </w:pPr>
    </w:p>
    <w:p>
      <w:pPr>
        <w:ind w:left="1180"/>
        <w:spacing w:after="0" w:line="255" w:lineRule="auto"/>
        <w:rPr>
          <w:sz w:val="20"/>
          <w:szCs w:val="20"/>
          <w:color w:val="auto"/>
        </w:rPr>
      </w:pPr>
      <w:r>
        <w:rPr>
          <w:rFonts w:ascii="Arial" w:cs="Arial" w:eastAsia="Arial" w:hAnsi="Arial"/>
          <w:sz w:val="16"/>
          <w:szCs w:val="16"/>
          <w:color w:val="auto"/>
        </w:rPr>
        <w:t>As to a participant, the total amount of payment under this Plan shall be an amount that has been in general determined by notionally crediting on a basis the amount of employer contributions that could not have been made to the Thrift Plan account of that person as a result of application to that of Code sections 415 and 401(a)(17) from the date the person otherwise would have been an eligible participant in the Exxon Supplemental Thrift Pl December 30, 1993. This amount shall be enhanced in each instance by 120 percent of the long-term Applicable Federal Rate, compounded monthl the last month of each calendar quarter as published by the Internal Revenue Service. A participant in this Plan shall have a non-forfeitable right amount credited as of December 31, 1993 plus all enhancements.</w:t>
      </w:r>
    </w:p>
    <w:p>
      <w:pPr>
        <w:spacing w:after="0" w:line="3" w:lineRule="exact"/>
        <w:rPr>
          <w:sz w:val="20"/>
          <w:szCs w:val="20"/>
          <w:color w:val="auto"/>
        </w:rPr>
      </w:pPr>
    </w:p>
    <w:p>
      <w:pPr>
        <w:ind w:left="1220" w:hanging="626"/>
        <w:spacing w:after="0"/>
        <w:tabs>
          <w:tab w:leader="none" w:pos="1220"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Notional Interest Rate for Key Employees after Termination or Retirement</w:t>
      </w:r>
    </w:p>
    <w:p>
      <w:pPr>
        <w:spacing w:after="0" w:line="12" w:lineRule="exact"/>
        <w:rPr>
          <w:sz w:val="20"/>
          <w:szCs w:val="20"/>
          <w:color w:val="auto"/>
        </w:rPr>
      </w:pPr>
    </w:p>
    <w:p>
      <w:pPr>
        <w:jc w:val="both"/>
        <w:ind w:left="1180"/>
        <w:spacing w:after="0" w:line="260" w:lineRule="auto"/>
        <w:rPr>
          <w:sz w:val="20"/>
          <w:szCs w:val="20"/>
          <w:color w:val="auto"/>
        </w:rPr>
      </w:pPr>
      <w:r>
        <w:rPr>
          <w:rFonts w:ascii="Arial" w:cs="Arial" w:eastAsia="Arial" w:hAnsi="Arial"/>
          <w:sz w:val="16"/>
          <w:szCs w:val="16"/>
          <w:color w:val="auto"/>
        </w:rPr>
        <w:t>As to a participant who, immediately prior to his or her termination or retirement, has a Classification Level of 36 or above, "120 percent of the lo Applicable Federal Rate, compounded monthly, as of the last month of each calendar quarter as published by the Internal Revenue Service" in paragr above shall be replaced with "Citibank Prime Lending Rate as of the last business day of each calendar quarter" for the period between date of term or retirement and date of payment.</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K2.2</w:t>
      </w:r>
      <w:r>
        <w:rPr>
          <w:sz w:val="20"/>
          <w:szCs w:val="20"/>
          <w:color w:val="auto"/>
        </w:rPr>
        <w:tab/>
      </w:r>
      <w:r>
        <w:rPr>
          <w:rFonts w:ascii="Arial" w:cs="Arial" w:eastAsia="Arial" w:hAnsi="Arial"/>
          <w:sz w:val="15"/>
          <w:szCs w:val="15"/>
          <w:u w:val="single" w:color="auto"/>
          <w:color w:val="auto"/>
        </w:rPr>
        <w:t>Calculation Methodology</w:t>
      </w:r>
    </w:p>
    <w:p>
      <w:pPr>
        <w:spacing w:after="0" w:line="2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exact methodology for such notional credits and interest thereon shall be determined by the Plan Administrator.</w:t>
      </w:r>
    </w:p>
    <w:p>
      <w:pPr>
        <w:spacing w:after="0" w:line="393"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 xml:space="preserve">K3. </w:t>
      </w:r>
      <w:r>
        <w:rPr>
          <w:rFonts w:ascii="Arial" w:cs="Arial" w:eastAsia="Arial" w:hAnsi="Arial"/>
          <w:sz w:val="16"/>
          <w:szCs w:val="16"/>
          <w:u w:val="single" w:color="auto"/>
          <w:color w:val="auto"/>
        </w:rPr>
        <w:t>Payment of Benefits</w:t>
      </w:r>
    </w:p>
    <w:p>
      <w:pPr>
        <w:spacing w:after="0" w:line="208"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K3.1</w:t>
      </w:r>
      <w:r>
        <w:rPr>
          <w:sz w:val="20"/>
          <w:szCs w:val="20"/>
          <w:color w:val="auto"/>
        </w:rPr>
        <w:tab/>
      </w:r>
      <w:r>
        <w:rPr>
          <w:rFonts w:ascii="Arial" w:cs="Arial" w:eastAsia="Arial" w:hAnsi="Arial"/>
          <w:sz w:val="14"/>
          <w:szCs w:val="14"/>
          <w:u w:val="single" w:color="auto"/>
          <w:color w:val="auto"/>
        </w:rPr>
        <w:t>Form of Payment</w:t>
      </w:r>
    </w:p>
    <w:p>
      <w:pPr>
        <w:spacing w:after="0" w:line="2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Payments under this Plan are made in the form of a lump sum single payment.</w:t>
      </w:r>
    </w:p>
    <w:p>
      <w:pPr>
        <w:spacing w:after="0" w:line="197"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K3.2</w:t>
      </w:r>
      <w:r>
        <w:rPr>
          <w:sz w:val="20"/>
          <w:szCs w:val="20"/>
          <w:color w:val="auto"/>
        </w:rPr>
        <w:tab/>
      </w:r>
      <w:r>
        <w:rPr>
          <w:rFonts w:ascii="Arial" w:cs="Arial" w:eastAsia="Arial" w:hAnsi="Arial"/>
          <w:sz w:val="15"/>
          <w:szCs w:val="15"/>
          <w:u w:val="single" w:color="auto"/>
          <w:color w:val="auto"/>
        </w:rPr>
        <w:t>Timing of Payment</w:t>
      </w:r>
    </w:p>
    <w:p>
      <w:pPr>
        <w:spacing w:after="0" w:line="2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Payment shall be made under this Plan at the same time as payment is made to the participant under the ExxonMobil Supplemental Savings Plan.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557530</wp:posOffset>
            </wp:positionV>
            <wp:extent cx="7279640" cy="203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776" w:right="139" w:bottom="1440" w:gutter="0" w:footer="0" w:header="0"/>
        </w:sectPr>
      </w:pPr>
    </w:p>
    <w:bookmarkStart w:id="127" w:name="page128"/>
    <w:bookmarkEnd w:id="127"/>
    <w:p>
      <w:pPr>
        <w:jc w:val="center"/>
        <w:ind w:left="1140"/>
        <w:spacing w:after="0"/>
        <w:rPr>
          <w:sz w:val="20"/>
          <w:szCs w:val="20"/>
          <w:color w:val="auto"/>
        </w:rPr>
      </w:pPr>
      <w:r>
        <w:rPr>
          <w:rFonts w:ascii="Arial" w:cs="Arial" w:eastAsia="Arial" w:hAnsi="Arial"/>
          <w:sz w:val="16"/>
          <w:szCs w:val="16"/>
          <w:color w:val="auto"/>
        </w:rPr>
        <w:t xml:space="preserve">K4. </w:t>
      </w:r>
      <w:r>
        <w:rPr>
          <w:rFonts w:ascii="Arial" w:cs="Arial" w:eastAsia="Arial" w:hAnsi="Arial"/>
          <w:sz w:val="16"/>
          <w:szCs w:val="16"/>
          <w:u w:val="single" w:color="auto"/>
          <w:color w:val="auto"/>
        </w:rPr>
        <w:t>Beneficiaries</w:t>
      </w:r>
    </w:p>
    <w:p>
      <w:pPr>
        <w:spacing w:after="0" w:line="208"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K4.1</w:t>
      </w:r>
      <w:r>
        <w:rPr>
          <w:sz w:val="20"/>
          <w:szCs w:val="20"/>
          <w:color w:val="auto"/>
        </w:rPr>
        <w:tab/>
      </w:r>
      <w:r>
        <w:rPr>
          <w:rFonts w:ascii="Arial" w:cs="Arial" w:eastAsia="Arial" w:hAnsi="Arial"/>
          <w:sz w:val="15"/>
          <w:szCs w:val="15"/>
          <w:u w:val="single" w:color="auto"/>
          <w:color w:val="auto"/>
        </w:rPr>
        <w:t>Designation of Beneficiaries</w:t>
      </w:r>
    </w:p>
    <w:p>
      <w:pPr>
        <w:spacing w:after="0" w:line="24" w:lineRule="exact"/>
        <w:rPr>
          <w:sz w:val="20"/>
          <w:szCs w:val="20"/>
          <w:color w:val="auto"/>
        </w:rPr>
      </w:pPr>
    </w:p>
    <w:p>
      <w:pPr>
        <w:ind w:left="600"/>
        <w:spacing w:after="0" w:line="344" w:lineRule="auto"/>
        <w:rPr>
          <w:sz w:val="20"/>
          <w:szCs w:val="20"/>
          <w:color w:val="auto"/>
        </w:rPr>
      </w:pPr>
      <w:r>
        <w:rPr>
          <w:rFonts w:ascii="Arial" w:cs="Arial" w:eastAsia="Arial" w:hAnsi="Arial"/>
          <w:sz w:val="14"/>
          <w:szCs w:val="14"/>
          <w:color w:val="auto"/>
        </w:rPr>
        <w:t>A person entitled to receive a payment under this Plan may name one or more designees to receive such payment in the event of the person's death. Ben designations shall be made in accordance with such procedures as the Plan Administrator may establish. Spousal consent to any designation is not required.</w:t>
      </w:r>
    </w:p>
    <w:p>
      <w:pPr>
        <w:spacing w:after="0" w:line="115"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K4.2</w:t>
      </w:r>
      <w:r>
        <w:rPr>
          <w:sz w:val="20"/>
          <w:szCs w:val="20"/>
          <w:color w:val="auto"/>
        </w:rPr>
        <w:tab/>
      </w:r>
      <w:r>
        <w:rPr>
          <w:rFonts w:ascii="Arial" w:cs="Arial" w:eastAsia="Arial" w:hAnsi="Arial"/>
          <w:sz w:val="15"/>
          <w:szCs w:val="15"/>
          <w:u w:val="single" w:color="auto"/>
          <w:color w:val="auto"/>
        </w:rPr>
        <w:t>Default Beneficiaries</w:t>
      </w:r>
    </w:p>
    <w:p>
      <w:pPr>
        <w:spacing w:after="0" w:line="24" w:lineRule="exact"/>
        <w:rPr>
          <w:sz w:val="20"/>
          <w:szCs w:val="20"/>
          <w:color w:val="auto"/>
        </w:rPr>
      </w:pPr>
    </w:p>
    <w:p>
      <w:pPr>
        <w:ind w:left="1220" w:hanging="626"/>
        <w:spacing w:after="0"/>
        <w:tabs>
          <w:tab w:leader="none" w:pos="122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In General</w:t>
      </w:r>
    </w:p>
    <w:p>
      <w:pPr>
        <w:spacing w:after="0" w:line="12" w:lineRule="exact"/>
        <w:rPr>
          <w:sz w:val="20"/>
          <w:szCs w:val="20"/>
          <w:color w:val="auto"/>
        </w:rPr>
      </w:pPr>
    </w:p>
    <w:p>
      <w:pPr>
        <w:ind w:left="1180"/>
        <w:spacing w:after="0" w:line="255" w:lineRule="auto"/>
        <w:rPr>
          <w:sz w:val="20"/>
          <w:szCs w:val="20"/>
          <w:color w:val="auto"/>
        </w:rPr>
      </w:pPr>
      <w:r>
        <w:rPr>
          <w:rFonts w:ascii="Arial" w:cs="Arial" w:eastAsia="Arial" w:hAnsi="Arial"/>
          <w:sz w:val="16"/>
          <w:szCs w:val="16"/>
          <w:color w:val="auto"/>
        </w:rPr>
        <w:t>If no specific designation is in effect, the deceased’s beneficiary is the person or persons in the first of the following classes of successive benef living at the time of death of the deceased:</w:t>
      </w:r>
    </w:p>
    <w:p>
      <w:pPr>
        <w:spacing w:after="0" w:line="1" w:lineRule="exact"/>
        <w:rPr>
          <w:sz w:val="20"/>
          <w:szCs w:val="20"/>
          <w:color w:val="auto"/>
        </w:rPr>
      </w:pPr>
    </w:p>
    <w:p>
      <w:pPr>
        <w:ind w:left="1820" w:hanging="638"/>
        <w:spacing w:after="0"/>
        <w:tabs>
          <w:tab w:leader="none" w:pos="18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spouse;</w:t>
      </w:r>
    </w:p>
    <w:p>
      <w:pPr>
        <w:spacing w:after="0" w:line="12" w:lineRule="exact"/>
        <w:rPr>
          <w:rFonts w:ascii="Arial" w:cs="Arial" w:eastAsia="Arial" w:hAnsi="Arial"/>
          <w:sz w:val="16"/>
          <w:szCs w:val="16"/>
          <w:color w:val="auto"/>
        </w:rPr>
      </w:pPr>
    </w:p>
    <w:p>
      <w:pPr>
        <w:ind w:left="1820" w:hanging="638"/>
        <w:spacing w:after="0"/>
        <w:tabs>
          <w:tab w:leader="none" w:pos="18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children who survive the participant or who die before the participant leaving children of their own who survive the participant;</w:t>
      </w:r>
    </w:p>
    <w:p>
      <w:pPr>
        <w:spacing w:after="0" w:line="12" w:lineRule="exact"/>
        <w:rPr>
          <w:rFonts w:ascii="Arial" w:cs="Arial" w:eastAsia="Arial" w:hAnsi="Arial"/>
          <w:sz w:val="16"/>
          <w:szCs w:val="16"/>
          <w:color w:val="auto"/>
        </w:rPr>
      </w:pPr>
    </w:p>
    <w:p>
      <w:pPr>
        <w:ind w:left="1820" w:hanging="638"/>
        <w:spacing w:after="0"/>
        <w:tabs>
          <w:tab w:leader="none" w:pos="18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parents;</w:t>
      </w:r>
    </w:p>
    <w:p>
      <w:pPr>
        <w:spacing w:after="0" w:line="12" w:lineRule="exact"/>
        <w:rPr>
          <w:rFonts w:ascii="Arial" w:cs="Arial" w:eastAsia="Arial" w:hAnsi="Arial"/>
          <w:sz w:val="16"/>
          <w:szCs w:val="16"/>
          <w:color w:val="auto"/>
        </w:rPr>
      </w:pPr>
    </w:p>
    <w:p>
      <w:pPr>
        <w:ind w:left="1180" w:right="60" w:firstLine="2"/>
        <w:spacing w:after="0" w:line="255" w:lineRule="auto"/>
        <w:tabs>
          <w:tab w:leader="none" w:pos="18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brothers and sisters who survive the participant or who die before the participant leaving children of their own who survive the participant. If there are no members of any class of such beneficiaries, payment is made to the deceased's executors or administrators.</w:t>
      </w:r>
    </w:p>
    <w:p>
      <w:pPr>
        <w:spacing w:after="0" w:line="1" w:lineRule="exact"/>
        <w:rPr>
          <w:rFonts w:ascii="Arial" w:cs="Arial" w:eastAsia="Arial" w:hAnsi="Arial"/>
          <w:sz w:val="16"/>
          <w:szCs w:val="16"/>
          <w:color w:val="auto"/>
        </w:rPr>
      </w:pPr>
    </w:p>
    <w:p>
      <w:pPr>
        <w:ind w:left="1220" w:hanging="626"/>
        <w:spacing w:after="0"/>
        <w:tabs>
          <w:tab w:leader="none" w:pos="1220"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Allocation among Default Beneficiaries</w:t>
      </w:r>
    </w:p>
    <w:p>
      <w:pPr>
        <w:spacing w:after="0" w:line="12" w:lineRule="exact"/>
        <w:rPr>
          <w:sz w:val="20"/>
          <w:szCs w:val="20"/>
          <w:color w:val="auto"/>
        </w:rPr>
      </w:pPr>
    </w:p>
    <w:p>
      <w:pPr>
        <w:jc w:val="both"/>
        <w:ind w:left="1180"/>
        <w:spacing w:after="0" w:line="255" w:lineRule="auto"/>
        <w:rPr>
          <w:sz w:val="20"/>
          <w:szCs w:val="20"/>
          <w:color w:val="auto"/>
        </w:rPr>
      </w:pPr>
      <w:r>
        <w:rPr>
          <w:rFonts w:ascii="Arial" w:cs="Arial" w:eastAsia="Arial" w:hAnsi="Arial"/>
          <w:sz w:val="16"/>
          <w:szCs w:val="16"/>
          <w:color w:val="auto"/>
        </w:rPr>
        <w:t>If the same class of beneficiaries under paragraph (A) above contains two or more persons, they share equally, with further subdivision of such equa as next provided. In class (2), where a child dies before the participant leaving children who survive the participant, such child's share shall be sub equally among those children. In class (4), where a brother or sister dies before the participant leaving children who survive the participant, such br sister's share shall be subdivided equally among those children.</w:t>
      </w:r>
    </w:p>
    <w:p>
      <w:pPr>
        <w:spacing w:after="0" w:line="2" w:lineRule="exact"/>
        <w:rPr>
          <w:sz w:val="20"/>
          <w:szCs w:val="20"/>
          <w:color w:val="auto"/>
        </w:rPr>
      </w:pPr>
    </w:p>
    <w:p>
      <w:pPr>
        <w:ind w:left="1220" w:hanging="626"/>
        <w:spacing w:after="0"/>
        <w:tabs>
          <w:tab w:leader="none" w:pos="1220"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Definitions</w:t>
      </w:r>
    </w:p>
    <w:p>
      <w:pPr>
        <w:spacing w:after="0" w:line="12" w:lineRule="exact"/>
        <w:rPr>
          <w:sz w:val="20"/>
          <w:szCs w:val="20"/>
          <w:color w:val="auto"/>
        </w:rPr>
      </w:pPr>
    </w:p>
    <w:p>
      <w:pPr>
        <w:ind w:left="1180" w:right="80"/>
        <w:spacing w:after="0" w:line="305" w:lineRule="auto"/>
        <w:rPr>
          <w:sz w:val="20"/>
          <w:szCs w:val="20"/>
          <w:color w:val="auto"/>
        </w:rPr>
      </w:pPr>
      <w:r>
        <w:rPr>
          <w:rFonts w:ascii="Arial" w:cs="Arial" w:eastAsia="Arial" w:hAnsi="Arial"/>
          <w:sz w:val="15"/>
          <w:szCs w:val="15"/>
          <w:color w:val="auto"/>
        </w:rPr>
        <w:t>For purposes of this Section K4.2, "child" means a person's son or daughter by legitimate blood relationship or legal adoption; "parent" means a father or mother by legitimate blood relationship or legal adoption; "brother" or "sister" means another child of either or both of one's parents.</w:t>
      </w:r>
    </w:p>
    <w:p>
      <w:pPr>
        <w:spacing w:after="0" w:line="334"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 xml:space="preserve">K5. </w:t>
      </w:r>
      <w:r>
        <w:rPr>
          <w:rFonts w:ascii="Arial" w:cs="Arial" w:eastAsia="Arial" w:hAnsi="Arial"/>
          <w:sz w:val="16"/>
          <w:szCs w:val="16"/>
          <w:u w:val="single" w:color="auto"/>
          <w:color w:val="auto"/>
        </w:rPr>
        <w:t>Miscellaneous</w:t>
      </w:r>
    </w:p>
    <w:p>
      <w:pPr>
        <w:spacing w:after="0" w:line="208"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K5.1</w:t>
      </w:r>
      <w:r>
        <w:rPr>
          <w:sz w:val="20"/>
          <w:szCs w:val="20"/>
          <w:color w:val="auto"/>
        </w:rPr>
        <w:tab/>
      </w:r>
      <w:r>
        <w:rPr>
          <w:rFonts w:ascii="Arial" w:cs="Arial" w:eastAsia="Arial" w:hAnsi="Arial"/>
          <w:sz w:val="15"/>
          <w:szCs w:val="15"/>
          <w:u w:val="single" w:color="auto"/>
          <w:color w:val="auto"/>
        </w:rPr>
        <w:t>Administration of Plan</w:t>
      </w:r>
    </w:p>
    <w:p>
      <w:pPr>
        <w:spacing w:after="0" w:line="24" w:lineRule="exact"/>
        <w:rPr>
          <w:sz w:val="20"/>
          <w:szCs w:val="20"/>
          <w:color w:val="auto"/>
        </w:rPr>
      </w:pPr>
    </w:p>
    <w:p>
      <w:pPr>
        <w:jc w:val="both"/>
        <w:ind w:left="600" w:right="20"/>
        <w:spacing w:after="0" w:line="260" w:lineRule="auto"/>
        <w:rPr>
          <w:sz w:val="20"/>
          <w:szCs w:val="20"/>
          <w:color w:val="auto"/>
        </w:rPr>
      </w:pPr>
      <w:r>
        <w:rPr>
          <w:rFonts w:ascii="Arial" w:cs="Arial" w:eastAsia="Arial" w:hAnsi="Arial"/>
          <w:sz w:val="16"/>
          <w:szCs w:val="16"/>
          <w:color w:val="auto"/>
        </w:rPr>
        <w:t>The Plan Administrator shall be the Manager, Compensation, Benefit Plans and Policies, Human Resources Department, ExxonMobil Corporation. T Administrator shall have the right and authority to conclusively interpret this Plan for all purposes, including the determination of any person’s eligibility for hereunder and the resolution of any and all appeals relating to claims by participants or beneficiaries, with any such interpretation being conclusive participants and beneficiaries.</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K5.2</w:t>
      </w:r>
      <w:r>
        <w:rPr>
          <w:sz w:val="20"/>
          <w:szCs w:val="20"/>
          <w:color w:val="auto"/>
        </w:rPr>
        <w:tab/>
      </w:r>
      <w:r>
        <w:rPr>
          <w:rFonts w:ascii="Arial" w:cs="Arial" w:eastAsia="Arial" w:hAnsi="Arial"/>
          <w:sz w:val="14"/>
          <w:szCs w:val="14"/>
          <w:u w:val="single" w:color="auto"/>
          <w:color w:val="auto"/>
        </w:rPr>
        <w:t>Nature of Payments</w:t>
      </w:r>
    </w:p>
    <w:p>
      <w:pPr>
        <w:spacing w:after="0" w:line="2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Payments provided under this Plan shall be considered general obligations of the Corporation.</w:t>
      </w:r>
    </w:p>
    <w:p>
      <w:pPr>
        <w:spacing w:after="0" w:line="197"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K5.3</w:t>
      </w:r>
      <w:r>
        <w:rPr>
          <w:sz w:val="20"/>
          <w:szCs w:val="20"/>
          <w:color w:val="auto"/>
        </w:rPr>
        <w:tab/>
      </w:r>
      <w:r>
        <w:rPr>
          <w:rFonts w:ascii="Arial" w:cs="Arial" w:eastAsia="Arial" w:hAnsi="Arial"/>
          <w:sz w:val="15"/>
          <w:szCs w:val="15"/>
          <w:u w:val="single" w:color="auto"/>
          <w:color w:val="auto"/>
        </w:rPr>
        <w:t>Assignment or Alienation</w:t>
      </w:r>
    </w:p>
    <w:p>
      <w:pPr>
        <w:spacing w:after="0" w:line="2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Payments provided under this Plan may not be assigned or otherwise alienated or pledged.</w:t>
      </w:r>
    </w:p>
    <w:p>
      <w:pPr>
        <w:spacing w:after="0" w:line="197"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K5.4</w:t>
      </w:r>
      <w:r>
        <w:rPr>
          <w:sz w:val="20"/>
          <w:szCs w:val="20"/>
          <w:color w:val="auto"/>
        </w:rPr>
        <w:tab/>
      </w:r>
      <w:r>
        <w:rPr>
          <w:rFonts w:ascii="Arial" w:cs="Arial" w:eastAsia="Arial" w:hAnsi="Arial"/>
          <w:sz w:val="15"/>
          <w:szCs w:val="15"/>
          <w:u w:val="single" w:color="auto"/>
          <w:color w:val="auto"/>
        </w:rPr>
        <w:t>Amendment or Termination</w:t>
      </w:r>
    </w:p>
    <w:p>
      <w:pPr>
        <w:spacing w:after="0" w:line="24" w:lineRule="exact"/>
        <w:rPr>
          <w:sz w:val="20"/>
          <w:szCs w:val="20"/>
          <w:color w:val="auto"/>
        </w:rPr>
      </w:pPr>
    </w:p>
    <w:p>
      <w:pPr>
        <w:jc w:val="both"/>
        <w:ind w:left="600"/>
        <w:spacing w:after="0" w:line="271" w:lineRule="auto"/>
        <w:rPr>
          <w:sz w:val="20"/>
          <w:szCs w:val="20"/>
          <w:color w:val="auto"/>
        </w:rPr>
      </w:pPr>
      <w:r>
        <w:rPr>
          <w:rFonts w:ascii="Arial" w:cs="Arial" w:eastAsia="Arial" w:hAnsi="Arial"/>
          <w:sz w:val="16"/>
          <w:szCs w:val="16"/>
          <w:color w:val="auto"/>
        </w:rPr>
        <w:t>The Corporation may at any time amend or terminate this Plan, in whole or in part, so long as the amendment does not deprive any person of the non-forfeitab to benefits specifically granted in this Plan.</w:t>
      </w:r>
    </w:p>
    <w:p>
      <w:pPr>
        <w:spacing w:after="0" w:line="186"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549910</wp:posOffset>
            </wp:positionV>
            <wp:extent cx="7279640" cy="203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972" w:right="1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6"/>
          <w:szCs w:val="16"/>
          <w:b w:val="1"/>
          <w:bCs w:val="1"/>
          <w:color w:val="auto"/>
        </w:rPr>
        <w:t>EXHIBIT 10(</w:t>
      </w:r>
    </w:p>
    <w:p>
      <w:pPr>
        <w:spacing w:after="0" w:line="208" w:lineRule="exact"/>
        <w:rPr>
          <w:sz w:val="20"/>
          <w:szCs w:val="20"/>
          <w:color w:val="auto"/>
        </w:rPr>
      </w:pPr>
    </w:p>
    <w:p>
      <w:pPr>
        <w:jc w:val="center"/>
        <w:ind w:left="1180"/>
        <w:spacing w:after="0"/>
        <w:rPr>
          <w:sz w:val="20"/>
          <w:szCs w:val="20"/>
          <w:color w:val="auto"/>
        </w:rPr>
      </w:pPr>
      <w:r>
        <w:rPr>
          <w:rFonts w:ascii="Arial" w:cs="Arial" w:eastAsia="Arial" w:hAnsi="Arial"/>
          <w:sz w:val="18"/>
          <w:szCs w:val="18"/>
          <w:u w:val="single" w:color="auto"/>
          <w:color w:val="auto"/>
        </w:rPr>
        <w:t>EXXONMOBIL SUPPLEMENTAL PENSION PLAN</w:t>
      </w:r>
    </w:p>
    <w:p>
      <w:pPr>
        <w:spacing w:after="0" w:line="17" w:lineRule="exact"/>
        <w:rPr>
          <w:sz w:val="20"/>
          <w:szCs w:val="20"/>
          <w:color w:val="auto"/>
        </w:rPr>
      </w:pPr>
    </w:p>
    <w:p>
      <w:pPr>
        <w:jc w:val="center"/>
        <w:ind w:left="1180"/>
        <w:spacing w:after="0"/>
        <w:rPr>
          <w:sz w:val="20"/>
          <w:szCs w:val="20"/>
          <w:color w:val="auto"/>
        </w:rPr>
      </w:pPr>
      <w:r>
        <w:rPr>
          <w:rFonts w:ascii="Arial" w:cs="Arial" w:eastAsia="Arial" w:hAnsi="Arial"/>
          <w:sz w:val="18"/>
          <w:szCs w:val="18"/>
          <w:u w:val="single" w:color="auto"/>
          <w:color w:val="auto"/>
        </w:rPr>
        <w:t>(Including Key Employee Supplemental Pension Plan)</w:t>
      </w:r>
    </w:p>
    <w:p>
      <w:pPr>
        <w:spacing w:after="0" w:line="1" w:lineRule="exact"/>
        <w:rPr>
          <w:sz w:val="20"/>
          <w:szCs w:val="20"/>
          <w:color w:val="auto"/>
        </w:rPr>
      </w:pPr>
    </w:p>
    <w:p>
      <w:pPr>
        <w:jc w:val="center"/>
        <w:ind w:left="1180"/>
        <w:spacing w:after="0"/>
        <w:rPr>
          <w:sz w:val="20"/>
          <w:szCs w:val="20"/>
          <w:color w:val="auto"/>
        </w:rPr>
      </w:pPr>
      <w:r>
        <w:rPr>
          <w:rFonts w:ascii="Arial" w:cs="Arial" w:eastAsia="Arial" w:hAnsi="Arial"/>
          <w:sz w:val="18"/>
          <w:szCs w:val="18"/>
          <w:u w:val="single" w:color="auto"/>
          <w:color w:val="auto"/>
        </w:rPr>
        <w:t>Effective January 1, 2015</w:t>
      </w:r>
    </w:p>
    <w:p>
      <w:pPr>
        <w:spacing w:after="0" w:line="200" w:lineRule="exact"/>
        <w:rPr>
          <w:sz w:val="20"/>
          <w:szCs w:val="20"/>
          <w:color w:val="auto"/>
        </w:rPr>
      </w:pPr>
    </w:p>
    <w:p>
      <w:pPr>
        <w:spacing w:after="0" w:line="218" w:lineRule="exact"/>
        <w:rPr>
          <w:sz w:val="20"/>
          <w:szCs w:val="20"/>
          <w:color w:val="auto"/>
        </w:rPr>
      </w:pPr>
    </w:p>
    <w:p>
      <w:pPr>
        <w:ind w:left="5520" w:hanging="163"/>
        <w:spacing w:after="0"/>
        <w:tabs>
          <w:tab w:leader="none" w:pos="552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Purpose</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The purpose of this Plan is to provide payments of equivalent value from the general assets of Exxon Mobil Corporation (“Corporation”) to those participants ExxonMobil Pension Plan (“Pension Plan”) who, because of the application of United States Internal Revenue Code (“Code”) sections 415 and 401(a)(17), are pr from receiving from Pension Plan funded assets all the payments to which they would otherwise be entitled under the Pension Plan's formula.</w:t>
      </w:r>
    </w:p>
    <w:p>
      <w:pPr>
        <w:spacing w:after="0" w:line="340" w:lineRule="exact"/>
        <w:rPr>
          <w:sz w:val="20"/>
          <w:szCs w:val="20"/>
          <w:color w:val="auto"/>
        </w:rPr>
      </w:pPr>
    </w:p>
    <w:p>
      <w:pPr>
        <w:ind w:left="5520" w:hanging="172"/>
        <w:spacing w:after="0"/>
        <w:tabs>
          <w:tab w:leader="none" w:pos="5520"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Benefits</w:t>
      </w:r>
    </w:p>
    <w:p>
      <w:pPr>
        <w:spacing w:after="0" w:line="208"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6"/>
          <w:szCs w:val="16"/>
          <w:u w:val="single" w:color="auto"/>
          <w:color w:val="auto"/>
        </w:rPr>
        <w:t>Eligibility</w:t>
      </w:r>
    </w:p>
    <w:p>
      <w:pPr>
        <w:spacing w:after="0" w:line="2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 person is eligible to receive benefits under this Plan only if the person satisfies any of the following requirements:</w:t>
      </w:r>
    </w:p>
    <w:p>
      <w:pPr>
        <w:spacing w:after="0" w:line="12" w:lineRule="exact"/>
        <w:rPr>
          <w:sz w:val="20"/>
          <w:szCs w:val="20"/>
          <w:color w:val="auto"/>
        </w:rPr>
      </w:pPr>
    </w:p>
    <w:p>
      <w:pPr>
        <w:ind w:left="1180" w:hanging="586"/>
        <w:spacing w:after="0" w:line="255" w:lineRule="auto"/>
        <w:tabs>
          <w:tab w:leader="none" w:pos="1338"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person becomes a retiree pursuant to section 4.1(A) (relating to age, service and LTD-eligibility requirements) or section 4.1(D) (relating to grow-ins in connection with certain divestments) of the ExxonMobil Common Provisions; or</w:t>
      </w:r>
    </w:p>
    <w:p>
      <w:pPr>
        <w:spacing w:after="0" w:line="1" w:lineRule="exact"/>
        <w:rPr>
          <w:rFonts w:ascii="Arial" w:cs="Arial" w:eastAsia="Arial" w:hAnsi="Arial"/>
          <w:sz w:val="16"/>
          <w:szCs w:val="16"/>
          <w:color w:val="auto"/>
        </w:rPr>
      </w:pPr>
    </w:p>
    <w:p>
      <w:pPr>
        <w:ind w:left="1220" w:hanging="626"/>
        <w:spacing w:after="0"/>
        <w:tabs>
          <w:tab w:leader="none" w:pos="12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person becomes a qualified plans retiree within the meaning of the ExxonMobil Pension Plan.</w:t>
      </w:r>
    </w:p>
    <w:p>
      <w:pPr>
        <w:spacing w:after="0" w:line="197" w:lineRule="exact"/>
        <w:rPr>
          <w:sz w:val="20"/>
          <w:szCs w:val="20"/>
          <w:color w:val="auto"/>
        </w:rPr>
      </w:pPr>
    </w:p>
    <w:p>
      <w:pPr>
        <w:ind w:left="1220" w:hanging="626"/>
        <w:spacing w:after="0"/>
        <w:tabs>
          <w:tab w:leader="none" w:pos="1220"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In General</w:t>
      </w:r>
    </w:p>
    <w:p>
      <w:pPr>
        <w:spacing w:after="0" w:line="24" w:lineRule="exact"/>
        <w:rPr>
          <w:sz w:val="20"/>
          <w:szCs w:val="20"/>
          <w:color w:val="auto"/>
        </w:rPr>
      </w:pPr>
    </w:p>
    <w:p>
      <w:pPr>
        <w:jc w:val="both"/>
        <w:ind w:left="1180"/>
        <w:spacing w:after="0" w:line="255" w:lineRule="auto"/>
        <w:rPr>
          <w:sz w:val="20"/>
          <w:szCs w:val="20"/>
          <w:color w:val="auto"/>
        </w:rPr>
      </w:pPr>
      <w:r>
        <w:rPr>
          <w:rFonts w:ascii="Arial" w:cs="Arial" w:eastAsia="Arial" w:hAnsi="Arial"/>
          <w:sz w:val="16"/>
          <w:szCs w:val="16"/>
          <w:color w:val="auto"/>
        </w:rPr>
        <w:t>Except as provided in paragraph (B) below with respect to former Mobil employees, as defined in the ExxonMobil Common Provisions, (“Forme Employees”), as to any Pension Plan participant eligible for payment under this Plan, the value of the payments under this Plan is an amount tha added to the normal form amount that can be paid to the participant from the Pension Plan's qualified funded assets, produces a sum equal to t normal form amount to which the participant would be entitled computed under the Pension Plan formula applicable to that participant disregard reductions, restrictions, or limitations brought about by the application of Code sections 415 and 401(a)(17), reduced, but not below zero, by the fo amounts:</w:t>
      </w:r>
    </w:p>
    <w:p>
      <w:pPr>
        <w:spacing w:after="0" w:line="3" w:lineRule="exact"/>
        <w:rPr>
          <w:sz w:val="20"/>
          <w:szCs w:val="20"/>
          <w:color w:val="auto"/>
        </w:rPr>
      </w:pPr>
    </w:p>
    <w:p>
      <w:pPr>
        <w:ind w:left="1820" w:hanging="638"/>
        <w:spacing w:after="0"/>
        <w:tabs>
          <w:tab w:leader="none" w:pos="18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amount, if any, payable to the participant under the ExxonMobil Key Employee Supplemental Pension Plan, and</w:t>
      </w:r>
    </w:p>
    <w:p>
      <w:pPr>
        <w:spacing w:after="0" w:line="12" w:lineRule="exact"/>
        <w:rPr>
          <w:rFonts w:ascii="Arial" w:cs="Arial" w:eastAsia="Arial" w:hAnsi="Arial"/>
          <w:sz w:val="16"/>
          <w:szCs w:val="16"/>
          <w:color w:val="auto"/>
        </w:rPr>
      </w:pPr>
    </w:p>
    <w:p>
      <w:pPr>
        <w:ind w:left="1780" w:hanging="598"/>
        <w:spacing w:after="0" w:line="255" w:lineRule="auto"/>
        <w:tabs>
          <w:tab w:leader="none" w:pos="1974"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amount, if any, payable to the participant under the ExxonMobil Key Employee Additional Payments Plan that is not applied as a against the participant's benefit under the ExxonMobil Additional Payments Plan.</w:t>
      </w:r>
    </w:p>
    <w:p>
      <w:pPr>
        <w:spacing w:after="0" w:line="1" w:lineRule="exact"/>
        <w:rPr>
          <w:sz w:val="20"/>
          <w:szCs w:val="20"/>
          <w:color w:val="auto"/>
        </w:rPr>
      </w:pPr>
    </w:p>
    <w:p>
      <w:pPr>
        <w:jc w:val="both"/>
        <w:ind w:left="1180" w:right="40"/>
        <w:spacing w:after="0" w:line="255" w:lineRule="auto"/>
        <w:rPr>
          <w:sz w:val="20"/>
          <w:szCs w:val="20"/>
          <w:color w:val="auto"/>
        </w:rPr>
      </w:pPr>
      <w:r>
        <w:rPr>
          <w:rFonts w:ascii="Arial" w:cs="Arial" w:eastAsia="Arial" w:hAnsi="Arial"/>
          <w:sz w:val="16"/>
          <w:szCs w:val="16"/>
          <w:color w:val="auto"/>
        </w:rPr>
        <w:t>Where relevant, this computation is performed after taking into account any entitlement the participant may have under the Overseas Contributory Plan. The resulting benefit is expressed in the form of a monthly five-year-certain and life annuity for the life of the participant commencin participant’s age 65 (“Normal Retirement Age”).</w:t>
      </w:r>
    </w:p>
    <w:p>
      <w:pPr>
        <w:spacing w:after="0" w:line="2" w:lineRule="exact"/>
        <w:rPr>
          <w:sz w:val="20"/>
          <w:szCs w:val="20"/>
          <w:color w:val="auto"/>
        </w:rPr>
      </w:pPr>
    </w:p>
    <w:p>
      <w:pPr>
        <w:ind w:left="1220" w:hanging="626"/>
        <w:spacing w:after="0"/>
        <w:tabs>
          <w:tab w:leader="none" w:pos="1220"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Benefit Formula for Former Mobil Employee</w:t>
      </w:r>
    </w:p>
    <w:p>
      <w:pPr>
        <w:spacing w:after="0" w:line="12" w:lineRule="exact"/>
        <w:rPr>
          <w:sz w:val="20"/>
          <w:szCs w:val="20"/>
          <w:color w:val="auto"/>
        </w:rPr>
      </w:pPr>
    </w:p>
    <w:p>
      <w:pPr>
        <w:ind w:left="1180"/>
        <w:spacing w:after="0" w:line="255" w:lineRule="auto"/>
        <w:rPr>
          <w:sz w:val="20"/>
          <w:szCs w:val="20"/>
          <w:color w:val="auto"/>
        </w:rPr>
      </w:pPr>
      <w:r>
        <w:rPr>
          <w:rFonts w:ascii="Arial" w:cs="Arial" w:eastAsia="Arial" w:hAnsi="Arial"/>
          <w:sz w:val="16"/>
          <w:szCs w:val="16"/>
          <w:color w:val="auto"/>
        </w:rPr>
        <w:t>The payments under this Plan for Former Mobil Employees who retire with eligibility for Incentive Pension Benefits under the ExxonMobil Ad Payments Plan shall be the amounts determined under paragraph (1) below and, if applicable, paragraph (2) below.</w:t>
      </w:r>
    </w:p>
    <w:p>
      <w:pPr>
        <w:spacing w:after="0" w:line="1" w:lineRule="exact"/>
        <w:rPr>
          <w:sz w:val="20"/>
          <w:szCs w:val="20"/>
          <w:color w:val="auto"/>
        </w:rPr>
      </w:pPr>
    </w:p>
    <w:p>
      <w:pPr>
        <w:ind w:left="1820" w:hanging="638"/>
        <w:spacing w:after="0"/>
        <w:tabs>
          <w:tab w:leader="none" w:pos="1820"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In General</w:t>
      </w:r>
    </w:p>
    <w:p>
      <w:pPr>
        <w:spacing w:after="0" w:line="197" w:lineRule="exact"/>
        <w:rPr>
          <w:sz w:val="20"/>
          <w:szCs w:val="20"/>
          <w:color w:val="auto"/>
        </w:rPr>
      </w:pPr>
    </w:p>
    <w:p>
      <w:pPr>
        <w:ind w:left="2400" w:hanging="629"/>
        <w:spacing w:after="0"/>
        <w:tabs>
          <w:tab w:leader="none" w:pos="24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amount of the person’s benefit otherwise determined under paragraph (A) above, or</w:t>
      </w:r>
    </w:p>
    <w:p>
      <w:pPr>
        <w:spacing w:after="0" w:line="23" w:lineRule="exact"/>
        <w:rPr>
          <w:rFonts w:ascii="Arial" w:cs="Arial" w:eastAsia="Arial" w:hAnsi="Arial"/>
          <w:sz w:val="16"/>
          <w:szCs w:val="16"/>
          <w:color w:val="auto"/>
        </w:rPr>
      </w:pPr>
    </w:p>
    <w:p>
      <w:pPr>
        <w:ind w:left="2480" w:hanging="709"/>
        <w:spacing w:after="0"/>
        <w:tabs>
          <w:tab w:leader="none" w:pos="248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excess if any of the person’s Overall Benefit Objective as described in section 2.3(B) of the ExxonMobil Additional Paymen</w:t>
      </w:r>
    </w:p>
    <w:p>
      <w:pPr>
        <w:spacing w:after="0" w:line="24" w:lineRule="exact"/>
        <w:rPr>
          <w:sz w:val="20"/>
          <w:szCs w:val="20"/>
          <w:color w:val="auto"/>
        </w:rPr>
      </w:pPr>
    </w:p>
    <w:p>
      <w:pPr>
        <w:jc w:val="right"/>
        <w:ind w:left="1780"/>
        <w:spacing w:after="0" w:line="255" w:lineRule="auto"/>
        <w:rPr>
          <w:sz w:val="20"/>
          <w:szCs w:val="20"/>
          <w:color w:val="auto"/>
        </w:rPr>
      </w:pPr>
      <w:r>
        <w:rPr>
          <w:rFonts w:ascii="Arial" w:cs="Arial" w:eastAsia="Arial" w:hAnsi="Arial"/>
          <w:sz w:val="16"/>
          <w:szCs w:val="16"/>
          <w:color w:val="auto"/>
        </w:rPr>
        <w:t>over the sum of the person’s benefit under the ExxonMobil Pension Plan (including any Pre-Social Security Benefit) and the p Incentive Pension Benefit and Nonqualified PSSP Benefit, if any, as determined under the ExxonMobil Additional Payments Plan, expressed in the form of a monthly five-year-certain and life annuity for the life of the participant commencing at the participant’s</w:t>
      </w:r>
    </w:p>
    <w:p>
      <w:pPr>
        <w:spacing w:after="0" w:line="2"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Retirement Age.</w:t>
      </w:r>
    </w:p>
    <w:p>
      <w:pPr>
        <w:spacing w:after="0" w:line="12" w:lineRule="exact"/>
        <w:rPr>
          <w:sz w:val="20"/>
          <w:szCs w:val="20"/>
          <w:color w:val="auto"/>
        </w:rPr>
      </w:pPr>
    </w:p>
    <w:p>
      <w:pPr>
        <w:ind w:left="1820" w:hanging="638"/>
        <w:spacing w:after="0"/>
        <w:tabs>
          <w:tab w:leader="none" w:pos="1820"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Nonqualified PSSP Benefits</w:t>
      </w:r>
    </w:p>
    <w:p>
      <w:pPr>
        <w:spacing w:after="0" w:line="25"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549910</wp:posOffset>
            </wp:positionV>
            <wp:extent cx="7279640" cy="203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968" w:right="139" w:bottom="1440" w:gutter="0" w:footer="0" w:header="0"/>
        </w:sectPr>
      </w:pPr>
    </w:p>
    <w:bookmarkStart w:id="129" w:name="page130"/>
    <w:bookmarkEnd w:id="129"/>
    <w:p>
      <w:pPr>
        <w:ind w:left="1780"/>
        <w:spacing w:after="0" w:line="286" w:lineRule="auto"/>
        <w:rPr>
          <w:sz w:val="20"/>
          <w:szCs w:val="20"/>
          <w:color w:val="auto"/>
        </w:rPr>
      </w:pPr>
      <w:r>
        <w:rPr>
          <w:rFonts w:ascii="Arial" w:cs="Arial" w:eastAsia="Arial" w:hAnsi="Arial"/>
          <w:sz w:val="16"/>
          <w:szCs w:val="16"/>
          <w:color w:val="auto"/>
        </w:rPr>
        <w:t>The amount of a person’s benefit determined under this paragraph (2) shall be the amount, if any, of any Nonqualified PSSP Benefit determi such person under the terms of the ExxonMobil Additional Payments Plan.</w:t>
      </w:r>
    </w:p>
    <w:p>
      <w:pPr>
        <w:spacing w:after="0" w:line="150"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4"/>
          <w:szCs w:val="14"/>
          <w:u w:val="single" w:color="auto"/>
          <w:color w:val="auto"/>
        </w:rPr>
        <w:t>Offsets for Other Pension Benefits</w:t>
      </w:r>
    </w:p>
    <w:p>
      <w:pPr>
        <w:spacing w:after="0" w:line="24" w:lineRule="exact"/>
        <w:rPr>
          <w:sz w:val="20"/>
          <w:szCs w:val="20"/>
          <w:color w:val="auto"/>
        </w:rPr>
      </w:pPr>
    </w:p>
    <w:p>
      <w:pPr>
        <w:jc w:val="both"/>
        <w:ind w:left="600"/>
        <w:spacing w:after="0" w:line="263" w:lineRule="auto"/>
        <w:rPr>
          <w:sz w:val="20"/>
          <w:szCs w:val="20"/>
          <w:color w:val="auto"/>
        </w:rPr>
      </w:pPr>
      <w:r>
        <w:rPr>
          <w:rFonts w:ascii="Arial" w:cs="Arial" w:eastAsia="Arial" w:hAnsi="Arial"/>
          <w:sz w:val="16"/>
          <w:szCs w:val="16"/>
          <w:color w:val="auto"/>
        </w:rPr>
        <w:t>A person’s benefit determined under section 2.2 shall be offset, but not below zero, by any benefit payable to the person under (A) an offsetting pension th qualified under the terms of the U.S. Internal Revenue Code, (B) a separation payment offset, or (C) a non-U.S. governmental pension offset, as such te defined under the ExxonMobil Pension Plan.</w:t>
      </w:r>
    </w:p>
    <w:p>
      <w:pPr>
        <w:spacing w:after="0" w:line="168"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5"/>
          <w:szCs w:val="15"/>
          <w:u w:val="single" w:color="auto"/>
          <w:color w:val="auto"/>
        </w:rPr>
        <w:t>Plan Administrator Discretion</w:t>
      </w:r>
    </w:p>
    <w:p>
      <w:pPr>
        <w:spacing w:after="0" w:line="24" w:lineRule="exact"/>
        <w:rPr>
          <w:sz w:val="20"/>
          <w:szCs w:val="20"/>
          <w:color w:val="auto"/>
        </w:rPr>
      </w:pPr>
    </w:p>
    <w:p>
      <w:pPr>
        <w:ind w:left="600" w:right="60"/>
        <w:spacing w:after="0" w:line="271" w:lineRule="auto"/>
        <w:rPr>
          <w:sz w:val="20"/>
          <w:szCs w:val="20"/>
          <w:color w:val="auto"/>
        </w:rPr>
      </w:pPr>
      <w:r>
        <w:rPr>
          <w:rFonts w:ascii="Arial" w:cs="Arial" w:eastAsia="Arial" w:hAnsi="Arial"/>
          <w:sz w:val="16"/>
          <w:szCs w:val="16"/>
          <w:color w:val="auto"/>
        </w:rPr>
        <w:t>The procedure for calculating the benefit for former Mobil employees under section 2.2 above, and for determining the application of the offsets for other benefits under section 2.3 above, shall be determined in the sole and exclusive discretion of the Plan Administrator.</w:t>
      </w:r>
    </w:p>
    <w:p>
      <w:pPr>
        <w:spacing w:after="0" w:line="357" w:lineRule="exact"/>
        <w:rPr>
          <w:sz w:val="20"/>
          <w:szCs w:val="20"/>
          <w:color w:val="auto"/>
        </w:rPr>
      </w:pPr>
    </w:p>
    <w:p>
      <w:pPr>
        <w:ind w:left="5140" w:hanging="166"/>
        <w:spacing w:after="0"/>
        <w:tabs>
          <w:tab w:leader="none" w:pos="5140"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Payment of Benefits</w:t>
      </w:r>
    </w:p>
    <w:p>
      <w:pPr>
        <w:spacing w:after="0" w:line="208"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5"/>
          <w:szCs w:val="15"/>
          <w:u w:val="single" w:color="auto"/>
          <w:color w:val="auto"/>
        </w:rPr>
        <w:t>Timing of Payment</w:t>
      </w:r>
    </w:p>
    <w:p>
      <w:pPr>
        <w:spacing w:after="0" w:line="24" w:lineRule="exact"/>
        <w:rPr>
          <w:sz w:val="20"/>
          <w:szCs w:val="20"/>
          <w:color w:val="auto"/>
        </w:rPr>
      </w:pPr>
    </w:p>
    <w:p>
      <w:pPr>
        <w:ind w:left="1220" w:hanging="626"/>
        <w:spacing w:after="0"/>
        <w:tabs>
          <w:tab w:leader="none" w:pos="1220"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In General</w:t>
      </w:r>
    </w:p>
    <w:p>
      <w:pPr>
        <w:spacing w:after="0" w:line="12" w:lineRule="exact"/>
        <w:rPr>
          <w:sz w:val="20"/>
          <w:szCs w:val="20"/>
          <w:color w:val="auto"/>
        </w:rPr>
      </w:pPr>
    </w:p>
    <w:p>
      <w:pPr>
        <w:ind w:left="1180"/>
        <w:spacing w:after="0" w:line="255" w:lineRule="auto"/>
        <w:rPr>
          <w:sz w:val="20"/>
          <w:szCs w:val="20"/>
          <w:color w:val="auto"/>
        </w:rPr>
      </w:pPr>
      <w:r>
        <w:rPr>
          <w:rFonts w:ascii="Arial" w:cs="Arial" w:eastAsia="Arial" w:hAnsi="Arial"/>
          <w:sz w:val="16"/>
          <w:szCs w:val="16"/>
          <w:color w:val="auto"/>
        </w:rPr>
        <w:t>Except as provided in paragraph (B) or (C) below, payment of the benefit described in article 2 above shall occur as soon as practicable following the occur of the following:</w:t>
      </w:r>
    </w:p>
    <w:p>
      <w:pPr>
        <w:spacing w:after="0" w:line="1" w:lineRule="exact"/>
        <w:rPr>
          <w:sz w:val="20"/>
          <w:szCs w:val="20"/>
          <w:color w:val="auto"/>
        </w:rPr>
      </w:pPr>
    </w:p>
    <w:p>
      <w:pPr>
        <w:ind w:left="1820" w:hanging="638"/>
        <w:spacing w:after="0"/>
        <w:tabs>
          <w:tab w:leader="none" w:pos="1820"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person’s retirement from ExxonMobil;</w:t>
      </w:r>
    </w:p>
    <w:p>
      <w:pPr>
        <w:spacing w:after="0" w:line="12" w:lineRule="exact"/>
        <w:rPr>
          <w:rFonts w:ascii="Arial" w:cs="Arial" w:eastAsia="Arial" w:hAnsi="Arial"/>
          <w:sz w:val="16"/>
          <w:szCs w:val="16"/>
          <w:color w:val="auto"/>
        </w:rPr>
      </w:pPr>
    </w:p>
    <w:p>
      <w:pPr>
        <w:ind w:left="1780" w:hanging="598"/>
        <w:spacing w:after="0" w:line="255" w:lineRule="auto"/>
        <w:tabs>
          <w:tab w:leader="none" w:pos="1843" w:val="left"/>
        </w:tabs>
        <w:numPr>
          <w:ilvl w:val="1"/>
          <w:numId w:val="90"/>
        </w:numPr>
        <w:rPr>
          <w:rFonts w:ascii="Arial" w:cs="Arial" w:eastAsia="Arial" w:hAnsi="Arial"/>
          <w:sz w:val="16"/>
          <w:szCs w:val="16"/>
          <w:color w:val="auto"/>
        </w:rPr>
      </w:pPr>
      <w:r>
        <w:rPr>
          <w:rFonts w:ascii="Arial" w:cs="Arial" w:eastAsia="Arial" w:hAnsi="Arial"/>
          <w:sz w:val="16"/>
          <w:szCs w:val="16"/>
          <w:color w:val="auto"/>
        </w:rPr>
        <w:t>in the case of a person who, immediately prior to his or her retirement, has a Classification Level of 36 or above (“Key Employee”), the six anniversary of the person’s retirement;</w:t>
      </w:r>
    </w:p>
    <w:p>
      <w:pPr>
        <w:spacing w:after="0" w:line="1" w:lineRule="exact"/>
        <w:rPr>
          <w:rFonts w:ascii="Arial" w:cs="Arial" w:eastAsia="Arial" w:hAnsi="Arial"/>
          <w:sz w:val="16"/>
          <w:szCs w:val="16"/>
          <w:color w:val="auto"/>
        </w:rPr>
      </w:pPr>
    </w:p>
    <w:p>
      <w:pPr>
        <w:ind w:left="1220" w:hanging="626"/>
        <w:spacing w:after="0"/>
        <w:tabs>
          <w:tab w:leader="none" w:pos="122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Retirement Prior to Age 55</w:t>
      </w:r>
    </w:p>
    <w:p>
      <w:pPr>
        <w:spacing w:after="0" w:line="12" w:lineRule="exact"/>
        <w:rPr>
          <w:sz w:val="20"/>
          <w:szCs w:val="20"/>
          <w:color w:val="auto"/>
        </w:rPr>
      </w:pPr>
    </w:p>
    <w:p>
      <w:pPr>
        <w:jc w:val="both"/>
        <w:ind w:left="1180" w:right="20"/>
        <w:spacing w:after="0" w:line="263" w:lineRule="auto"/>
        <w:rPr>
          <w:sz w:val="20"/>
          <w:szCs w:val="20"/>
          <w:color w:val="auto"/>
        </w:rPr>
      </w:pPr>
      <w:r>
        <w:rPr>
          <w:rFonts w:ascii="Arial" w:cs="Arial" w:eastAsia="Arial" w:hAnsi="Arial"/>
          <w:sz w:val="16"/>
          <w:szCs w:val="16"/>
          <w:color w:val="auto"/>
        </w:rPr>
        <w:t>In the case of a person who retires from ExxonMobil on account of long-term disability prior to the first of the month in which the person attains payment of the benefit described in article 2 above shall occur on the first of the month in which the person attains age 55, or as soon as pra thereafter.</w:t>
      </w:r>
    </w:p>
    <w:p>
      <w:pPr>
        <w:spacing w:after="0" w:line="168"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4"/>
          <w:szCs w:val="14"/>
          <w:u w:val="single" w:color="auto"/>
          <w:color w:val="auto"/>
        </w:rPr>
        <w:t>Reduction for Early Commencement</w:t>
      </w:r>
    </w:p>
    <w:p>
      <w:pPr>
        <w:spacing w:after="0" w:line="24" w:lineRule="exact"/>
        <w:rPr>
          <w:sz w:val="20"/>
          <w:szCs w:val="20"/>
          <w:color w:val="auto"/>
        </w:rPr>
      </w:pPr>
    </w:p>
    <w:p>
      <w:pPr>
        <w:jc w:val="both"/>
        <w:ind w:left="600"/>
        <w:spacing w:after="0" w:line="271" w:lineRule="auto"/>
        <w:rPr>
          <w:sz w:val="20"/>
          <w:szCs w:val="20"/>
          <w:color w:val="auto"/>
        </w:rPr>
      </w:pPr>
      <w:r>
        <w:rPr>
          <w:rFonts w:ascii="Arial" w:cs="Arial" w:eastAsia="Arial" w:hAnsi="Arial"/>
          <w:sz w:val="16"/>
          <w:szCs w:val="16"/>
          <w:color w:val="auto"/>
        </w:rPr>
        <w:t>If payments under this Plan commence prior to the month in which the person reaches Normal Retirement Age, they are reduced by applying th commencement factors specified under the Pension Plan for a benefit commencing at the person’s then age.</w:t>
      </w:r>
    </w:p>
    <w:p>
      <w:pPr>
        <w:spacing w:after="0" w:line="161"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4"/>
          <w:szCs w:val="14"/>
          <w:u w:val="single" w:color="auto"/>
          <w:color w:val="auto"/>
        </w:rPr>
        <w:t>Form of Payment</w:t>
      </w:r>
    </w:p>
    <w:p>
      <w:pPr>
        <w:spacing w:after="0" w:line="24" w:lineRule="exact"/>
        <w:rPr>
          <w:sz w:val="20"/>
          <w:szCs w:val="20"/>
          <w:color w:val="auto"/>
        </w:rPr>
      </w:pPr>
    </w:p>
    <w:p>
      <w:pPr>
        <w:jc w:val="both"/>
        <w:ind w:left="600"/>
        <w:spacing w:after="0" w:line="318" w:lineRule="auto"/>
        <w:rPr>
          <w:sz w:val="20"/>
          <w:szCs w:val="20"/>
          <w:color w:val="auto"/>
        </w:rPr>
      </w:pPr>
      <w:r>
        <w:rPr>
          <w:rFonts w:ascii="Arial" w:cs="Arial" w:eastAsia="Arial" w:hAnsi="Arial"/>
          <w:sz w:val="14"/>
          <w:szCs w:val="14"/>
          <w:color w:val="auto"/>
        </w:rPr>
        <w:t>Payment of the benefit described in article 2 above shall be made in a lump sum that is the actuarial equivalent of the five-year-certain and life annuity cal under section 2.2(A) or 2.2(B)(1) or the actuarial equivalent of the PSSP benefit calculated under 2.2(B)(2). For this purpose, actuarial equivalence s determined by the Plan Administrator using the factors and procedures that are used for the calculation of the lump-sum payment option under the Pension Pla</w:t>
      </w:r>
    </w:p>
    <w:p>
      <w:pPr>
        <w:spacing w:after="0" w:line="133"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3.4</w:t>
      </w:r>
      <w:r>
        <w:rPr>
          <w:sz w:val="20"/>
          <w:szCs w:val="20"/>
          <w:color w:val="auto"/>
        </w:rPr>
        <w:tab/>
      </w:r>
      <w:r>
        <w:rPr>
          <w:rFonts w:ascii="Arial" w:cs="Arial" w:eastAsia="Arial" w:hAnsi="Arial"/>
          <w:sz w:val="15"/>
          <w:szCs w:val="15"/>
          <w:u w:val="single" w:color="auto"/>
          <w:color w:val="auto"/>
        </w:rPr>
        <w:t>Adjustment for Key Employees</w:t>
      </w:r>
    </w:p>
    <w:p>
      <w:pPr>
        <w:spacing w:after="0" w:line="2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If payment of a Key Employee’s benefit is delayed for six months following termination or retirement because of the requirement set out in section 3.1(A)(2)</w:t>
      </w:r>
    </w:p>
    <w:p>
      <w:pPr>
        <w:spacing w:after="0" w:line="2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then instead of the lump-sum benefit calculated under section 3.3 above, the person shall receive a lump-sum benefit equal to the greater of the following:</w:t>
      </w:r>
    </w:p>
    <w:p>
      <w:pPr>
        <w:spacing w:after="0" w:line="24" w:lineRule="exact"/>
        <w:rPr>
          <w:sz w:val="20"/>
          <w:szCs w:val="20"/>
          <w:color w:val="auto"/>
        </w:rPr>
      </w:pPr>
    </w:p>
    <w:p>
      <w:pPr>
        <w:jc w:val="both"/>
        <w:ind w:left="1180" w:hanging="586"/>
        <w:spacing w:after="0" w:line="255" w:lineRule="auto"/>
        <w:tabs>
          <w:tab w:leader="none" w:pos="1268"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lump-sum payment that would otherwise have been calculated for the person under section 3.3 above as if he were not a Key Employee, base payment date that would have applied to the individual if he were not a Key employee and on the actuarial factors applicable as of such date un ExxonMobil Pension Plan, plus interest for the period of delayed payment; or</w:t>
      </w:r>
    </w:p>
    <w:p>
      <w:pPr>
        <w:spacing w:after="0" w:line="1" w:lineRule="exact"/>
        <w:rPr>
          <w:rFonts w:ascii="Arial" w:cs="Arial" w:eastAsia="Arial" w:hAnsi="Arial"/>
          <w:sz w:val="16"/>
          <w:szCs w:val="16"/>
          <w:color w:val="auto"/>
        </w:rPr>
      </w:pPr>
    </w:p>
    <w:p>
      <w:pPr>
        <w:ind w:left="1180" w:hanging="586"/>
        <w:spacing w:after="0" w:line="255" w:lineRule="auto"/>
        <w:tabs>
          <w:tab w:leader="none" w:pos="1378" w:val="left"/>
        </w:tabs>
        <w:numPr>
          <w:ilvl w:val="0"/>
          <w:numId w:val="92"/>
        </w:numPr>
        <w:rPr>
          <w:rFonts w:ascii="Arial" w:cs="Arial" w:eastAsia="Arial" w:hAnsi="Arial"/>
          <w:sz w:val="16"/>
          <w:szCs w:val="16"/>
          <w:color w:val="auto"/>
        </w:rPr>
      </w:pPr>
      <w:r>
        <w:rPr>
          <w:rFonts w:ascii="Arial" w:cs="Arial" w:eastAsia="Arial" w:hAnsi="Arial"/>
          <w:sz w:val="16"/>
          <w:szCs w:val="16"/>
          <w:color w:val="auto"/>
        </w:rPr>
        <w:t>A lump-sum that is the actuarial equivalent of the person’s five-year-certain and life annuity calculated as of the delayed payment date and us actuarial factors applicable as of the six-month anniversary of the person’s retirement date.</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4"/>
          <w:szCs w:val="14"/>
          <w:color w:val="auto"/>
        </w:rPr>
        <w:t>Interest shall be credited under paragraph (A) above, at a rate equal to the Citibank prime lending rate in effect on the date the person separates from employm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557530</wp:posOffset>
            </wp:positionV>
            <wp:extent cx="7279640" cy="203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776" w:right="139" w:bottom="1440" w:gutter="0" w:footer="0" w:header="0"/>
        </w:sectPr>
      </w:pPr>
    </w:p>
    <w:bookmarkStart w:id="130" w:name="page131"/>
    <w:bookmarkEnd w:id="130"/>
    <w:p>
      <w:pPr>
        <w:ind w:left="5340" w:hanging="155"/>
        <w:spacing w:after="0"/>
        <w:tabs>
          <w:tab w:leader="none" w:pos="5340"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Death Benefit</w:t>
      </w:r>
    </w:p>
    <w:p>
      <w:pPr>
        <w:spacing w:after="0" w:line="208"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4"/>
          <w:szCs w:val="14"/>
          <w:u w:val="single" w:color="auto"/>
          <w:color w:val="auto"/>
        </w:rPr>
        <w:t>Benefits Payable On Account of Death</w:t>
      </w:r>
    </w:p>
    <w:p>
      <w:pPr>
        <w:spacing w:after="0" w:line="24" w:lineRule="exact"/>
        <w:rPr>
          <w:sz w:val="20"/>
          <w:szCs w:val="20"/>
          <w:color w:val="auto"/>
        </w:rPr>
      </w:pPr>
    </w:p>
    <w:p>
      <w:pPr>
        <w:ind w:left="1220" w:hanging="626"/>
        <w:spacing w:after="0"/>
        <w:tabs>
          <w:tab w:leader="none" w:pos="1220"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In General</w:t>
      </w:r>
    </w:p>
    <w:p>
      <w:pPr>
        <w:spacing w:after="0" w:line="12" w:lineRule="exact"/>
        <w:rPr>
          <w:sz w:val="20"/>
          <w:szCs w:val="20"/>
          <w:color w:val="auto"/>
        </w:rPr>
      </w:pPr>
    </w:p>
    <w:p>
      <w:pPr>
        <w:jc w:val="both"/>
        <w:ind w:left="1180"/>
        <w:spacing w:after="0" w:line="255" w:lineRule="auto"/>
        <w:rPr>
          <w:sz w:val="20"/>
          <w:szCs w:val="20"/>
          <w:color w:val="auto"/>
        </w:rPr>
      </w:pPr>
      <w:r>
        <w:rPr>
          <w:rFonts w:ascii="Arial" w:cs="Arial" w:eastAsia="Arial" w:hAnsi="Arial"/>
          <w:sz w:val="16"/>
          <w:szCs w:val="16"/>
          <w:color w:val="auto"/>
        </w:rPr>
        <w:t>In the event a portion of a pension death benefit or a “career annuity subject to deferred commencement that commences by reason of death” that b payable under the terms of the Pension Plan on account of the death of a participant cannot be paid from the Pension Plan because of the application sections 415 and 401(a)(17), a lump-sum death benefit of equivalent value shall be paid to the participant’s beneficiary (as determined under sec below) under this Plan. For this purpose, equivalent value shall be determined by the Plan Administrator using the factors and procedures that are u the calculation of similar benefits under the Pension Plan.</w:t>
      </w:r>
    </w:p>
    <w:p>
      <w:pPr>
        <w:spacing w:after="0" w:line="3" w:lineRule="exact"/>
        <w:rPr>
          <w:sz w:val="20"/>
          <w:szCs w:val="20"/>
          <w:color w:val="auto"/>
        </w:rPr>
      </w:pPr>
    </w:p>
    <w:p>
      <w:pPr>
        <w:ind w:left="1220" w:hanging="626"/>
        <w:spacing w:after="0"/>
        <w:tabs>
          <w:tab w:leader="none" w:pos="1220"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Excluded Benefits</w:t>
      </w:r>
    </w:p>
    <w:p>
      <w:pPr>
        <w:spacing w:after="0" w:line="12" w:lineRule="exact"/>
        <w:rPr>
          <w:sz w:val="20"/>
          <w:szCs w:val="20"/>
          <w:color w:val="auto"/>
        </w:rPr>
      </w:pPr>
    </w:p>
    <w:p>
      <w:pPr>
        <w:ind w:left="1180" w:right="80"/>
        <w:spacing w:after="0" w:line="271" w:lineRule="auto"/>
        <w:rPr>
          <w:sz w:val="20"/>
          <w:szCs w:val="20"/>
          <w:color w:val="auto"/>
        </w:rPr>
      </w:pPr>
      <w:r>
        <w:rPr>
          <w:rFonts w:ascii="Arial" w:cs="Arial" w:eastAsia="Arial" w:hAnsi="Arial"/>
          <w:sz w:val="16"/>
          <w:szCs w:val="16"/>
          <w:color w:val="auto"/>
        </w:rPr>
        <w:t>Neither the Qualified Joint and Survivor Annuity payment option, nor the Surviving Spouse Annuity benefit, as such are provided for under the Plan, are provided as benefits under this Plan.</w:t>
      </w:r>
    </w:p>
    <w:p>
      <w:pPr>
        <w:spacing w:after="0" w:line="161"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5"/>
          <w:szCs w:val="15"/>
          <w:u w:val="single" w:color="auto"/>
          <w:color w:val="auto"/>
        </w:rPr>
        <w:t>Designation of Beneficiaries</w:t>
      </w:r>
    </w:p>
    <w:p>
      <w:pPr>
        <w:spacing w:after="0" w:line="24" w:lineRule="exact"/>
        <w:rPr>
          <w:sz w:val="20"/>
          <w:szCs w:val="20"/>
          <w:color w:val="auto"/>
        </w:rPr>
      </w:pPr>
    </w:p>
    <w:p>
      <w:pPr>
        <w:ind w:left="1220" w:hanging="626"/>
        <w:spacing w:after="0"/>
        <w:tabs>
          <w:tab w:leader="none" w:pos="1220"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In General</w:t>
      </w:r>
    </w:p>
    <w:p>
      <w:pPr>
        <w:spacing w:after="0" w:line="12" w:lineRule="exact"/>
        <w:rPr>
          <w:sz w:val="20"/>
          <w:szCs w:val="20"/>
          <w:color w:val="auto"/>
        </w:rPr>
      </w:pPr>
    </w:p>
    <w:p>
      <w:pPr>
        <w:jc w:val="both"/>
        <w:ind w:left="1180"/>
        <w:spacing w:after="0" w:line="255" w:lineRule="auto"/>
        <w:rPr>
          <w:sz w:val="20"/>
          <w:szCs w:val="20"/>
          <w:color w:val="auto"/>
        </w:rPr>
      </w:pPr>
      <w:r>
        <w:rPr>
          <w:rFonts w:ascii="Arial" w:cs="Arial" w:eastAsia="Arial" w:hAnsi="Arial"/>
          <w:sz w:val="16"/>
          <w:szCs w:val="16"/>
          <w:color w:val="auto"/>
        </w:rPr>
        <w:t>A person may name one or more designated beneficiaries to receive the benefits payable under this Plan under section 4.1 above in the event of the p death. Beneficiary designations shall be made in accordance with such procedures as the Plan Administrator may establish. Spousal consent designation is not required.</w:t>
      </w:r>
    </w:p>
    <w:p>
      <w:pPr>
        <w:spacing w:after="0" w:line="2" w:lineRule="exact"/>
        <w:rPr>
          <w:sz w:val="20"/>
          <w:szCs w:val="20"/>
          <w:color w:val="auto"/>
        </w:rPr>
      </w:pPr>
    </w:p>
    <w:p>
      <w:pPr>
        <w:ind w:left="1220" w:hanging="626"/>
        <w:spacing w:after="0"/>
        <w:tabs>
          <w:tab w:leader="none" w:pos="1220"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Default Beneficiaries</w:t>
      </w:r>
    </w:p>
    <w:p>
      <w:pPr>
        <w:spacing w:after="0" w:line="12" w:lineRule="exact"/>
        <w:rPr>
          <w:rFonts w:ascii="Arial" w:cs="Arial" w:eastAsia="Arial" w:hAnsi="Arial"/>
          <w:sz w:val="16"/>
          <w:szCs w:val="16"/>
          <w:color w:val="auto"/>
        </w:rPr>
      </w:pPr>
    </w:p>
    <w:p>
      <w:pPr>
        <w:ind w:left="1820" w:hanging="638"/>
        <w:spacing w:after="0"/>
        <w:tabs>
          <w:tab w:leader="none" w:pos="1820"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In General</w:t>
      </w:r>
    </w:p>
    <w:p>
      <w:pPr>
        <w:spacing w:after="0" w:line="12" w:lineRule="exact"/>
        <w:rPr>
          <w:sz w:val="20"/>
          <w:szCs w:val="20"/>
          <w:color w:val="auto"/>
        </w:rPr>
      </w:pPr>
    </w:p>
    <w:p>
      <w:pPr>
        <w:ind w:left="1780"/>
        <w:spacing w:after="0" w:line="255" w:lineRule="auto"/>
        <w:rPr>
          <w:sz w:val="20"/>
          <w:szCs w:val="20"/>
          <w:color w:val="auto"/>
        </w:rPr>
      </w:pPr>
      <w:r>
        <w:rPr>
          <w:rFonts w:ascii="Arial" w:cs="Arial" w:eastAsia="Arial" w:hAnsi="Arial"/>
          <w:sz w:val="16"/>
          <w:szCs w:val="16"/>
          <w:color w:val="auto"/>
        </w:rPr>
        <w:t>If no specific designation is in effect, the deceased’s beneficiary is the person or persons in the first of the following classes of suc beneficiaries living at the time of death of the deceased:</w:t>
      </w:r>
    </w:p>
    <w:p>
      <w:pPr>
        <w:spacing w:after="0" w:line="1" w:lineRule="exact"/>
        <w:rPr>
          <w:sz w:val="20"/>
          <w:szCs w:val="20"/>
          <w:color w:val="auto"/>
        </w:rPr>
      </w:pPr>
    </w:p>
    <w:p>
      <w:pPr>
        <w:ind w:left="2400" w:hanging="629"/>
        <w:spacing w:after="0"/>
        <w:tabs>
          <w:tab w:leader="none" w:pos="24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spouse;</w:t>
      </w:r>
    </w:p>
    <w:p>
      <w:pPr>
        <w:spacing w:after="0" w:line="12" w:lineRule="exact"/>
        <w:rPr>
          <w:rFonts w:ascii="Arial" w:cs="Arial" w:eastAsia="Arial" w:hAnsi="Arial"/>
          <w:sz w:val="16"/>
          <w:szCs w:val="16"/>
          <w:color w:val="auto"/>
        </w:rPr>
      </w:pPr>
    </w:p>
    <w:p>
      <w:pPr>
        <w:ind w:left="2420" w:hanging="649"/>
        <w:spacing w:after="0"/>
        <w:tabs>
          <w:tab w:leader="none" w:pos="2420" w:val="left"/>
        </w:tabs>
        <w:numPr>
          <w:ilvl w:val="0"/>
          <w:numId w:val="98"/>
        </w:numPr>
        <w:rPr>
          <w:rFonts w:ascii="Arial" w:cs="Arial" w:eastAsia="Arial" w:hAnsi="Arial"/>
          <w:sz w:val="15"/>
          <w:szCs w:val="15"/>
          <w:color w:val="auto"/>
        </w:rPr>
      </w:pPr>
      <w:r>
        <w:rPr>
          <w:rFonts w:ascii="Arial" w:cs="Arial" w:eastAsia="Arial" w:hAnsi="Arial"/>
          <w:sz w:val="15"/>
          <w:szCs w:val="15"/>
          <w:color w:val="auto"/>
        </w:rPr>
        <w:t>children who survive the participant or who die before the participant leaving children of their own who survive the participant;</w:t>
      </w:r>
    </w:p>
    <w:p>
      <w:pPr>
        <w:spacing w:after="0" w:line="23" w:lineRule="exact"/>
        <w:rPr>
          <w:rFonts w:ascii="Arial" w:cs="Arial" w:eastAsia="Arial" w:hAnsi="Arial"/>
          <w:sz w:val="15"/>
          <w:szCs w:val="15"/>
          <w:color w:val="auto"/>
        </w:rPr>
      </w:pPr>
    </w:p>
    <w:p>
      <w:pPr>
        <w:ind w:left="2400" w:hanging="629"/>
        <w:spacing w:after="0"/>
        <w:tabs>
          <w:tab w:leader="none" w:pos="24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parents;</w:t>
      </w:r>
    </w:p>
    <w:p>
      <w:pPr>
        <w:spacing w:after="0" w:line="12" w:lineRule="exact"/>
        <w:rPr>
          <w:rFonts w:ascii="Arial" w:cs="Arial" w:eastAsia="Arial" w:hAnsi="Arial"/>
          <w:sz w:val="16"/>
          <w:szCs w:val="16"/>
          <w:color w:val="auto"/>
        </w:rPr>
      </w:pPr>
    </w:p>
    <w:p>
      <w:pPr>
        <w:ind w:left="2360" w:hanging="589"/>
        <w:spacing w:after="0" w:line="271" w:lineRule="auto"/>
        <w:tabs>
          <w:tab w:leader="none" w:pos="2672" w:val="left"/>
        </w:tabs>
        <w:numPr>
          <w:ilvl w:val="0"/>
          <w:numId w:val="98"/>
        </w:numPr>
        <w:rPr>
          <w:rFonts w:ascii="Arial" w:cs="Arial" w:eastAsia="Arial" w:hAnsi="Arial"/>
          <w:sz w:val="16"/>
          <w:szCs w:val="16"/>
          <w:color w:val="auto"/>
        </w:rPr>
      </w:pPr>
      <w:r>
        <w:rPr>
          <w:rFonts w:ascii="Arial" w:cs="Arial" w:eastAsia="Arial" w:hAnsi="Arial"/>
          <w:sz w:val="16"/>
          <w:szCs w:val="16"/>
          <w:color w:val="auto"/>
        </w:rPr>
        <w:t>brothers and sisters who survive the participant or who die before the participant leaving children of their own who surv participant.</w:t>
      </w:r>
    </w:p>
    <w:p>
      <w:pPr>
        <w:spacing w:after="0" w:line="161" w:lineRule="exact"/>
        <w:rPr>
          <w:sz w:val="20"/>
          <w:szCs w:val="20"/>
          <w:color w:val="auto"/>
        </w:rPr>
      </w:pPr>
    </w:p>
    <w:p>
      <w:pPr>
        <w:ind w:left="1820" w:hanging="638"/>
        <w:spacing w:after="0"/>
        <w:tabs>
          <w:tab w:leader="none" w:pos="1820"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Allocation among Default Beneficiaries</w:t>
      </w:r>
    </w:p>
    <w:p>
      <w:pPr>
        <w:spacing w:after="0" w:line="24" w:lineRule="exact"/>
        <w:rPr>
          <w:sz w:val="20"/>
          <w:szCs w:val="20"/>
          <w:color w:val="auto"/>
        </w:rPr>
      </w:pPr>
    </w:p>
    <w:p>
      <w:pPr>
        <w:jc w:val="both"/>
        <w:ind w:left="1780"/>
        <w:spacing w:after="0" w:line="255" w:lineRule="auto"/>
        <w:rPr>
          <w:sz w:val="20"/>
          <w:szCs w:val="20"/>
          <w:color w:val="auto"/>
        </w:rPr>
      </w:pPr>
      <w:r>
        <w:rPr>
          <w:rFonts w:ascii="Arial" w:cs="Arial" w:eastAsia="Arial" w:hAnsi="Arial"/>
          <w:sz w:val="16"/>
          <w:szCs w:val="16"/>
          <w:color w:val="auto"/>
        </w:rPr>
        <w:t>If the same class of beneficiaries under paragraph (1) above contains two or more persons, they share equally, with further subdivision equal shares as next provided. In class (b), where a child dies before the participant leaving children who survive the participant, such child is subdivided equally among those children. In class (d), where a brother or sister dies before the participant leaving children who surv participant, such brother or sister's share is subdivided equally among those children.</w:t>
      </w:r>
    </w:p>
    <w:p>
      <w:pPr>
        <w:spacing w:after="0" w:line="2" w:lineRule="exact"/>
        <w:rPr>
          <w:sz w:val="20"/>
          <w:szCs w:val="20"/>
          <w:color w:val="auto"/>
        </w:rPr>
      </w:pPr>
    </w:p>
    <w:p>
      <w:pPr>
        <w:ind w:left="1820" w:hanging="638"/>
        <w:spacing w:after="0"/>
        <w:tabs>
          <w:tab w:leader="none" w:pos="1820"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Definitions</w:t>
      </w:r>
    </w:p>
    <w:p>
      <w:pPr>
        <w:spacing w:after="0" w:line="12" w:lineRule="exact"/>
        <w:rPr>
          <w:sz w:val="20"/>
          <w:szCs w:val="20"/>
          <w:color w:val="auto"/>
        </w:rPr>
      </w:pPr>
    </w:p>
    <w:p>
      <w:pPr>
        <w:jc w:val="both"/>
        <w:ind w:left="1780" w:right="80"/>
        <w:spacing w:after="0" w:line="263" w:lineRule="auto"/>
        <w:rPr>
          <w:sz w:val="20"/>
          <w:szCs w:val="20"/>
          <w:color w:val="auto"/>
        </w:rPr>
      </w:pPr>
      <w:r>
        <w:rPr>
          <w:rFonts w:ascii="Arial" w:cs="Arial" w:eastAsia="Arial" w:hAnsi="Arial"/>
          <w:sz w:val="16"/>
          <w:szCs w:val="16"/>
          <w:color w:val="auto"/>
        </w:rPr>
        <w:t>For purposes of this section 4.2, "child" means a person's son or daughter by legitimate blood relationship or legal adoption; "parent" person's father or mother by legitimate blood relationship or legal adoption; "brother" or "sister" means another child of either or both parents.</w:t>
      </w:r>
    </w:p>
    <w:p>
      <w:pPr>
        <w:spacing w:after="0" w:line="364" w:lineRule="exact"/>
        <w:rPr>
          <w:sz w:val="20"/>
          <w:szCs w:val="20"/>
          <w:color w:val="auto"/>
        </w:rPr>
      </w:pPr>
    </w:p>
    <w:p>
      <w:pPr>
        <w:ind w:left="5320" w:hanging="172"/>
        <w:spacing w:after="0"/>
        <w:tabs>
          <w:tab w:leader="none" w:pos="5320"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Miscellaneous</w:t>
      </w:r>
    </w:p>
    <w:p>
      <w:pPr>
        <w:spacing w:after="0" w:line="208"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5"/>
          <w:szCs w:val="15"/>
          <w:u w:val="single" w:color="auto"/>
          <w:color w:val="auto"/>
        </w:rPr>
        <w:t>Administration of Plan</w:t>
      </w:r>
    </w:p>
    <w:p>
      <w:pPr>
        <w:spacing w:after="0" w:line="24" w:lineRule="exact"/>
        <w:rPr>
          <w:sz w:val="20"/>
          <w:szCs w:val="20"/>
          <w:color w:val="auto"/>
        </w:rPr>
      </w:pPr>
    </w:p>
    <w:p>
      <w:pPr>
        <w:jc w:val="both"/>
        <w:ind w:left="600" w:right="20"/>
        <w:spacing w:after="0" w:line="260" w:lineRule="auto"/>
        <w:rPr>
          <w:sz w:val="20"/>
          <w:szCs w:val="20"/>
          <w:color w:val="auto"/>
        </w:rPr>
      </w:pPr>
      <w:r>
        <w:rPr>
          <w:rFonts w:ascii="Arial" w:cs="Arial" w:eastAsia="Arial" w:hAnsi="Arial"/>
          <w:sz w:val="16"/>
          <w:szCs w:val="16"/>
          <w:color w:val="auto"/>
        </w:rPr>
        <w:t>The Plan Administrator shall be the Manager, Compensation, Benefit Plans and Policies, Human Resources Department, Exxon Mobil Corporation. T Administrator shall have the right and authority to conclusively interpret this Plan for all purposes, including the determination of any person’s eligibility for hereunder and the resolution of any and all appeals relating to claims by participants or beneficiaries, with any such interpretation being conclusive participants and beneficiaries.</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4"/>
          <w:szCs w:val="14"/>
          <w:u w:val="single" w:color="auto"/>
          <w:color w:val="auto"/>
        </w:rPr>
        <w:t>Nature of Payments</w:t>
      </w:r>
    </w:p>
    <w:p>
      <w:pPr>
        <w:spacing w:after="0" w:line="2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Payments provided under this Plan are considered general obligations of the Corporation.</w:t>
      </w:r>
    </w:p>
    <w:p>
      <w:pPr>
        <w:spacing w:after="0" w:line="197"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5"/>
          <w:szCs w:val="15"/>
          <w:u w:val="single" w:color="auto"/>
          <w:color w:val="auto"/>
        </w:rPr>
        <w:t>Assignment or Alienation</w:t>
      </w:r>
    </w:p>
    <w:p>
      <w:pPr>
        <w:spacing w:after="0" w:line="37"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549910</wp:posOffset>
            </wp:positionV>
            <wp:extent cx="7279640" cy="203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776" w:right="139" w:bottom="1440" w:gutter="0" w:footer="0" w:header="0"/>
        </w:sectPr>
      </w:pPr>
    </w:p>
    <w:bookmarkStart w:id="131" w:name="page132"/>
    <w:bookmarkEnd w:id="131"/>
    <w:p>
      <w:pPr>
        <w:ind w:left="600"/>
        <w:spacing w:after="0"/>
        <w:rPr>
          <w:sz w:val="20"/>
          <w:szCs w:val="20"/>
          <w:color w:val="auto"/>
        </w:rPr>
      </w:pPr>
      <w:r>
        <w:rPr>
          <w:rFonts w:ascii="Arial" w:cs="Arial" w:eastAsia="Arial" w:hAnsi="Arial"/>
          <w:sz w:val="16"/>
          <w:szCs w:val="16"/>
          <w:color w:val="auto"/>
        </w:rPr>
        <w:t>Except as provided in section 5.5 below, payments provided under this Plan may not be assigned or otherwise alienated or pledged.</w:t>
      </w:r>
    </w:p>
    <w:p>
      <w:pPr>
        <w:spacing w:after="0" w:line="208"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5"/>
          <w:szCs w:val="15"/>
          <w:u w:val="single" w:color="auto"/>
          <w:color w:val="auto"/>
        </w:rPr>
        <w:t>Amendment or Termination</w:t>
      </w:r>
    </w:p>
    <w:p>
      <w:pPr>
        <w:spacing w:after="0" w:line="24" w:lineRule="exact"/>
        <w:rPr>
          <w:sz w:val="20"/>
          <w:szCs w:val="20"/>
          <w:color w:val="auto"/>
        </w:rPr>
      </w:pPr>
    </w:p>
    <w:p>
      <w:pPr>
        <w:ind w:left="600" w:right="80"/>
        <w:spacing w:after="0" w:line="271" w:lineRule="auto"/>
        <w:rPr>
          <w:sz w:val="20"/>
          <w:szCs w:val="20"/>
          <w:color w:val="auto"/>
        </w:rPr>
      </w:pPr>
      <w:r>
        <w:rPr>
          <w:rFonts w:ascii="Arial" w:cs="Arial" w:eastAsia="Arial" w:hAnsi="Arial"/>
          <w:sz w:val="16"/>
          <w:szCs w:val="16"/>
          <w:color w:val="auto"/>
        </w:rPr>
        <w:t>The Corporation reserves the right to amend or terminate this Plan, in whole or in part, including the right at any time to reduce or eliminate any accrued hereunder and to alter or amend the benefit formula set out herein.</w:t>
      </w:r>
    </w:p>
    <w:p>
      <w:pPr>
        <w:spacing w:after="0" w:line="161"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5.5</w:t>
      </w:r>
      <w:r>
        <w:rPr>
          <w:sz w:val="20"/>
          <w:szCs w:val="20"/>
          <w:color w:val="auto"/>
        </w:rPr>
        <w:tab/>
      </w:r>
      <w:r>
        <w:rPr>
          <w:rFonts w:ascii="Arial" w:cs="Arial" w:eastAsia="Arial" w:hAnsi="Arial"/>
          <w:sz w:val="15"/>
          <w:szCs w:val="15"/>
          <w:u w:val="single" w:color="auto"/>
          <w:color w:val="auto"/>
        </w:rPr>
        <w:t>Forfeiture of Benefits</w:t>
      </w:r>
    </w:p>
    <w:p>
      <w:pPr>
        <w:spacing w:after="0" w:line="24" w:lineRule="exact"/>
        <w:rPr>
          <w:sz w:val="20"/>
          <w:szCs w:val="20"/>
          <w:color w:val="auto"/>
        </w:rPr>
      </w:pPr>
    </w:p>
    <w:p>
      <w:pPr>
        <w:jc w:val="both"/>
        <w:ind w:left="600"/>
        <w:spacing w:after="0" w:line="255" w:lineRule="auto"/>
        <w:rPr>
          <w:sz w:val="20"/>
          <w:szCs w:val="20"/>
          <w:color w:val="auto"/>
        </w:rPr>
      </w:pPr>
      <w:r>
        <w:rPr>
          <w:rFonts w:ascii="Arial" w:cs="Arial" w:eastAsia="Arial" w:hAnsi="Arial"/>
          <w:sz w:val="16"/>
          <w:szCs w:val="16"/>
          <w:color w:val="auto"/>
        </w:rPr>
        <w:t>No person shall be entitled to receive payments under this Plan and any payments received under this Plan shall be forfeited and returned if it is determined Corporation in its sole discretion, acting through its chief executive or such person or committee as the chief executive may designate, that a person ot entitled to a payment under this Plan or who has commenced receiving payments under this Plan:</w:t>
      </w:r>
    </w:p>
    <w:p>
      <w:pPr>
        <w:spacing w:after="0" w:line="2" w:lineRule="exact"/>
        <w:rPr>
          <w:sz w:val="20"/>
          <w:szCs w:val="20"/>
          <w:color w:val="auto"/>
        </w:rPr>
      </w:pPr>
    </w:p>
    <w:p>
      <w:pPr>
        <w:ind w:left="1220" w:hanging="626"/>
        <w:spacing w:after="0"/>
        <w:tabs>
          <w:tab w:leader="none" w:pos="12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engaged in gross misconduct harmful to the Corporation,</w:t>
      </w:r>
    </w:p>
    <w:p>
      <w:pPr>
        <w:spacing w:after="0" w:line="12" w:lineRule="exact"/>
        <w:rPr>
          <w:rFonts w:ascii="Arial" w:cs="Arial" w:eastAsia="Arial" w:hAnsi="Arial"/>
          <w:sz w:val="16"/>
          <w:szCs w:val="16"/>
          <w:color w:val="auto"/>
        </w:rPr>
      </w:pPr>
    </w:p>
    <w:p>
      <w:pPr>
        <w:ind w:left="1220" w:hanging="626"/>
        <w:spacing w:after="0"/>
        <w:tabs>
          <w:tab w:leader="none" w:pos="12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committed a criminal violation harmful to the Corporation,</w:t>
      </w:r>
    </w:p>
    <w:p>
      <w:pPr>
        <w:spacing w:after="0" w:line="12" w:lineRule="exact"/>
        <w:rPr>
          <w:rFonts w:ascii="Arial" w:cs="Arial" w:eastAsia="Arial" w:hAnsi="Arial"/>
          <w:sz w:val="16"/>
          <w:szCs w:val="16"/>
          <w:color w:val="auto"/>
        </w:rPr>
      </w:pPr>
    </w:p>
    <w:p>
      <w:pPr>
        <w:ind w:left="1180" w:hanging="586"/>
        <w:spacing w:after="0" w:line="255" w:lineRule="auto"/>
        <w:tabs>
          <w:tab w:leader="none" w:pos="1261" w:val="left"/>
        </w:tabs>
        <w:numPr>
          <w:ilvl w:val="0"/>
          <w:numId w:val="102"/>
        </w:numPr>
        <w:rPr>
          <w:rFonts w:ascii="Arial" w:cs="Arial" w:eastAsia="Arial" w:hAnsi="Arial"/>
          <w:sz w:val="16"/>
          <w:szCs w:val="16"/>
          <w:color w:val="auto"/>
        </w:rPr>
      </w:pPr>
      <w:r>
        <w:rPr>
          <w:rFonts w:ascii="Arial" w:cs="Arial" w:eastAsia="Arial" w:hAnsi="Arial"/>
          <w:sz w:val="16"/>
          <w:szCs w:val="16"/>
          <w:color w:val="auto"/>
        </w:rPr>
        <w:t>had concealed actions described in paragraph (A) or (B) above which would have brought about termination from employment thereby making the ineligible for benefits under this Plan,</w:t>
      </w:r>
    </w:p>
    <w:p>
      <w:pPr>
        <w:spacing w:after="0" w:line="1" w:lineRule="exact"/>
        <w:rPr>
          <w:rFonts w:ascii="Arial" w:cs="Arial" w:eastAsia="Arial" w:hAnsi="Arial"/>
          <w:sz w:val="16"/>
          <w:szCs w:val="16"/>
          <w:color w:val="auto"/>
        </w:rPr>
      </w:pPr>
    </w:p>
    <w:p>
      <w:pPr>
        <w:jc w:val="both"/>
        <w:ind w:left="1180" w:hanging="586"/>
        <w:spacing w:after="0" w:line="255" w:lineRule="auto"/>
        <w:tabs>
          <w:tab w:leader="none" w:pos="1286"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separated from service prior to attaining Normal Retirement Age without having received from the Corporation or its delegatee prior written appr such termination, given in the sole discretion of the Corporation or its delegatee and in the context of recognition that benefits under this Plan would forfeited upon such termination, or</w:t>
      </w:r>
    </w:p>
    <w:p>
      <w:pPr>
        <w:spacing w:after="0" w:line="1" w:lineRule="exact"/>
        <w:rPr>
          <w:rFonts w:ascii="Arial" w:cs="Arial" w:eastAsia="Arial" w:hAnsi="Arial"/>
          <w:sz w:val="16"/>
          <w:szCs w:val="16"/>
          <w:color w:val="auto"/>
        </w:rPr>
      </w:pPr>
    </w:p>
    <w:p>
      <w:pPr>
        <w:ind w:left="1260" w:hanging="666"/>
        <w:spacing w:after="0"/>
        <w:tabs>
          <w:tab w:leader="none" w:pos="12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had been terminated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549910</wp:posOffset>
            </wp:positionV>
            <wp:extent cx="7279640" cy="203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776" w:right="139" w:bottom="1440" w:gutter="0" w:footer="0" w:header="0"/>
        </w:sectPr>
      </w:pPr>
    </w:p>
    <w:bookmarkStart w:id="132" w:name="page133"/>
    <w:bookmarkEnd w:id="132"/>
    <w:p>
      <w:pPr>
        <w:ind w:left="3860"/>
        <w:spacing w:after="0"/>
        <w:rPr>
          <w:sz w:val="20"/>
          <w:szCs w:val="20"/>
          <w:color w:val="auto"/>
        </w:rPr>
      </w:pPr>
      <w:r>
        <w:rPr>
          <w:rFonts w:ascii="Arial" w:cs="Arial" w:eastAsia="Arial" w:hAnsi="Arial"/>
          <w:sz w:val="16"/>
          <w:szCs w:val="16"/>
          <w:u w:val="single" w:color="auto"/>
          <w:color w:val="auto"/>
        </w:rPr>
        <w:t>KEY EMPLOYEE SUPPLEMENTAL PENSION PLAN</w:t>
      </w:r>
    </w:p>
    <w:p>
      <w:pPr>
        <w:spacing w:after="0" w:line="200" w:lineRule="exact"/>
        <w:rPr>
          <w:sz w:val="20"/>
          <w:szCs w:val="20"/>
          <w:color w:val="auto"/>
        </w:rPr>
      </w:pPr>
    </w:p>
    <w:p>
      <w:pPr>
        <w:spacing w:after="0" w:line="204"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 xml:space="preserve">K1. </w:t>
      </w:r>
      <w:r>
        <w:rPr>
          <w:rFonts w:ascii="Arial" w:cs="Arial" w:eastAsia="Arial" w:hAnsi="Arial"/>
          <w:sz w:val="16"/>
          <w:szCs w:val="16"/>
          <w:u w:val="single" w:color="auto"/>
          <w:color w:val="auto"/>
        </w:rPr>
        <w:t>Purpose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This Plan provides payments from the general assets of Exxon Mobil Corporation (“Corporation”) to those persons who, as of December 31, 1993,</w:t>
      </w:r>
    </w:p>
    <w:p>
      <w:pPr>
        <w:spacing w:after="0" w:line="24" w:lineRule="exact"/>
        <w:rPr>
          <w:sz w:val="20"/>
          <w:szCs w:val="20"/>
          <w:color w:val="auto"/>
        </w:rPr>
      </w:pPr>
    </w:p>
    <w:p>
      <w:pPr>
        <w:ind w:left="1220" w:hanging="626"/>
        <w:spacing w:after="0"/>
        <w:tabs>
          <w:tab w:leader="none" w:pos="12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were classified at level 36 or above,</w:t>
      </w:r>
    </w:p>
    <w:p>
      <w:pPr>
        <w:spacing w:after="0" w:line="12" w:lineRule="exact"/>
        <w:rPr>
          <w:rFonts w:ascii="Arial" w:cs="Arial" w:eastAsia="Arial" w:hAnsi="Arial"/>
          <w:sz w:val="16"/>
          <w:szCs w:val="16"/>
          <w:color w:val="auto"/>
        </w:rPr>
      </w:pPr>
    </w:p>
    <w:p>
      <w:pPr>
        <w:ind w:left="1220" w:hanging="626"/>
        <w:spacing w:after="0"/>
        <w:tabs>
          <w:tab w:leader="none" w:pos="12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were age 50 and above, and</w:t>
      </w:r>
    </w:p>
    <w:p>
      <w:pPr>
        <w:spacing w:after="0" w:line="12" w:lineRule="exact"/>
        <w:rPr>
          <w:rFonts w:ascii="Arial" w:cs="Arial" w:eastAsia="Arial" w:hAnsi="Arial"/>
          <w:sz w:val="16"/>
          <w:szCs w:val="16"/>
          <w:color w:val="auto"/>
        </w:rPr>
      </w:pPr>
    </w:p>
    <w:p>
      <w:pPr>
        <w:jc w:val="both"/>
        <w:ind w:left="1180" w:hanging="586"/>
        <w:spacing w:after="0" w:line="255" w:lineRule="auto"/>
        <w:tabs>
          <w:tab w:leader="none" w:pos="1256"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were participants in the Annuity Plan of Exxon Corporation (“Annuity Plan”) and who, because of the application of United States Internal Revenu (“Code”) sections 415 and 401(a)(17), would have been precluded from receiving from Annuity Plan funded assets all the payments to which they otherwise be entitled under the Annuity Plan's formula.</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This Plan expresses the Corporation's commitment to provide such equivalent payments and sets forth the method for doing so.</w:t>
      </w:r>
    </w:p>
    <w:p>
      <w:pPr>
        <w:spacing w:after="0" w:line="393"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 xml:space="preserve">K2. </w:t>
      </w:r>
      <w:r>
        <w:rPr>
          <w:rFonts w:ascii="Arial" w:cs="Arial" w:eastAsia="Arial" w:hAnsi="Arial"/>
          <w:sz w:val="16"/>
          <w:szCs w:val="16"/>
          <w:u w:val="single" w:color="auto"/>
          <w:color w:val="auto"/>
        </w:rPr>
        <w:t>Benefits</w:t>
      </w:r>
    </w:p>
    <w:p>
      <w:pPr>
        <w:spacing w:after="0" w:line="208"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K2.1</w:t>
      </w:r>
      <w:r>
        <w:rPr>
          <w:sz w:val="20"/>
          <w:szCs w:val="20"/>
          <w:color w:val="auto"/>
        </w:rPr>
        <w:tab/>
      </w:r>
      <w:r>
        <w:rPr>
          <w:rFonts w:ascii="Arial" w:cs="Arial" w:eastAsia="Arial" w:hAnsi="Arial"/>
          <w:sz w:val="15"/>
          <w:szCs w:val="15"/>
          <w:u w:val="single" w:color="auto"/>
          <w:color w:val="auto"/>
        </w:rPr>
        <w:t>Benefit Formula</w:t>
      </w:r>
    </w:p>
    <w:p>
      <w:pPr>
        <w:spacing w:after="0" w:line="24" w:lineRule="exact"/>
        <w:rPr>
          <w:sz w:val="20"/>
          <w:szCs w:val="20"/>
          <w:color w:val="auto"/>
        </w:rPr>
      </w:pPr>
    </w:p>
    <w:p>
      <w:pPr>
        <w:jc w:val="both"/>
        <w:ind w:left="600"/>
        <w:spacing w:after="0" w:line="280" w:lineRule="auto"/>
        <w:rPr>
          <w:sz w:val="20"/>
          <w:szCs w:val="20"/>
          <w:color w:val="auto"/>
        </w:rPr>
      </w:pPr>
      <w:r>
        <w:rPr>
          <w:rFonts w:ascii="Arial" w:cs="Arial" w:eastAsia="Arial" w:hAnsi="Arial"/>
          <w:sz w:val="15"/>
          <w:szCs w:val="15"/>
          <w:color w:val="auto"/>
        </w:rPr>
        <w:t>As to any participant eligible for payment under this Plan, the value of such payments shall be an amount that when added to the normal form amount that cou been paid to the participant from the Annuity Plan's qualified funded assets, produces a sum equal to the total normal form amount to which the participan have been entitled computed under the Annuity Plan formula applicable to that participant as of December 31, 1993, disregarding any reductions, restrict limitations brought about by Code sections 415 and 401(a)(17). Where relevant, all computations will take into account any entitlement the participant m under the Overseas Contributory Annuity Plan. A participant in this Plan shall have a non-forfeitable right to this amount.</w:t>
      </w:r>
    </w:p>
    <w:p>
      <w:pPr>
        <w:spacing w:after="0" w:line="159"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K2.2</w:t>
      </w:r>
      <w:r>
        <w:rPr>
          <w:sz w:val="20"/>
          <w:szCs w:val="20"/>
          <w:color w:val="auto"/>
        </w:rPr>
        <w:tab/>
      </w:r>
      <w:r>
        <w:rPr>
          <w:rFonts w:ascii="Arial" w:cs="Arial" w:eastAsia="Arial" w:hAnsi="Arial"/>
          <w:sz w:val="14"/>
          <w:szCs w:val="14"/>
          <w:u w:val="single" w:color="auto"/>
          <w:color w:val="auto"/>
        </w:rPr>
        <w:t>Benefit Payable On Account of Death</w:t>
      </w:r>
    </w:p>
    <w:p>
      <w:pPr>
        <w:spacing w:after="0" w:line="24" w:lineRule="exact"/>
        <w:rPr>
          <w:sz w:val="20"/>
          <w:szCs w:val="20"/>
          <w:color w:val="auto"/>
        </w:rPr>
      </w:pPr>
    </w:p>
    <w:p>
      <w:pPr>
        <w:ind w:left="1220" w:hanging="626"/>
        <w:spacing w:after="0"/>
        <w:tabs>
          <w:tab w:leader="none" w:pos="122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Death Benefit</w:t>
      </w:r>
    </w:p>
    <w:p>
      <w:pPr>
        <w:spacing w:after="0" w:line="12" w:lineRule="exact"/>
        <w:rPr>
          <w:sz w:val="20"/>
          <w:szCs w:val="20"/>
          <w:color w:val="auto"/>
        </w:rPr>
      </w:pPr>
    </w:p>
    <w:p>
      <w:pPr>
        <w:jc w:val="both"/>
        <w:ind w:left="1180"/>
        <w:spacing w:after="0" w:line="292" w:lineRule="auto"/>
        <w:rPr>
          <w:sz w:val="20"/>
          <w:szCs w:val="20"/>
          <w:color w:val="auto"/>
        </w:rPr>
      </w:pPr>
      <w:r>
        <w:rPr>
          <w:rFonts w:ascii="Arial" w:cs="Arial" w:eastAsia="Arial" w:hAnsi="Arial"/>
          <w:sz w:val="14"/>
          <w:szCs w:val="14"/>
          <w:color w:val="auto"/>
        </w:rPr>
        <w:t>In the event a pension death benefit is payable under the terms of the ExxonMobil Pension Plan (“Pension Plan”) on account of the death of a partic death benefit shall be payable under this Plan equal to the lump-sum value of the benefit that would have been payable under section K2.1 abov participant if the participant had not died but had terminated employment and had elected to commence his or her benefit as of the date of death.</w:t>
      </w:r>
    </w:p>
    <w:p>
      <w:pPr>
        <w:spacing w:after="0" w:line="1" w:lineRule="exact"/>
        <w:rPr>
          <w:sz w:val="20"/>
          <w:szCs w:val="20"/>
          <w:color w:val="auto"/>
        </w:rPr>
      </w:pPr>
    </w:p>
    <w:p>
      <w:pPr>
        <w:ind w:left="1220" w:hanging="626"/>
        <w:spacing w:after="0"/>
        <w:tabs>
          <w:tab w:leader="none" w:pos="1220"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Deferred Annuity Death Benefit</w:t>
      </w:r>
    </w:p>
    <w:p>
      <w:pPr>
        <w:spacing w:after="0" w:line="12" w:lineRule="exact"/>
        <w:rPr>
          <w:sz w:val="20"/>
          <w:szCs w:val="20"/>
          <w:color w:val="auto"/>
        </w:rPr>
      </w:pPr>
    </w:p>
    <w:p>
      <w:pPr>
        <w:jc w:val="both"/>
        <w:ind w:left="1180" w:right="40"/>
        <w:spacing w:after="0" w:line="255" w:lineRule="auto"/>
        <w:rPr>
          <w:sz w:val="20"/>
          <w:szCs w:val="20"/>
          <w:color w:val="auto"/>
        </w:rPr>
      </w:pPr>
      <w:r>
        <w:rPr>
          <w:rFonts w:ascii="Arial" w:cs="Arial" w:eastAsia="Arial" w:hAnsi="Arial"/>
          <w:sz w:val="16"/>
          <w:szCs w:val="16"/>
          <w:color w:val="auto"/>
        </w:rPr>
        <w:t>In the event a “Career Annuity subject to deferred commencement that commences by reason of death” is payable under the terms of the Pension account of the death of a participant, a similar benefit shall be payable under this Plan based on the benefit that would have been payable under secti above to the participant if the participant had not died.</w:t>
      </w:r>
    </w:p>
    <w:p>
      <w:pPr>
        <w:spacing w:after="0" w:line="2" w:lineRule="exact"/>
        <w:rPr>
          <w:sz w:val="20"/>
          <w:szCs w:val="20"/>
          <w:color w:val="auto"/>
        </w:rPr>
      </w:pPr>
    </w:p>
    <w:p>
      <w:pPr>
        <w:ind w:left="1220" w:hanging="626"/>
        <w:spacing w:after="0"/>
        <w:tabs>
          <w:tab w:leader="none" w:pos="1220"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Calculation Methodology</w:t>
      </w:r>
    </w:p>
    <w:p>
      <w:pPr>
        <w:spacing w:after="0" w:line="12" w:lineRule="exact"/>
        <w:rPr>
          <w:sz w:val="20"/>
          <w:szCs w:val="20"/>
          <w:color w:val="auto"/>
        </w:rPr>
      </w:pPr>
    </w:p>
    <w:p>
      <w:pPr>
        <w:ind w:left="1180" w:right="60"/>
        <w:spacing w:after="0" w:line="255" w:lineRule="auto"/>
        <w:rPr>
          <w:sz w:val="20"/>
          <w:szCs w:val="20"/>
          <w:color w:val="auto"/>
        </w:rPr>
      </w:pPr>
      <w:r>
        <w:rPr>
          <w:rFonts w:ascii="Arial" w:cs="Arial" w:eastAsia="Arial" w:hAnsi="Arial"/>
          <w:sz w:val="16"/>
          <w:szCs w:val="16"/>
          <w:color w:val="auto"/>
        </w:rPr>
        <w:t>The exact nature and amounts of any benefit payable under paragraph (A) or (B) shall be determined under a methodology established from time to the Plan Administrator.</w:t>
      </w:r>
    </w:p>
    <w:p>
      <w:pPr>
        <w:spacing w:after="0" w:line="1" w:lineRule="exact"/>
        <w:rPr>
          <w:sz w:val="20"/>
          <w:szCs w:val="20"/>
          <w:color w:val="auto"/>
        </w:rPr>
      </w:pPr>
    </w:p>
    <w:p>
      <w:pPr>
        <w:ind w:left="1220" w:hanging="626"/>
        <w:spacing w:after="0"/>
        <w:tabs>
          <w:tab w:leader="none" w:pos="1220"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Excluded Benefits</w:t>
      </w:r>
    </w:p>
    <w:p>
      <w:pPr>
        <w:spacing w:after="0" w:line="197" w:lineRule="exact"/>
        <w:rPr>
          <w:sz w:val="20"/>
          <w:szCs w:val="20"/>
          <w:color w:val="auto"/>
        </w:rPr>
      </w:pPr>
    </w:p>
    <w:p>
      <w:pPr>
        <w:ind w:left="1820" w:hanging="638"/>
        <w:spacing w:after="0"/>
        <w:tabs>
          <w:tab w:leader="none" w:pos="18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legally mandated Qualified Joint and Survivor Annuity, and</w:t>
      </w:r>
    </w:p>
    <w:p>
      <w:pPr>
        <w:spacing w:after="0" w:line="23" w:lineRule="exact"/>
        <w:rPr>
          <w:rFonts w:ascii="Arial" w:cs="Arial" w:eastAsia="Arial" w:hAnsi="Arial"/>
          <w:sz w:val="16"/>
          <w:szCs w:val="16"/>
          <w:color w:val="auto"/>
        </w:rPr>
      </w:pPr>
    </w:p>
    <w:p>
      <w:pPr>
        <w:ind w:left="1820" w:hanging="638"/>
        <w:spacing w:after="0"/>
        <w:tabs>
          <w:tab w:leader="none" w:pos="18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right to elect a Surviving Spouse Annuity</w:t>
      </w:r>
    </w:p>
    <w:p>
      <w:pPr>
        <w:spacing w:after="0" w:line="12"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as such are established for married participants in the Pension Plan.</w:t>
      </w:r>
    </w:p>
    <w:p>
      <w:pPr>
        <w:spacing w:after="0" w:line="393"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 xml:space="preserve">K3. </w:t>
      </w:r>
      <w:r>
        <w:rPr>
          <w:rFonts w:ascii="Arial" w:cs="Arial" w:eastAsia="Arial" w:hAnsi="Arial"/>
          <w:sz w:val="16"/>
          <w:szCs w:val="16"/>
          <w:u w:val="single" w:color="auto"/>
          <w:color w:val="auto"/>
        </w:rPr>
        <w:t>Beneficiaries</w:t>
      </w:r>
    </w:p>
    <w:p>
      <w:pPr>
        <w:spacing w:after="0" w:line="208"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K3.1</w:t>
      </w:r>
      <w:r>
        <w:rPr>
          <w:sz w:val="20"/>
          <w:szCs w:val="20"/>
          <w:color w:val="auto"/>
        </w:rPr>
        <w:tab/>
      </w:r>
      <w:r>
        <w:rPr>
          <w:rFonts w:ascii="Arial" w:cs="Arial" w:eastAsia="Arial" w:hAnsi="Arial"/>
          <w:sz w:val="15"/>
          <w:szCs w:val="15"/>
          <w:u w:val="single" w:color="auto"/>
          <w:color w:val="auto"/>
        </w:rPr>
        <w:t>Designation of Beneficiaries</w:t>
      </w:r>
    </w:p>
    <w:p>
      <w:pPr>
        <w:spacing w:after="0" w:line="24" w:lineRule="exact"/>
        <w:rPr>
          <w:sz w:val="20"/>
          <w:szCs w:val="20"/>
          <w:color w:val="auto"/>
        </w:rPr>
      </w:pPr>
    </w:p>
    <w:p>
      <w:pPr>
        <w:jc w:val="both"/>
        <w:ind w:left="600"/>
        <w:spacing w:after="0" w:line="263" w:lineRule="auto"/>
        <w:rPr>
          <w:sz w:val="20"/>
          <w:szCs w:val="20"/>
          <w:color w:val="auto"/>
        </w:rPr>
      </w:pPr>
      <w:r>
        <w:rPr>
          <w:rFonts w:ascii="Arial" w:cs="Arial" w:eastAsia="Arial" w:hAnsi="Arial"/>
          <w:sz w:val="16"/>
          <w:szCs w:val="16"/>
          <w:color w:val="auto"/>
        </w:rPr>
        <w:t>A person entitled to receive benefits under this Plan may name one or more designated beneficiaries to receive the benefits payable under this Plan under K2.2 above in the event of the person's death in accordance with such procedures as the Plan Administrator may establish. Spousal consent to any designatio required.</w:t>
      </w:r>
    </w:p>
    <w:p>
      <w:pPr>
        <w:spacing w:after="0" w:line="168"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K3.2</w:t>
      </w:r>
      <w:r>
        <w:rPr>
          <w:sz w:val="20"/>
          <w:szCs w:val="20"/>
          <w:color w:val="auto"/>
        </w:rPr>
        <w:tab/>
      </w:r>
      <w:r>
        <w:rPr>
          <w:rFonts w:ascii="Arial" w:cs="Arial" w:eastAsia="Arial" w:hAnsi="Arial"/>
          <w:sz w:val="15"/>
          <w:szCs w:val="15"/>
          <w:u w:val="single" w:color="auto"/>
          <w:color w:val="auto"/>
        </w:rPr>
        <w:t>Default Beneficiaries</w:t>
      </w:r>
    </w:p>
    <w:p>
      <w:pPr>
        <w:spacing w:after="0" w:line="24" w:lineRule="exact"/>
        <w:rPr>
          <w:sz w:val="20"/>
          <w:szCs w:val="20"/>
          <w:color w:val="auto"/>
        </w:rPr>
      </w:pPr>
    </w:p>
    <w:p>
      <w:pPr>
        <w:ind w:left="1220" w:hanging="626"/>
        <w:spacing w:after="0"/>
        <w:tabs>
          <w:tab w:leader="none" w:pos="1220"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In General</w:t>
      </w:r>
    </w:p>
    <w:p>
      <w:pPr>
        <w:spacing w:after="0" w:line="12" w:lineRule="exact"/>
        <w:rPr>
          <w:sz w:val="20"/>
          <w:szCs w:val="20"/>
          <w:color w:val="auto"/>
        </w:rPr>
      </w:pPr>
    </w:p>
    <w:p>
      <w:pPr>
        <w:ind w:left="1180"/>
        <w:spacing w:after="0" w:line="264" w:lineRule="auto"/>
        <w:rPr>
          <w:sz w:val="20"/>
          <w:szCs w:val="20"/>
          <w:color w:val="auto"/>
        </w:rPr>
      </w:pPr>
      <w:r>
        <w:rPr>
          <w:rFonts w:ascii="Arial" w:cs="Arial" w:eastAsia="Arial" w:hAnsi="Arial"/>
          <w:sz w:val="16"/>
          <w:szCs w:val="16"/>
          <w:color w:val="auto"/>
        </w:rPr>
        <w:t>If no specific designation is in effect, the deceased’s beneficiary is the person or persons in the first of the following classes of successive benef living at the time of death of the deceased:</w:t>
      </w:r>
    </w:p>
    <w:p>
      <w:pPr>
        <w:jc w:val="center"/>
        <w:ind w:left="114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549910</wp:posOffset>
            </wp:positionV>
            <wp:extent cx="7279640" cy="203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776" w:right="139" w:bottom="1440" w:gutter="0" w:footer="0" w:header="0"/>
        </w:sectPr>
      </w:pPr>
    </w:p>
    <w:bookmarkStart w:id="133" w:name="page134"/>
    <w:bookmarkEnd w:id="133"/>
    <w:p>
      <w:pPr>
        <w:ind w:left="1820" w:hanging="638"/>
        <w:spacing w:after="0"/>
        <w:tabs>
          <w:tab w:leader="none" w:pos="182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spouse;</w:t>
      </w:r>
    </w:p>
    <w:p>
      <w:pPr>
        <w:spacing w:after="0" w:line="23" w:lineRule="exact"/>
        <w:rPr>
          <w:rFonts w:ascii="Arial" w:cs="Arial" w:eastAsia="Arial" w:hAnsi="Arial"/>
          <w:sz w:val="16"/>
          <w:szCs w:val="16"/>
          <w:color w:val="auto"/>
        </w:rPr>
      </w:pPr>
    </w:p>
    <w:p>
      <w:pPr>
        <w:ind w:left="1820" w:hanging="638"/>
        <w:spacing w:after="0"/>
        <w:tabs>
          <w:tab w:leader="none" w:pos="182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children who survive the participant or who die before the participant leaving children of their own who survive the participant;</w:t>
      </w:r>
    </w:p>
    <w:p>
      <w:pPr>
        <w:spacing w:after="0" w:line="12" w:lineRule="exact"/>
        <w:rPr>
          <w:rFonts w:ascii="Arial" w:cs="Arial" w:eastAsia="Arial" w:hAnsi="Arial"/>
          <w:sz w:val="16"/>
          <w:szCs w:val="16"/>
          <w:color w:val="auto"/>
        </w:rPr>
      </w:pPr>
    </w:p>
    <w:p>
      <w:pPr>
        <w:ind w:left="1820" w:hanging="638"/>
        <w:spacing w:after="0"/>
        <w:tabs>
          <w:tab w:leader="none" w:pos="182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parents;</w:t>
      </w:r>
    </w:p>
    <w:p>
      <w:pPr>
        <w:spacing w:after="0" w:line="12" w:lineRule="exact"/>
        <w:rPr>
          <w:rFonts w:ascii="Arial" w:cs="Arial" w:eastAsia="Arial" w:hAnsi="Arial"/>
          <w:sz w:val="16"/>
          <w:szCs w:val="16"/>
          <w:color w:val="auto"/>
        </w:rPr>
      </w:pPr>
    </w:p>
    <w:p>
      <w:pPr>
        <w:ind w:left="1180" w:right="60" w:firstLine="2"/>
        <w:spacing w:after="0" w:line="255" w:lineRule="auto"/>
        <w:tabs>
          <w:tab w:leader="none" w:pos="182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brothers and sisters who survive the participant or who die before the participant leaving children of their own who survive the participant. If there are no members of any class of such beneficiaries, payment is made to the deceased's executors or administrators.</w:t>
      </w:r>
    </w:p>
    <w:p>
      <w:pPr>
        <w:spacing w:after="0" w:line="1" w:lineRule="exact"/>
        <w:rPr>
          <w:rFonts w:ascii="Arial" w:cs="Arial" w:eastAsia="Arial" w:hAnsi="Arial"/>
          <w:sz w:val="16"/>
          <w:szCs w:val="16"/>
          <w:color w:val="auto"/>
        </w:rPr>
      </w:pPr>
    </w:p>
    <w:p>
      <w:pPr>
        <w:ind w:left="1220" w:hanging="626"/>
        <w:spacing w:after="0"/>
        <w:tabs>
          <w:tab w:leader="none" w:pos="122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Allocation among Default Beneficiaries</w:t>
      </w:r>
    </w:p>
    <w:p>
      <w:pPr>
        <w:spacing w:after="0" w:line="12" w:lineRule="exact"/>
        <w:rPr>
          <w:sz w:val="20"/>
          <w:szCs w:val="20"/>
          <w:color w:val="auto"/>
        </w:rPr>
      </w:pPr>
    </w:p>
    <w:p>
      <w:pPr>
        <w:jc w:val="both"/>
        <w:ind w:left="1180"/>
        <w:spacing w:after="0" w:line="255" w:lineRule="auto"/>
        <w:rPr>
          <w:sz w:val="20"/>
          <w:szCs w:val="20"/>
          <w:color w:val="auto"/>
        </w:rPr>
      </w:pPr>
      <w:r>
        <w:rPr>
          <w:rFonts w:ascii="Arial" w:cs="Arial" w:eastAsia="Arial" w:hAnsi="Arial"/>
          <w:sz w:val="16"/>
          <w:szCs w:val="16"/>
          <w:color w:val="auto"/>
        </w:rPr>
        <w:t>If the same class of beneficiaries under paragraph (A) above contains two or more persons, they share equally, with further subdivision of such equa as next provided. In class (2), where a child dies before the participant leaving children who survive the participant, such child's share shall be sub equally among those children. In class (4), where a brother or sister dies before the participant leaving children who survive the participant, such br sister's share shall be subdivided equally among those children.</w:t>
      </w:r>
    </w:p>
    <w:p>
      <w:pPr>
        <w:spacing w:after="0" w:line="2" w:lineRule="exact"/>
        <w:rPr>
          <w:sz w:val="20"/>
          <w:szCs w:val="20"/>
          <w:color w:val="auto"/>
        </w:rPr>
      </w:pPr>
    </w:p>
    <w:p>
      <w:pPr>
        <w:ind w:left="1220" w:hanging="626"/>
        <w:spacing w:after="0"/>
        <w:tabs>
          <w:tab w:leader="none" w:pos="1220"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Definitions</w:t>
      </w:r>
    </w:p>
    <w:p>
      <w:pPr>
        <w:spacing w:after="0" w:line="12" w:lineRule="exact"/>
        <w:rPr>
          <w:sz w:val="20"/>
          <w:szCs w:val="20"/>
          <w:color w:val="auto"/>
        </w:rPr>
      </w:pPr>
    </w:p>
    <w:p>
      <w:pPr>
        <w:ind w:left="1180" w:right="80"/>
        <w:spacing w:after="0" w:line="305" w:lineRule="auto"/>
        <w:rPr>
          <w:sz w:val="20"/>
          <w:szCs w:val="20"/>
          <w:color w:val="auto"/>
        </w:rPr>
      </w:pPr>
      <w:r>
        <w:rPr>
          <w:rFonts w:ascii="Arial" w:cs="Arial" w:eastAsia="Arial" w:hAnsi="Arial"/>
          <w:sz w:val="15"/>
          <w:szCs w:val="15"/>
          <w:color w:val="auto"/>
        </w:rPr>
        <w:t>For purposes of this section K3.2, "child" means a person's son or daughter by legitimate blood relationship or legal adoption; "parent" means a father or mother by legitimate blood relationship or legal adoption; "brother" or "sister" means another child of either or both of one's parents.</w:t>
      </w:r>
    </w:p>
    <w:p>
      <w:pPr>
        <w:spacing w:after="0" w:line="334"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 xml:space="preserve">K4. </w:t>
      </w:r>
      <w:r>
        <w:rPr>
          <w:rFonts w:ascii="Arial" w:cs="Arial" w:eastAsia="Arial" w:hAnsi="Arial"/>
          <w:sz w:val="16"/>
          <w:szCs w:val="16"/>
          <w:u w:val="single" w:color="auto"/>
          <w:color w:val="auto"/>
        </w:rPr>
        <w:t>Payment of Benefits</w:t>
      </w:r>
    </w:p>
    <w:p>
      <w:pPr>
        <w:spacing w:after="0" w:line="208"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K4.1</w:t>
      </w:r>
      <w:r>
        <w:rPr>
          <w:sz w:val="20"/>
          <w:szCs w:val="20"/>
          <w:color w:val="auto"/>
        </w:rPr>
        <w:tab/>
      </w:r>
      <w:r>
        <w:rPr>
          <w:rFonts w:ascii="Arial" w:cs="Arial" w:eastAsia="Arial" w:hAnsi="Arial"/>
          <w:sz w:val="14"/>
          <w:szCs w:val="14"/>
          <w:u w:val="single" w:color="auto"/>
          <w:color w:val="auto"/>
        </w:rPr>
        <w:t>Commencement of Benefits</w:t>
      </w:r>
    </w:p>
    <w:p>
      <w:pPr>
        <w:spacing w:after="0" w:line="24" w:lineRule="exact"/>
        <w:rPr>
          <w:sz w:val="20"/>
          <w:szCs w:val="20"/>
          <w:color w:val="auto"/>
        </w:rPr>
      </w:pPr>
    </w:p>
    <w:p>
      <w:pPr>
        <w:ind w:left="1220" w:hanging="626"/>
        <w:spacing w:after="0"/>
        <w:tabs>
          <w:tab w:leader="none" w:pos="1220"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In General</w:t>
      </w:r>
    </w:p>
    <w:p>
      <w:pPr>
        <w:spacing w:after="0" w:line="197" w:lineRule="exact"/>
        <w:rPr>
          <w:sz w:val="20"/>
          <w:szCs w:val="20"/>
          <w:color w:val="auto"/>
        </w:rPr>
      </w:pPr>
    </w:p>
    <w:p>
      <w:pPr>
        <w:ind w:left="1220" w:hanging="626"/>
        <w:spacing w:after="0"/>
        <w:tabs>
          <w:tab w:leader="none" w:pos="1220"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Reduction for Early Commencement</w:t>
      </w:r>
    </w:p>
    <w:p>
      <w:pPr>
        <w:spacing w:after="0" w:line="24" w:lineRule="exact"/>
        <w:rPr>
          <w:sz w:val="20"/>
          <w:szCs w:val="20"/>
          <w:color w:val="auto"/>
        </w:rPr>
      </w:pPr>
    </w:p>
    <w:p>
      <w:pPr>
        <w:jc w:val="both"/>
        <w:ind w:left="1180"/>
        <w:spacing w:after="0" w:line="263" w:lineRule="auto"/>
        <w:rPr>
          <w:sz w:val="20"/>
          <w:szCs w:val="20"/>
          <w:color w:val="auto"/>
        </w:rPr>
      </w:pPr>
      <w:r>
        <w:rPr>
          <w:rFonts w:ascii="Arial" w:cs="Arial" w:eastAsia="Arial" w:hAnsi="Arial"/>
          <w:sz w:val="16"/>
          <w:szCs w:val="16"/>
          <w:color w:val="auto"/>
        </w:rPr>
        <w:t>If payments under this Plan commence prior to the month in which the person reaches age 65, they are reduced by applying the early commencement for retirees set forth in the Pension Plan for a normal maturity age of 65. For all actuarial purposes, this monthly amount paid as a five-year cert annuity is deemed the normal form amount.</w:t>
      </w:r>
    </w:p>
    <w:p>
      <w:pPr>
        <w:spacing w:after="0" w:line="168"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K4.2</w:t>
      </w:r>
      <w:r>
        <w:rPr>
          <w:sz w:val="20"/>
          <w:szCs w:val="20"/>
          <w:color w:val="auto"/>
        </w:rPr>
        <w:tab/>
      </w:r>
      <w:r>
        <w:rPr>
          <w:rFonts w:ascii="Arial" w:cs="Arial" w:eastAsia="Arial" w:hAnsi="Arial"/>
          <w:sz w:val="14"/>
          <w:szCs w:val="14"/>
          <w:u w:val="single" w:color="auto"/>
          <w:color w:val="auto"/>
        </w:rPr>
        <w:t>Form of Payment</w:t>
      </w:r>
    </w:p>
    <w:p>
      <w:pPr>
        <w:spacing w:after="0" w:line="24" w:lineRule="exact"/>
        <w:rPr>
          <w:sz w:val="20"/>
          <w:szCs w:val="20"/>
          <w:color w:val="auto"/>
        </w:rPr>
      </w:pPr>
    </w:p>
    <w:p>
      <w:pPr>
        <w:jc w:val="both"/>
        <w:ind w:left="600" w:right="20"/>
        <w:spacing w:after="0" w:line="263" w:lineRule="auto"/>
        <w:rPr>
          <w:sz w:val="20"/>
          <w:szCs w:val="20"/>
          <w:color w:val="auto"/>
        </w:rPr>
      </w:pPr>
      <w:r>
        <w:rPr>
          <w:rFonts w:ascii="Arial" w:cs="Arial" w:eastAsia="Arial" w:hAnsi="Arial"/>
          <w:sz w:val="16"/>
          <w:szCs w:val="16"/>
          <w:color w:val="auto"/>
        </w:rPr>
        <w:t>Payments under this Plan shall be made in the form of a lump sum that is the actuarial equivalent of the five-year-certain and life annuity in which the normal benefit is expressed. For this purpose, actuarial equivalency shall be determined by the Plan Administrator using the factors used for comparable determ under the Pension Plan.</w:t>
      </w:r>
    </w:p>
    <w:p>
      <w:pPr>
        <w:spacing w:after="0" w:line="364"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 xml:space="preserve">K5. </w:t>
      </w:r>
      <w:r>
        <w:rPr>
          <w:rFonts w:ascii="Arial" w:cs="Arial" w:eastAsia="Arial" w:hAnsi="Arial"/>
          <w:sz w:val="16"/>
          <w:szCs w:val="16"/>
          <w:u w:val="single" w:color="auto"/>
          <w:color w:val="auto"/>
        </w:rPr>
        <w:t>Miscellaneous</w:t>
      </w:r>
    </w:p>
    <w:p>
      <w:pPr>
        <w:spacing w:after="0" w:line="208"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K5.1</w:t>
      </w:r>
      <w:r>
        <w:rPr>
          <w:sz w:val="20"/>
          <w:szCs w:val="20"/>
          <w:color w:val="auto"/>
        </w:rPr>
        <w:tab/>
      </w:r>
      <w:r>
        <w:rPr>
          <w:rFonts w:ascii="Arial" w:cs="Arial" w:eastAsia="Arial" w:hAnsi="Arial"/>
          <w:sz w:val="15"/>
          <w:szCs w:val="15"/>
          <w:u w:val="single" w:color="auto"/>
          <w:color w:val="auto"/>
        </w:rPr>
        <w:t>Administration of Plan</w:t>
      </w:r>
    </w:p>
    <w:p>
      <w:pPr>
        <w:spacing w:after="0" w:line="24" w:lineRule="exact"/>
        <w:rPr>
          <w:sz w:val="20"/>
          <w:szCs w:val="20"/>
          <w:color w:val="auto"/>
        </w:rPr>
      </w:pPr>
    </w:p>
    <w:p>
      <w:pPr>
        <w:jc w:val="both"/>
        <w:ind w:left="600" w:right="20"/>
        <w:spacing w:after="0" w:line="260" w:lineRule="auto"/>
        <w:rPr>
          <w:sz w:val="20"/>
          <w:szCs w:val="20"/>
          <w:color w:val="auto"/>
        </w:rPr>
      </w:pPr>
      <w:r>
        <w:rPr>
          <w:rFonts w:ascii="Arial" w:cs="Arial" w:eastAsia="Arial" w:hAnsi="Arial"/>
          <w:sz w:val="16"/>
          <w:szCs w:val="16"/>
          <w:color w:val="auto"/>
        </w:rPr>
        <w:t>The Plan Administrator shall be the Manager, Compensation, Benefit Plans and Policies, Human Resources Department, ExxonMobil Corporation. T Administrator shall have the right and authority to conclusively interpret this Plan for all purposes, including the determination of any person’s eligibility for hereunder and the resolution of any and all appeals relating to claims by participants or beneficiaries, with any such interpretation being conclusive participants and beneficiaries.</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K5.2</w:t>
      </w:r>
      <w:r>
        <w:rPr>
          <w:sz w:val="20"/>
          <w:szCs w:val="20"/>
          <w:color w:val="auto"/>
        </w:rPr>
        <w:tab/>
      </w:r>
      <w:r>
        <w:rPr>
          <w:rFonts w:ascii="Arial" w:cs="Arial" w:eastAsia="Arial" w:hAnsi="Arial"/>
          <w:sz w:val="14"/>
          <w:szCs w:val="14"/>
          <w:u w:val="single" w:color="auto"/>
          <w:color w:val="auto"/>
        </w:rPr>
        <w:t>Nature of Payments</w:t>
      </w:r>
    </w:p>
    <w:p>
      <w:pPr>
        <w:spacing w:after="0" w:line="2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Payments provided under this Plan shall be considered general obligations of the Corporation.</w:t>
      </w:r>
    </w:p>
    <w:p>
      <w:pPr>
        <w:spacing w:after="0" w:line="197"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K5.3</w:t>
      </w:r>
      <w:r>
        <w:rPr>
          <w:sz w:val="20"/>
          <w:szCs w:val="20"/>
          <w:color w:val="auto"/>
        </w:rPr>
        <w:tab/>
      </w:r>
      <w:r>
        <w:rPr>
          <w:rFonts w:ascii="Arial" w:cs="Arial" w:eastAsia="Arial" w:hAnsi="Arial"/>
          <w:sz w:val="15"/>
          <w:szCs w:val="15"/>
          <w:u w:val="single" w:color="auto"/>
          <w:color w:val="auto"/>
        </w:rPr>
        <w:t>Assignment or Alienation</w:t>
      </w:r>
    </w:p>
    <w:p>
      <w:pPr>
        <w:spacing w:after="0" w:line="2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Payments provided under this Plan may not be assigned or otherwise alienated or pledged.</w:t>
      </w:r>
    </w:p>
    <w:p>
      <w:pPr>
        <w:spacing w:after="0" w:line="197"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K5.4</w:t>
      </w:r>
      <w:r>
        <w:rPr>
          <w:sz w:val="20"/>
          <w:szCs w:val="20"/>
          <w:color w:val="auto"/>
        </w:rPr>
        <w:tab/>
      </w:r>
      <w:r>
        <w:rPr>
          <w:rFonts w:ascii="Arial" w:cs="Arial" w:eastAsia="Arial" w:hAnsi="Arial"/>
          <w:sz w:val="15"/>
          <w:szCs w:val="15"/>
          <w:u w:val="single" w:color="auto"/>
          <w:color w:val="auto"/>
        </w:rPr>
        <w:t>Amendment or Termination</w:t>
      </w:r>
    </w:p>
    <w:p>
      <w:pPr>
        <w:spacing w:after="0" w:line="24" w:lineRule="exact"/>
        <w:rPr>
          <w:sz w:val="20"/>
          <w:szCs w:val="20"/>
          <w:color w:val="auto"/>
        </w:rPr>
      </w:pPr>
    </w:p>
    <w:p>
      <w:pPr>
        <w:jc w:val="both"/>
        <w:ind w:left="600"/>
        <w:spacing w:after="0" w:line="271" w:lineRule="auto"/>
        <w:rPr>
          <w:sz w:val="20"/>
          <w:szCs w:val="20"/>
          <w:color w:val="auto"/>
        </w:rPr>
      </w:pPr>
      <w:r>
        <w:rPr>
          <w:rFonts w:ascii="Arial" w:cs="Arial" w:eastAsia="Arial" w:hAnsi="Arial"/>
          <w:sz w:val="16"/>
          <w:szCs w:val="16"/>
          <w:color w:val="auto"/>
        </w:rPr>
        <w:t>The Corporation reserves the right to amend or terminate this Plan, in whole or in part, so long as the amendment does not deprive any person of the non-for right to benefits specifically granted in this Plan.</w:t>
      </w:r>
    </w:p>
    <w:p>
      <w:pPr>
        <w:spacing w:after="0" w:line="186" w:lineRule="exact"/>
        <w:rPr>
          <w:sz w:val="20"/>
          <w:szCs w:val="20"/>
          <w:color w:val="auto"/>
        </w:rPr>
      </w:pPr>
    </w:p>
    <w:p>
      <w:pPr>
        <w:jc w:val="center"/>
        <w:ind w:left="114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549910</wp:posOffset>
            </wp:positionV>
            <wp:extent cx="7279640" cy="203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776" w:right="139" w:bottom="1440" w:gutter="0" w:footer="0" w:header="0"/>
        </w:sectPr>
      </w:pPr>
    </w:p>
    <w:bookmarkStart w:id="134" w:name="page135"/>
    <w:bookmarkEnd w:id="134"/>
    <w:p>
      <w:pPr>
        <w:ind w:left="9940"/>
        <w:spacing w:after="0"/>
        <w:rPr>
          <w:sz w:val="20"/>
          <w:szCs w:val="20"/>
          <w:color w:val="auto"/>
        </w:rPr>
      </w:pPr>
      <w:r>
        <w:rPr>
          <w:rFonts w:ascii="Arial" w:cs="Arial" w:eastAsia="Arial" w:hAnsi="Arial"/>
          <w:sz w:val="16"/>
          <w:szCs w:val="16"/>
          <w:b w:val="1"/>
          <w:bCs w:val="1"/>
          <w:color w:val="auto"/>
        </w:rPr>
        <w:t>EXHIBIT 10(i</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Exxon Mobil Corporation</w:t>
      </w:r>
    </w:p>
    <w:p>
      <w:pPr>
        <w:ind w:left="7780"/>
        <w:spacing w:after="0"/>
        <w:rPr>
          <w:sz w:val="20"/>
          <w:szCs w:val="20"/>
          <w:color w:val="auto"/>
        </w:rPr>
      </w:pPr>
      <w:r>
        <w:rPr>
          <w:rFonts w:ascii="Arial" w:cs="Arial" w:eastAsia="Arial" w:hAnsi="Arial"/>
          <w:sz w:val="16"/>
          <w:szCs w:val="16"/>
          <w:color w:val="auto"/>
        </w:rPr>
        <w:t>Jeffrey J. Woodbury</w:t>
      </w:r>
    </w:p>
    <w:p>
      <w:pPr>
        <w:spacing w:after="0" w:line="223" w:lineRule="auto"/>
        <w:rPr>
          <w:sz w:val="20"/>
          <w:szCs w:val="20"/>
          <w:color w:val="auto"/>
        </w:rPr>
      </w:pPr>
      <w:r>
        <w:rPr>
          <w:rFonts w:ascii="Arial" w:cs="Arial" w:eastAsia="Arial" w:hAnsi="Arial"/>
          <w:sz w:val="16"/>
          <w:szCs w:val="16"/>
          <w:color w:val="auto"/>
        </w:rPr>
        <w:t>5959 Las Colinas Boulevard</w:t>
      </w:r>
    </w:p>
    <w:p>
      <w:pPr>
        <w:ind w:left="7780"/>
        <w:spacing w:after="0"/>
        <w:rPr>
          <w:sz w:val="20"/>
          <w:szCs w:val="20"/>
          <w:color w:val="auto"/>
        </w:rPr>
      </w:pPr>
      <w:r>
        <w:rPr>
          <w:rFonts w:ascii="Arial" w:cs="Arial" w:eastAsia="Arial" w:hAnsi="Arial"/>
          <w:sz w:val="16"/>
          <w:szCs w:val="16"/>
          <w:color w:val="auto"/>
        </w:rPr>
        <w:t>Vice President, Investor Relations</w:t>
      </w:r>
    </w:p>
    <w:p>
      <w:pPr>
        <w:spacing w:after="0" w:line="223" w:lineRule="auto"/>
        <w:rPr>
          <w:sz w:val="20"/>
          <w:szCs w:val="20"/>
          <w:color w:val="auto"/>
        </w:rPr>
      </w:pPr>
      <w:r>
        <w:rPr>
          <w:rFonts w:ascii="Arial" w:cs="Arial" w:eastAsia="Arial" w:hAnsi="Arial"/>
          <w:sz w:val="16"/>
          <w:szCs w:val="16"/>
          <w:color w:val="auto"/>
        </w:rPr>
        <w:t>Irving, TX 75039</w:t>
      </w:r>
    </w:p>
    <w:p>
      <w:pPr>
        <w:ind w:left="7780"/>
        <w:spacing w:after="0"/>
        <w:rPr>
          <w:sz w:val="20"/>
          <w:szCs w:val="20"/>
          <w:color w:val="auto"/>
        </w:rPr>
      </w:pPr>
      <w:r>
        <w:rPr>
          <w:rFonts w:ascii="Arial" w:cs="Arial" w:eastAsia="Arial" w:hAnsi="Arial"/>
          <w:sz w:val="16"/>
          <w:szCs w:val="16"/>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January 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31115</wp:posOffset>
            </wp:positionV>
            <wp:extent cx="1595120" cy="3733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595120" cy="37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[Name of Non-Employee Director]</w:t>
      </w:r>
    </w:p>
    <w:p>
      <w:pPr>
        <w:spacing w:after="0" w:line="200" w:lineRule="exact"/>
        <w:rPr>
          <w:sz w:val="20"/>
          <w:szCs w:val="20"/>
          <w:color w:val="auto"/>
        </w:rPr>
      </w:pPr>
    </w:p>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 am pleased to inform you that on January 2, 2015, you were granted 2,500 shares of restricted stock under Exxon Mobil Corporation's 2004 Non-Employee Director Restricted Stock Plan (the "Plan") and in accordance with the Board's standing resolution regarding grants under the Plan. This letter summarizes key terms of your aw and is qualified by reference to the Plan. You should refer to the text of the Plan for a detailed description of the terms and conditions of your award. Copies of the Pla been previously distributed to you and are also available on request to me at any time.</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restricted stock has been registered in your name and will be held in book-entry form by the Corporation's agent during the restricted period. As the owner of reco have the right to vote the shares and receive cash dividends. However, during the restricted period the shares may not be sold, assigned, transferred, pledged, or otherw disposed of or encumbered, and your restricted stock account will be subject to stop transfer instructions.</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restricted period for this award began at the time of grant. The restricted period will expire when you leave the Board after reaching retirement age (currently, age by reason of death. If you leave the Board before reaching retirement age, your restricted stock will be forfeited unless the Board determines to lift the restrictions at th time.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If and when the restricted period expires, shares will be delivered to or for your account free of restrictions.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You are entitled to designate a beneficiary for your restricted stock account. Please contact Jerry Miller at (972) 444-4004 for the necessary form should you wish to 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By accepting this award you agree to all its terms and conditions, including the restrictions on transfer and events of forfeiture.</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Additional information concerning your award, including information on the tax consequences of your award and certain additional information required by the Securit of 1933, is also enclosed with this letter.</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Any questions that you may have concerning the Plan or this award should be addressed to me.</w:t>
      </w:r>
    </w:p>
    <w:p>
      <w:pPr>
        <w:spacing w:after="0" w:line="208"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Sincerely,</w:t>
      </w:r>
    </w:p>
    <w:p>
      <w:pPr>
        <w:spacing w:after="0" w:line="200" w:lineRule="exact"/>
        <w:rPr>
          <w:sz w:val="20"/>
          <w:szCs w:val="20"/>
          <w:color w:val="auto"/>
        </w:rPr>
      </w:pPr>
    </w:p>
    <w:p>
      <w:pPr>
        <w:spacing w:after="0" w:line="204" w:lineRule="exact"/>
        <w:rPr>
          <w:sz w:val="20"/>
          <w:szCs w:val="20"/>
          <w:color w:val="auto"/>
        </w:rPr>
      </w:pPr>
    </w:p>
    <w:p>
      <w:pPr>
        <w:jc w:val="center"/>
        <w:ind w:left="1000"/>
        <w:spacing w:after="0"/>
        <w:rPr>
          <w:sz w:val="20"/>
          <w:szCs w:val="20"/>
          <w:color w:val="auto"/>
        </w:rPr>
      </w:pPr>
      <w:r>
        <w:rPr>
          <w:rFonts w:ascii="Arial" w:cs="Arial" w:eastAsia="Arial" w:hAnsi="Arial"/>
          <w:sz w:val="16"/>
          <w:szCs w:val="16"/>
          <w:color w:val="auto"/>
        </w:rPr>
        <w:t>[signed by Jeffrey J. Woodbury]</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Enclosures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690245</wp:posOffset>
            </wp:positionV>
            <wp:extent cx="7279640" cy="203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1103" w:right="1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6"/>
          <w:szCs w:val="16"/>
          <w:b w:val="1"/>
          <w:bCs w:val="1"/>
          <w:color w:val="auto"/>
        </w:rPr>
        <w:t>EXHI</w:t>
      </w:r>
    </w:p>
    <w:p>
      <w:pPr>
        <w:spacing w:after="0" w:line="200" w:lineRule="exact"/>
        <w:rPr>
          <w:sz w:val="20"/>
          <w:szCs w:val="20"/>
          <w:color w:val="auto"/>
        </w:rPr>
      </w:pPr>
    </w:p>
    <w:p>
      <w:pPr>
        <w:spacing w:after="0" w:line="327" w:lineRule="exact"/>
        <w:rPr>
          <w:sz w:val="20"/>
          <w:szCs w:val="20"/>
          <w:color w:val="auto"/>
        </w:rPr>
      </w:pPr>
    </w:p>
    <w:p>
      <w:pPr>
        <w:jc w:val="center"/>
        <w:ind w:left="1180"/>
        <w:spacing w:after="0"/>
        <w:rPr>
          <w:sz w:val="20"/>
          <w:szCs w:val="20"/>
          <w:color w:val="auto"/>
        </w:rPr>
      </w:pPr>
      <w:r>
        <w:rPr>
          <w:rFonts w:ascii="Arial" w:cs="Arial" w:eastAsia="Arial" w:hAnsi="Arial"/>
          <w:sz w:val="16"/>
          <w:szCs w:val="16"/>
          <w:b w:val="1"/>
          <w:bCs w:val="1"/>
          <w:color w:val="auto"/>
        </w:rPr>
        <w:t>EXXON MOBIL CORPORATION</w:t>
      </w:r>
    </w:p>
    <w:p>
      <w:pPr>
        <w:spacing w:after="0" w:line="208"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COMPUTATION OF RATIO OF EARNINGS TO FIXED CHARGES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40" w:type="dxa"/>
            <w:vAlign w:val="bottom"/>
          </w:tcPr>
          <w:p>
            <w:pPr>
              <w:jc w:val="right"/>
              <w:ind w:right="62"/>
              <w:spacing w:after="0"/>
              <w:rPr>
                <w:sz w:val="20"/>
                <w:szCs w:val="20"/>
                <w:color w:val="auto"/>
              </w:rPr>
            </w:pPr>
            <w:r>
              <w:rPr>
                <w:rFonts w:ascii="Arial" w:cs="Arial" w:eastAsia="Arial" w:hAnsi="Arial"/>
                <w:sz w:val="13"/>
                <w:szCs w:val="13"/>
                <w:b w:val="1"/>
                <w:bCs w:val="1"/>
                <w:color w:val="auto"/>
                <w:w w:val="88"/>
              </w:rPr>
              <w:t>Years Ended December 31,</w:t>
            </w: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8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60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3"/>
                <w:szCs w:val="13"/>
                <w:b w:val="1"/>
                <w:bCs w:val="1"/>
                <w:color w:val="auto"/>
              </w:rPr>
              <w:t>2014</w:t>
            </w:r>
          </w:p>
        </w:tc>
        <w:tc>
          <w:tcPr>
            <w:tcW w:w="82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2013</w:t>
            </w:r>
          </w:p>
        </w:tc>
        <w:tc>
          <w:tcPr>
            <w:tcW w:w="1640" w:type="dxa"/>
            <w:vAlign w:val="bottom"/>
            <w:tcBorders>
              <w:bottom w:val="single" w:sz="8" w:color="auto"/>
            </w:tcBorders>
          </w:tcPr>
          <w:p>
            <w:pPr>
              <w:jc w:val="right"/>
              <w:ind w:right="662"/>
              <w:spacing w:after="0"/>
              <w:rPr>
                <w:sz w:val="20"/>
                <w:szCs w:val="20"/>
                <w:color w:val="auto"/>
              </w:rPr>
            </w:pPr>
            <w:r>
              <w:rPr>
                <w:rFonts w:ascii="Arial" w:cs="Arial" w:eastAsia="Arial" w:hAnsi="Arial"/>
                <w:sz w:val="13"/>
                <w:szCs w:val="13"/>
                <w:b w:val="1"/>
                <w:bCs w:val="1"/>
                <w:color w:val="auto"/>
              </w:rPr>
              <w:t>2012</w:t>
            </w:r>
          </w:p>
        </w:tc>
        <w:tc>
          <w:tcPr>
            <w:tcW w:w="1240" w:type="dxa"/>
            <w:vAlign w:val="bottom"/>
            <w:tcBorders>
              <w:bottom w:val="single" w:sz="8" w:color="auto"/>
            </w:tcBorders>
          </w:tcPr>
          <w:p>
            <w:pPr>
              <w:jc w:val="right"/>
              <w:ind w:right="760"/>
              <w:spacing w:after="0"/>
              <w:rPr>
                <w:sz w:val="20"/>
                <w:szCs w:val="20"/>
                <w:color w:val="auto"/>
              </w:rPr>
            </w:pPr>
            <w:r>
              <w:rPr>
                <w:rFonts w:ascii="Arial" w:cs="Arial" w:eastAsia="Arial" w:hAnsi="Arial"/>
                <w:sz w:val="13"/>
                <w:szCs w:val="13"/>
                <w:b w:val="1"/>
                <w:bCs w:val="1"/>
                <w:color w:val="auto"/>
              </w:rPr>
              <w:t>2011</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40" w:type="dxa"/>
            <w:vAlign w:val="bottom"/>
          </w:tcPr>
          <w:p>
            <w:pPr>
              <w:jc w:val="right"/>
              <w:ind w:right="282"/>
              <w:spacing w:after="0"/>
              <w:rPr>
                <w:sz w:val="20"/>
                <w:szCs w:val="20"/>
                <w:color w:val="auto"/>
              </w:rPr>
            </w:pPr>
            <w:r>
              <w:rPr>
                <w:rFonts w:ascii="Arial" w:cs="Arial" w:eastAsia="Arial" w:hAnsi="Arial"/>
                <w:sz w:val="13"/>
                <w:szCs w:val="13"/>
                <w:i w:val="1"/>
                <w:iCs w:val="1"/>
                <w:color w:val="auto"/>
              </w:rPr>
              <w:t>(millions of dollars)</w:t>
            </w: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Income from continuing operations attributable to ExxonMobil</w:t>
            </w:r>
          </w:p>
        </w:tc>
        <w:tc>
          <w:tcPr>
            <w:tcW w:w="1100" w:type="dxa"/>
            <w:vAlign w:val="bottom"/>
          </w:tcPr>
          <w:p>
            <w:pPr>
              <w:jc w:val="right"/>
              <w:ind w:right="260"/>
              <w:spacing w:after="0"/>
              <w:rPr>
                <w:sz w:val="20"/>
                <w:szCs w:val="20"/>
                <w:color w:val="auto"/>
              </w:rPr>
            </w:pPr>
            <w:r>
              <w:rPr>
                <w:rFonts w:ascii="Arial" w:cs="Arial" w:eastAsia="Arial" w:hAnsi="Arial"/>
                <w:sz w:val="16"/>
                <w:szCs w:val="16"/>
                <w:color w:val="auto"/>
              </w:rPr>
              <w:t>32,520</w:t>
            </w:r>
          </w:p>
        </w:tc>
        <w:tc>
          <w:tcPr>
            <w:tcW w:w="820" w:type="dxa"/>
            <w:vAlign w:val="bottom"/>
          </w:tcPr>
          <w:p>
            <w:pPr>
              <w:jc w:val="right"/>
              <w:spacing w:after="0"/>
              <w:rPr>
                <w:sz w:val="20"/>
                <w:szCs w:val="20"/>
                <w:color w:val="auto"/>
              </w:rPr>
            </w:pPr>
            <w:r>
              <w:rPr>
                <w:rFonts w:ascii="Arial" w:cs="Arial" w:eastAsia="Arial" w:hAnsi="Arial"/>
                <w:sz w:val="16"/>
                <w:szCs w:val="16"/>
                <w:color w:val="auto"/>
              </w:rPr>
              <w:t>32,580</w:t>
            </w:r>
          </w:p>
        </w:tc>
        <w:tc>
          <w:tcPr>
            <w:tcW w:w="1640" w:type="dxa"/>
            <w:vAlign w:val="bottom"/>
          </w:tcPr>
          <w:p>
            <w:pPr>
              <w:jc w:val="right"/>
              <w:ind w:right="422"/>
              <w:spacing w:after="0"/>
              <w:rPr>
                <w:sz w:val="20"/>
                <w:szCs w:val="20"/>
                <w:color w:val="auto"/>
              </w:rPr>
            </w:pPr>
            <w:r>
              <w:rPr>
                <w:rFonts w:ascii="Arial" w:cs="Arial" w:eastAsia="Arial" w:hAnsi="Arial"/>
                <w:sz w:val="16"/>
                <w:szCs w:val="16"/>
                <w:color w:val="auto"/>
              </w:rPr>
              <w:t>44,880</w:t>
            </w:r>
          </w:p>
        </w:tc>
        <w:tc>
          <w:tcPr>
            <w:tcW w:w="1240" w:type="dxa"/>
            <w:vAlign w:val="bottom"/>
          </w:tcPr>
          <w:p>
            <w:pPr>
              <w:jc w:val="right"/>
              <w:ind w:right="540"/>
              <w:spacing w:after="0"/>
              <w:rPr>
                <w:sz w:val="20"/>
                <w:szCs w:val="20"/>
                <w:color w:val="auto"/>
              </w:rPr>
            </w:pPr>
            <w:r>
              <w:rPr>
                <w:rFonts w:ascii="Arial" w:cs="Arial" w:eastAsia="Arial" w:hAnsi="Arial"/>
                <w:sz w:val="16"/>
                <w:szCs w:val="16"/>
                <w:color w:val="auto"/>
              </w:rPr>
              <w:t>41,060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Excess/(shortfall) of dividends over earnings of affiliates</w:t>
            </w: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6080" w:type="dxa"/>
            <w:vAlign w:val="bottom"/>
          </w:tcPr>
          <w:p>
            <w:pPr>
              <w:ind w:left="240"/>
              <w:spacing w:after="0"/>
              <w:rPr>
                <w:sz w:val="20"/>
                <w:szCs w:val="20"/>
                <w:color w:val="auto"/>
              </w:rPr>
            </w:pPr>
            <w:r>
              <w:rPr>
                <w:rFonts w:ascii="Arial" w:cs="Arial" w:eastAsia="Arial" w:hAnsi="Arial"/>
                <w:sz w:val="16"/>
                <w:szCs w:val="16"/>
                <w:color w:val="auto"/>
              </w:rPr>
              <w:t>accounted for by the equity method</w:t>
            </w:r>
          </w:p>
        </w:tc>
        <w:tc>
          <w:tcPr>
            <w:tcW w:w="1100" w:type="dxa"/>
            <w:vAlign w:val="bottom"/>
          </w:tcPr>
          <w:p>
            <w:pPr>
              <w:jc w:val="right"/>
              <w:ind w:right="220"/>
              <w:spacing w:after="0"/>
              <w:rPr>
                <w:sz w:val="20"/>
                <w:szCs w:val="20"/>
                <w:color w:val="auto"/>
              </w:rPr>
            </w:pPr>
            <w:r>
              <w:rPr>
                <w:rFonts w:ascii="Arial" w:cs="Arial" w:eastAsia="Arial" w:hAnsi="Arial"/>
                <w:sz w:val="16"/>
                <w:szCs w:val="16"/>
                <w:color w:val="auto"/>
              </w:rPr>
              <w:t>(358)</w:t>
            </w: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1640" w:type="dxa"/>
            <w:vAlign w:val="bottom"/>
          </w:tcPr>
          <w:p>
            <w:pPr>
              <w:jc w:val="right"/>
              <w:ind w:right="382"/>
              <w:spacing w:after="0"/>
              <w:rPr>
                <w:sz w:val="20"/>
                <w:szCs w:val="20"/>
                <w:color w:val="auto"/>
              </w:rPr>
            </w:pPr>
            <w:r>
              <w:rPr>
                <w:rFonts w:ascii="Arial" w:cs="Arial" w:eastAsia="Arial" w:hAnsi="Arial"/>
                <w:sz w:val="16"/>
                <w:szCs w:val="16"/>
                <w:color w:val="auto"/>
              </w:rPr>
              <w:t>(1,157)</w:t>
            </w:r>
          </w:p>
        </w:tc>
        <w:tc>
          <w:tcPr>
            <w:tcW w:w="1240" w:type="dxa"/>
            <w:vAlign w:val="bottom"/>
          </w:tcPr>
          <w:p>
            <w:pPr>
              <w:jc w:val="right"/>
              <w:ind w:right="480"/>
              <w:spacing w:after="0"/>
              <w:rPr>
                <w:sz w:val="20"/>
                <w:szCs w:val="20"/>
                <w:color w:val="auto"/>
              </w:rPr>
            </w:pPr>
            <w:r>
              <w:rPr>
                <w:rFonts w:ascii="Arial" w:cs="Arial" w:eastAsia="Arial" w:hAnsi="Arial"/>
                <w:sz w:val="16"/>
                <w:szCs w:val="16"/>
                <w:color w:val="auto"/>
              </w:rPr>
              <w:t>(273)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100" w:type="dxa"/>
            <w:vAlign w:val="bottom"/>
          </w:tcPr>
          <w:p>
            <w:pPr>
              <w:jc w:val="right"/>
              <w:ind w:right="260"/>
              <w:spacing w:after="0"/>
              <w:rPr>
                <w:sz w:val="20"/>
                <w:szCs w:val="20"/>
                <w:color w:val="auto"/>
              </w:rPr>
            </w:pPr>
            <w:r>
              <w:rPr>
                <w:rFonts w:ascii="Arial" w:cs="Arial" w:eastAsia="Arial" w:hAnsi="Arial"/>
                <w:sz w:val="16"/>
                <w:szCs w:val="16"/>
                <w:color w:val="auto"/>
              </w:rPr>
              <w:t>18,015</w:t>
            </w:r>
          </w:p>
        </w:tc>
        <w:tc>
          <w:tcPr>
            <w:tcW w:w="820" w:type="dxa"/>
            <w:vAlign w:val="bottom"/>
          </w:tcPr>
          <w:p>
            <w:pPr>
              <w:jc w:val="right"/>
              <w:spacing w:after="0"/>
              <w:rPr>
                <w:sz w:val="20"/>
                <w:szCs w:val="20"/>
                <w:color w:val="auto"/>
              </w:rPr>
            </w:pPr>
            <w:r>
              <w:rPr>
                <w:rFonts w:ascii="Arial" w:cs="Arial" w:eastAsia="Arial" w:hAnsi="Arial"/>
                <w:sz w:val="16"/>
                <w:szCs w:val="16"/>
                <w:color w:val="auto"/>
              </w:rPr>
              <w:t>24,263</w:t>
            </w:r>
          </w:p>
        </w:tc>
        <w:tc>
          <w:tcPr>
            <w:tcW w:w="1640" w:type="dxa"/>
            <w:vAlign w:val="bottom"/>
          </w:tcPr>
          <w:p>
            <w:pPr>
              <w:jc w:val="right"/>
              <w:ind w:right="422"/>
              <w:spacing w:after="0"/>
              <w:rPr>
                <w:sz w:val="20"/>
                <w:szCs w:val="20"/>
                <w:color w:val="auto"/>
              </w:rPr>
            </w:pPr>
            <w:r>
              <w:rPr>
                <w:rFonts w:ascii="Arial" w:cs="Arial" w:eastAsia="Arial" w:hAnsi="Arial"/>
                <w:sz w:val="16"/>
                <w:szCs w:val="16"/>
                <w:color w:val="auto"/>
              </w:rPr>
              <w:t>31,045</w:t>
            </w:r>
          </w:p>
        </w:tc>
        <w:tc>
          <w:tcPr>
            <w:tcW w:w="1240" w:type="dxa"/>
            <w:vAlign w:val="bottom"/>
          </w:tcPr>
          <w:p>
            <w:pPr>
              <w:jc w:val="right"/>
              <w:ind w:right="540"/>
              <w:spacing w:after="0"/>
              <w:rPr>
                <w:sz w:val="20"/>
                <w:szCs w:val="20"/>
                <w:color w:val="auto"/>
              </w:rPr>
            </w:pPr>
            <w:r>
              <w:rPr>
                <w:rFonts w:ascii="Arial" w:cs="Arial" w:eastAsia="Arial" w:hAnsi="Arial"/>
                <w:sz w:val="16"/>
                <w:szCs w:val="16"/>
                <w:color w:val="auto"/>
              </w:rPr>
              <w:t>31,051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Capitalized interest</w:t>
            </w:r>
          </w:p>
        </w:tc>
        <w:tc>
          <w:tcPr>
            <w:tcW w:w="1100" w:type="dxa"/>
            <w:vAlign w:val="bottom"/>
          </w:tcPr>
          <w:p>
            <w:pPr>
              <w:jc w:val="right"/>
              <w:ind w:right="260"/>
              <w:spacing w:after="0"/>
              <w:rPr>
                <w:sz w:val="20"/>
                <w:szCs w:val="20"/>
                <w:color w:val="auto"/>
              </w:rPr>
            </w:pPr>
            <w:r>
              <w:rPr>
                <w:rFonts w:ascii="Arial" w:cs="Arial" w:eastAsia="Arial" w:hAnsi="Arial"/>
                <w:sz w:val="16"/>
                <w:szCs w:val="16"/>
                <w:color w:val="auto"/>
              </w:rPr>
              <w:t>121</w:t>
            </w:r>
          </w:p>
        </w:tc>
        <w:tc>
          <w:tcPr>
            <w:tcW w:w="820" w:type="dxa"/>
            <w:vAlign w:val="bottom"/>
          </w:tcPr>
          <w:p>
            <w:pPr>
              <w:jc w:val="right"/>
              <w:spacing w:after="0"/>
              <w:rPr>
                <w:sz w:val="20"/>
                <w:szCs w:val="20"/>
                <w:color w:val="auto"/>
              </w:rPr>
            </w:pPr>
            <w:r>
              <w:rPr>
                <w:rFonts w:ascii="Arial" w:cs="Arial" w:eastAsia="Arial" w:hAnsi="Arial"/>
                <w:sz w:val="16"/>
                <w:szCs w:val="16"/>
                <w:color w:val="auto"/>
              </w:rPr>
              <w:t>148</w:t>
            </w:r>
          </w:p>
        </w:tc>
        <w:tc>
          <w:tcPr>
            <w:tcW w:w="1640" w:type="dxa"/>
            <w:vAlign w:val="bottom"/>
          </w:tcPr>
          <w:p>
            <w:pPr>
              <w:jc w:val="right"/>
              <w:ind w:right="382"/>
              <w:spacing w:after="0"/>
              <w:rPr>
                <w:sz w:val="20"/>
                <w:szCs w:val="20"/>
                <w:color w:val="auto"/>
              </w:rPr>
            </w:pPr>
            <w:r>
              <w:rPr>
                <w:rFonts w:ascii="Arial" w:cs="Arial" w:eastAsia="Arial" w:hAnsi="Arial"/>
                <w:sz w:val="16"/>
                <w:szCs w:val="16"/>
                <w:color w:val="auto"/>
              </w:rPr>
              <w:t>(67)</w:t>
            </w:r>
          </w:p>
        </w:tc>
        <w:tc>
          <w:tcPr>
            <w:tcW w:w="1240" w:type="dxa"/>
            <w:vAlign w:val="bottom"/>
          </w:tcPr>
          <w:p>
            <w:pPr>
              <w:jc w:val="right"/>
              <w:ind w:right="480"/>
              <w:spacing w:after="0"/>
              <w:rPr>
                <w:sz w:val="20"/>
                <w:szCs w:val="20"/>
                <w:color w:val="auto"/>
              </w:rPr>
            </w:pPr>
            <w:r>
              <w:rPr>
                <w:rFonts w:ascii="Arial" w:cs="Arial" w:eastAsia="Arial" w:hAnsi="Arial"/>
                <w:sz w:val="16"/>
                <w:szCs w:val="16"/>
                <w:color w:val="auto"/>
              </w:rPr>
              <w:t>(159)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Noncontrolling interests in earnings of consolidated subsidiaries</w:t>
            </w:r>
          </w:p>
        </w:tc>
        <w:tc>
          <w:tcPr>
            <w:tcW w:w="11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1,095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c>
          <w:tcPr>
            <w:tcW w:w="164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2,801</w:t>
            </w:r>
          </w:p>
        </w:tc>
        <w:tc>
          <w:tcPr>
            <w:tcW w:w="124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1,146</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6080" w:type="dxa"/>
            <w:vAlign w:val="bottom"/>
            <w:vMerge w:val="restart"/>
          </w:tcPr>
          <w:p>
            <w:pPr>
              <w:spacing w:after="0"/>
              <w:rPr>
                <w:sz w:val="20"/>
                <w:szCs w:val="20"/>
                <w:color w:val="auto"/>
              </w:rPr>
            </w:pPr>
            <w:r>
              <w:rPr>
                <w:rFonts w:ascii="Arial" w:cs="Arial" w:eastAsia="Arial" w:hAnsi="Arial"/>
                <w:sz w:val="16"/>
                <w:szCs w:val="16"/>
                <w:color w:val="auto"/>
              </w:rPr>
              <w:t>Fixed Charges:</w:t>
            </w:r>
          </w:p>
        </w:tc>
        <w:tc>
          <w:tcPr>
            <w:tcW w:w="11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51,393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57,862</w:t>
            </w:r>
          </w:p>
        </w:tc>
        <w:tc>
          <w:tcPr>
            <w:tcW w:w="164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77,502</w:t>
            </w:r>
          </w:p>
        </w:tc>
        <w:tc>
          <w:tcPr>
            <w:tcW w:w="124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72,825</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608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6080" w:type="dxa"/>
            <w:vAlign w:val="bottom"/>
          </w:tcPr>
          <w:p>
            <w:pPr>
              <w:ind w:left="240"/>
              <w:spacing w:after="0"/>
              <w:rPr>
                <w:sz w:val="20"/>
                <w:szCs w:val="20"/>
                <w:color w:val="auto"/>
              </w:rPr>
            </w:pPr>
            <w:r>
              <w:rPr>
                <w:rFonts w:ascii="Arial" w:cs="Arial" w:eastAsia="Arial" w:hAnsi="Arial"/>
                <w:sz w:val="16"/>
                <w:szCs w:val="16"/>
                <w:color w:val="auto"/>
              </w:rPr>
              <w:t>Interest expense - borrowings</w:t>
            </w:r>
          </w:p>
        </w:tc>
        <w:tc>
          <w:tcPr>
            <w:tcW w:w="1100" w:type="dxa"/>
            <w:vAlign w:val="bottom"/>
          </w:tcPr>
          <w:p>
            <w:pPr>
              <w:jc w:val="right"/>
              <w:ind w:right="260"/>
              <w:spacing w:after="0"/>
              <w:rPr>
                <w:sz w:val="20"/>
                <w:szCs w:val="20"/>
                <w:color w:val="auto"/>
              </w:rPr>
            </w:pPr>
            <w:r>
              <w:rPr>
                <w:rFonts w:ascii="Arial" w:cs="Arial" w:eastAsia="Arial" w:hAnsi="Arial"/>
                <w:sz w:val="16"/>
                <w:szCs w:val="16"/>
                <w:color w:val="auto"/>
              </w:rPr>
              <w:t>157</w:t>
            </w:r>
          </w:p>
        </w:tc>
        <w:tc>
          <w:tcPr>
            <w:tcW w:w="820" w:type="dxa"/>
            <w:vAlign w:val="bottom"/>
          </w:tcPr>
          <w:p>
            <w:pPr>
              <w:jc w:val="right"/>
              <w:spacing w:after="0"/>
              <w:rPr>
                <w:sz w:val="20"/>
                <w:szCs w:val="20"/>
                <w:color w:val="auto"/>
              </w:rPr>
            </w:pPr>
            <w:r>
              <w:rPr>
                <w:rFonts w:ascii="Arial" w:cs="Arial" w:eastAsia="Arial" w:hAnsi="Arial"/>
                <w:sz w:val="16"/>
                <w:szCs w:val="16"/>
                <w:color w:val="auto"/>
              </w:rPr>
              <w:t>137</w:t>
            </w:r>
          </w:p>
        </w:tc>
        <w:tc>
          <w:tcPr>
            <w:tcW w:w="1640" w:type="dxa"/>
            <w:vAlign w:val="bottom"/>
          </w:tcPr>
          <w:p>
            <w:pPr>
              <w:jc w:val="right"/>
              <w:ind w:right="422"/>
              <w:spacing w:after="0"/>
              <w:rPr>
                <w:sz w:val="20"/>
                <w:szCs w:val="20"/>
                <w:color w:val="auto"/>
              </w:rPr>
            </w:pPr>
            <w:r>
              <w:rPr>
                <w:rFonts w:ascii="Arial" w:cs="Arial" w:eastAsia="Arial" w:hAnsi="Arial"/>
                <w:sz w:val="16"/>
                <w:szCs w:val="16"/>
                <w:color w:val="auto"/>
              </w:rPr>
              <w:t>117</w:t>
            </w:r>
          </w:p>
        </w:tc>
        <w:tc>
          <w:tcPr>
            <w:tcW w:w="1240" w:type="dxa"/>
            <w:vAlign w:val="bottom"/>
          </w:tcPr>
          <w:p>
            <w:pPr>
              <w:jc w:val="right"/>
              <w:ind w:right="540"/>
              <w:spacing w:after="0"/>
              <w:rPr>
                <w:sz w:val="20"/>
                <w:szCs w:val="20"/>
                <w:color w:val="auto"/>
              </w:rPr>
            </w:pPr>
            <w:r>
              <w:rPr>
                <w:rFonts w:ascii="Arial" w:cs="Arial" w:eastAsia="Arial" w:hAnsi="Arial"/>
                <w:sz w:val="16"/>
                <w:szCs w:val="16"/>
                <w:color w:val="auto"/>
              </w:rPr>
              <w:t>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6080" w:type="dxa"/>
            <w:vAlign w:val="bottom"/>
          </w:tcPr>
          <w:p>
            <w:pPr>
              <w:ind w:left="240"/>
              <w:spacing w:after="0"/>
              <w:rPr>
                <w:sz w:val="20"/>
                <w:szCs w:val="20"/>
                <w:color w:val="auto"/>
              </w:rPr>
            </w:pPr>
            <w:r>
              <w:rPr>
                <w:rFonts w:ascii="Arial" w:cs="Arial" w:eastAsia="Arial" w:hAnsi="Arial"/>
                <w:sz w:val="16"/>
                <w:szCs w:val="16"/>
                <w:color w:val="auto"/>
              </w:rPr>
              <w:t>Capitalized interest</w:t>
            </w:r>
          </w:p>
        </w:tc>
        <w:tc>
          <w:tcPr>
            <w:tcW w:w="1100" w:type="dxa"/>
            <w:vAlign w:val="bottom"/>
          </w:tcPr>
          <w:p>
            <w:pPr>
              <w:jc w:val="right"/>
              <w:ind w:right="260"/>
              <w:spacing w:after="0"/>
              <w:rPr>
                <w:sz w:val="20"/>
                <w:szCs w:val="20"/>
                <w:color w:val="auto"/>
              </w:rPr>
            </w:pPr>
            <w:r>
              <w:rPr>
                <w:rFonts w:ascii="Arial" w:cs="Arial" w:eastAsia="Arial" w:hAnsi="Arial"/>
                <w:sz w:val="16"/>
                <w:szCs w:val="16"/>
                <w:color w:val="auto"/>
              </w:rPr>
              <w:t>344</w:t>
            </w:r>
          </w:p>
        </w:tc>
        <w:tc>
          <w:tcPr>
            <w:tcW w:w="820" w:type="dxa"/>
            <w:vAlign w:val="bottom"/>
          </w:tcPr>
          <w:p>
            <w:pPr>
              <w:jc w:val="right"/>
              <w:spacing w:after="0"/>
              <w:rPr>
                <w:sz w:val="20"/>
                <w:szCs w:val="20"/>
                <w:color w:val="auto"/>
              </w:rPr>
            </w:pPr>
            <w:r>
              <w:rPr>
                <w:rFonts w:ascii="Arial" w:cs="Arial" w:eastAsia="Arial" w:hAnsi="Arial"/>
                <w:sz w:val="16"/>
                <w:szCs w:val="16"/>
                <w:color w:val="auto"/>
              </w:rPr>
              <w:t>309</w:t>
            </w:r>
          </w:p>
        </w:tc>
        <w:tc>
          <w:tcPr>
            <w:tcW w:w="1640" w:type="dxa"/>
            <w:vAlign w:val="bottom"/>
          </w:tcPr>
          <w:p>
            <w:pPr>
              <w:jc w:val="right"/>
              <w:ind w:right="422"/>
              <w:spacing w:after="0"/>
              <w:rPr>
                <w:sz w:val="20"/>
                <w:szCs w:val="20"/>
                <w:color w:val="auto"/>
              </w:rPr>
            </w:pPr>
            <w:r>
              <w:rPr>
                <w:rFonts w:ascii="Arial" w:cs="Arial" w:eastAsia="Arial" w:hAnsi="Arial"/>
                <w:sz w:val="16"/>
                <w:szCs w:val="16"/>
                <w:color w:val="auto"/>
              </w:rPr>
              <w:t>506</w:t>
            </w:r>
          </w:p>
        </w:tc>
        <w:tc>
          <w:tcPr>
            <w:tcW w:w="1240" w:type="dxa"/>
            <w:vAlign w:val="bottom"/>
          </w:tcPr>
          <w:p>
            <w:pPr>
              <w:jc w:val="right"/>
              <w:ind w:right="540"/>
              <w:spacing w:after="0"/>
              <w:rPr>
                <w:sz w:val="20"/>
                <w:szCs w:val="20"/>
                <w:color w:val="auto"/>
              </w:rPr>
            </w:pPr>
            <w:r>
              <w:rPr>
                <w:rFonts w:ascii="Arial" w:cs="Arial" w:eastAsia="Arial" w:hAnsi="Arial"/>
                <w:sz w:val="16"/>
                <w:szCs w:val="16"/>
                <w:color w:val="auto"/>
              </w:rPr>
              <w:t>593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6080" w:type="dxa"/>
            <w:vAlign w:val="bottom"/>
          </w:tcPr>
          <w:p>
            <w:pPr>
              <w:ind w:left="240"/>
              <w:spacing w:after="0"/>
              <w:rPr>
                <w:sz w:val="20"/>
                <w:szCs w:val="20"/>
                <w:color w:val="auto"/>
              </w:rPr>
            </w:pPr>
            <w:r>
              <w:rPr>
                <w:rFonts w:ascii="Arial" w:cs="Arial" w:eastAsia="Arial" w:hAnsi="Arial"/>
                <w:sz w:val="16"/>
                <w:szCs w:val="16"/>
                <w:color w:val="auto"/>
              </w:rPr>
              <w:t>Rental cost representative of interest factor</w:t>
            </w:r>
          </w:p>
        </w:tc>
        <w:tc>
          <w:tcPr>
            <w:tcW w:w="11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618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w:t>
            </w:r>
          </w:p>
        </w:tc>
        <w:tc>
          <w:tcPr>
            <w:tcW w:w="164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640</w:t>
            </w:r>
          </w:p>
        </w:tc>
        <w:tc>
          <w:tcPr>
            <w:tcW w:w="124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721</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6080" w:type="dxa"/>
            <w:vAlign w:val="bottom"/>
            <w:vMerge w:val="restart"/>
          </w:tcPr>
          <w:p>
            <w:pPr>
              <w:spacing w:after="0"/>
              <w:rPr>
                <w:sz w:val="20"/>
                <w:szCs w:val="20"/>
                <w:color w:val="auto"/>
              </w:rPr>
            </w:pPr>
            <w:r>
              <w:rPr>
                <w:rFonts w:ascii="Arial" w:cs="Arial" w:eastAsia="Arial" w:hAnsi="Arial"/>
                <w:sz w:val="16"/>
                <w:szCs w:val="16"/>
                <w:color w:val="auto"/>
              </w:rPr>
              <w:t>Total adjusted earnings available for payment of fixed charges</w:t>
            </w:r>
          </w:p>
        </w:tc>
        <w:tc>
          <w:tcPr>
            <w:tcW w:w="11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1,119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w:t>
            </w:r>
          </w:p>
        </w:tc>
        <w:tc>
          <w:tcPr>
            <w:tcW w:w="164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1,263</w:t>
            </w:r>
          </w:p>
        </w:tc>
        <w:tc>
          <w:tcPr>
            <w:tcW w:w="124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1,391</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 w:type="dxa"/>
            <w:vAlign w:val="bottom"/>
          </w:tcPr>
          <w:p>
            <w:pPr>
              <w:spacing w:after="0"/>
              <w:rPr>
                <w:sz w:val="16"/>
                <w:szCs w:val="16"/>
                <w:color w:val="auto"/>
              </w:rPr>
            </w:pPr>
          </w:p>
        </w:tc>
        <w:tc>
          <w:tcPr>
            <w:tcW w:w="6080" w:type="dxa"/>
            <w:vAlign w:val="bottom"/>
            <w:vMerge w:val="continue"/>
          </w:tcPr>
          <w:p>
            <w:pPr>
              <w:spacing w:after="0"/>
              <w:rPr>
                <w:sz w:val="16"/>
                <w:szCs w:val="16"/>
                <w:color w:val="auto"/>
              </w:rPr>
            </w:pPr>
          </w:p>
        </w:tc>
        <w:tc>
          <w:tcPr>
            <w:tcW w:w="11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52,512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58,920</w:t>
            </w:r>
          </w:p>
        </w:tc>
        <w:tc>
          <w:tcPr>
            <w:tcW w:w="164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78,765</w:t>
            </w:r>
          </w:p>
        </w:tc>
        <w:tc>
          <w:tcPr>
            <w:tcW w:w="124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74,216</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80" w:type="dxa"/>
            <w:vAlign w:val="bottom"/>
          </w:tcPr>
          <w:p>
            <w:pPr>
              <w:spacing w:after="0"/>
              <w:rPr>
                <w:sz w:val="17"/>
                <w:szCs w:val="17"/>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Number of times fixed charges are earned</w:t>
            </w:r>
          </w:p>
        </w:tc>
        <w:tc>
          <w:tcPr>
            <w:tcW w:w="1100" w:type="dxa"/>
            <w:vAlign w:val="bottom"/>
          </w:tcPr>
          <w:p>
            <w:pPr>
              <w:jc w:val="right"/>
              <w:ind w:right="260"/>
              <w:spacing w:after="0"/>
              <w:rPr>
                <w:sz w:val="20"/>
                <w:szCs w:val="20"/>
                <w:color w:val="auto"/>
              </w:rPr>
            </w:pPr>
            <w:r>
              <w:rPr>
                <w:rFonts w:ascii="Arial" w:cs="Arial" w:eastAsia="Arial" w:hAnsi="Arial"/>
                <w:sz w:val="16"/>
                <w:szCs w:val="16"/>
                <w:color w:val="auto"/>
              </w:rPr>
              <w:t>46.9</w:t>
            </w:r>
          </w:p>
        </w:tc>
        <w:tc>
          <w:tcPr>
            <w:tcW w:w="820" w:type="dxa"/>
            <w:vAlign w:val="bottom"/>
          </w:tcPr>
          <w:p>
            <w:pPr>
              <w:jc w:val="right"/>
              <w:spacing w:after="0"/>
              <w:rPr>
                <w:sz w:val="20"/>
                <w:szCs w:val="20"/>
                <w:color w:val="auto"/>
              </w:rPr>
            </w:pPr>
            <w:r>
              <w:rPr>
                <w:rFonts w:ascii="Arial" w:cs="Arial" w:eastAsia="Arial" w:hAnsi="Arial"/>
                <w:sz w:val="16"/>
                <w:szCs w:val="16"/>
                <w:color w:val="auto"/>
              </w:rPr>
              <w:t>55.7</w:t>
            </w:r>
          </w:p>
        </w:tc>
        <w:tc>
          <w:tcPr>
            <w:tcW w:w="1640" w:type="dxa"/>
            <w:vAlign w:val="bottom"/>
          </w:tcPr>
          <w:p>
            <w:pPr>
              <w:jc w:val="right"/>
              <w:ind w:right="422"/>
              <w:spacing w:after="0"/>
              <w:rPr>
                <w:sz w:val="20"/>
                <w:szCs w:val="20"/>
                <w:color w:val="auto"/>
              </w:rPr>
            </w:pPr>
            <w:r>
              <w:rPr>
                <w:rFonts w:ascii="Arial" w:cs="Arial" w:eastAsia="Arial" w:hAnsi="Arial"/>
                <w:sz w:val="16"/>
                <w:szCs w:val="16"/>
                <w:color w:val="auto"/>
              </w:rPr>
              <w:t>62.4</w:t>
            </w:r>
          </w:p>
        </w:tc>
        <w:tc>
          <w:tcPr>
            <w:tcW w:w="1240" w:type="dxa"/>
            <w:vAlign w:val="bottom"/>
          </w:tcPr>
          <w:p>
            <w:pPr>
              <w:jc w:val="right"/>
              <w:ind w:right="540"/>
              <w:spacing w:after="0"/>
              <w:rPr>
                <w:sz w:val="20"/>
                <w:szCs w:val="20"/>
                <w:color w:val="auto"/>
              </w:rPr>
            </w:pPr>
            <w:r>
              <w:rPr>
                <w:rFonts w:ascii="Arial" w:cs="Arial" w:eastAsia="Arial" w:hAnsi="Arial"/>
                <w:sz w:val="16"/>
                <w:szCs w:val="16"/>
                <w:color w:val="auto"/>
              </w:rPr>
              <w:t>53.4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4"/>
        </w:trPr>
        <w:tc>
          <w:tcPr>
            <w:tcW w:w="580" w:type="dxa"/>
            <w:vAlign w:val="bottom"/>
            <w:tcBorders>
              <w:bottom w:val="single" w:sz="8" w:color="808080"/>
            </w:tcBorders>
          </w:tcPr>
          <w:p>
            <w:pPr>
              <w:spacing w:after="0"/>
              <w:rPr>
                <w:sz w:val="24"/>
                <w:szCs w:val="24"/>
                <w:color w:val="auto"/>
              </w:rPr>
            </w:pPr>
          </w:p>
        </w:tc>
        <w:tc>
          <w:tcPr>
            <w:tcW w:w="608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907" w:right="1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12"/>
        </w:trPr>
        <w:tc>
          <w:tcPr>
            <w:tcW w:w="5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b w:val="1"/>
                <w:bCs w:val="1"/>
                <w:color w:val="auto"/>
              </w:rPr>
              <w:t>EXHI</w:t>
            </w:r>
          </w:p>
        </w:tc>
        <w:tc>
          <w:tcPr>
            <w:tcW w:w="0" w:type="dxa"/>
            <w:vAlign w:val="bottom"/>
          </w:tcPr>
          <w:p>
            <w:pPr>
              <w:spacing w:after="0"/>
              <w:rPr>
                <w:sz w:val="1"/>
                <w:szCs w:val="1"/>
                <w:color w:val="auto"/>
              </w:rPr>
            </w:pPr>
          </w:p>
        </w:tc>
      </w:tr>
      <w:tr>
        <w:trPr>
          <w:trHeight w:val="343"/>
        </w:trPr>
        <w:tc>
          <w:tcPr>
            <w:tcW w:w="5800" w:type="dxa"/>
            <w:vAlign w:val="bottom"/>
          </w:tcPr>
          <w:p>
            <w:pPr>
              <w:ind w:left="580"/>
              <w:spacing w:after="0"/>
              <w:rPr>
                <w:sz w:val="20"/>
                <w:szCs w:val="20"/>
                <w:color w:val="auto"/>
              </w:rPr>
            </w:pPr>
            <w:r>
              <w:rPr>
                <w:rFonts w:ascii="Arial" w:cs="Arial" w:eastAsia="Arial" w:hAnsi="Arial"/>
                <w:sz w:val="16"/>
                <w:szCs w:val="16"/>
                <w:b w:val="1"/>
                <w:bCs w:val="1"/>
                <w:color w:val="auto"/>
              </w:rPr>
              <w:t>Subsidiaries of the Registrant (1), (2) and (3) – at December 31, 2014</w:t>
            </w:r>
          </w:p>
        </w:tc>
        <w:tc>
          <w:tcPr>
            <w:tcW w:w="15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0" w:type="dxa"/>
            <w:vAlign w:val="bottom"/>
            <w:gridSpan w:val="2"/>
          </w:tcPr>
          <w:p>
            <w:pPr>
              <w:jc w:val="center"/>
              <w:ind w:right="600"/>
              <w:spacing w:after="0"/>
              <w:rPr>
                <w:sz w:val="20"/>
                <w:szCs w:val="20"/>
                <w:color w:val="auto"/>
              </w:rPr>
            </w:pPr>
            <w:r>
              <w:rPr>
                <w:rFonts w:ascii="Arial" w:cs="Arial" w:eastAsia="Arial" w:hAnsi="Arial"/>
                <w:sz w:val="16"/>
                <w:szCs w:val="16"/>
                <w:color w:val="auto"/>
                <w:w w:val="88"/>
              </w:rPr>
              <w:t>Percentage of</w:t>
            </w: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0" w:type="dxa"/>
            <w:vAlign w:val="bottom"/>
            <w:gridSpan w:val="2"/>
          </w:tcPr>
          <w:p>
            <w:pPr>
              <w:jc w:val="center"/>
              <w:ind w:right="600"/>
              <w:spacing w:after="0"/>
              <w:rPr>
                <w:sz w:val="20"/>
                <w:szCs w:val="20"/>
                <w:color w:val="auto"/>
              </w:rPr>
            </w:pPr>
            <w:r>
              <w:rPr>
                <w:rFonts w:ascii="Arial" w:cs="Arial" w:eastAsia="Arial" w:hAnsi="Arial"/>
                <w:sz w:val="16"/>
                <w:szCs w:val="16"/>
                <w:color w:val="auto"/>
                <w:w w:val="93"/>
              </w:rPr>
              <w:t>Voting Securities</w:t>
            </w:r>
          </w:p>
        </w:tc>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0" w:type="dxa"/>
            <w:vAlign w:val="bottom"/>
            <w:gridSpan w:val="2"/>
          </w:tcPr>
          <w:p>
            <w:pPr>
              <w:jc w:val="center"/>
              <w:ind w:right="600"/>
              <w:spacing w:after="0"/>
              <w:rPr>
                <w:sz w:val="20"/>
                <w:szCs w:val="20"/>
                <w:color w:val="auto"/>
              </w:rPr>
            </w:pPr>
            <w:r>
              <w:rPr>
                <w:rFonts w:ascii="Arial" w:cs="Arial" w:eastAsia="Arial" w:hAnsi="Arial"/>
                <w:sz w:val="16"/>
                <w:szCs w:val="16"/>
                <w:color w:val="auto"/>
                <w:w w:val="95"/>
              </w:rPr>
              <w:t>Owned Directly</w:t>
            </w:r>
          </w:p>
        </w:tc>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0" w:type="dxa"/>
            <w:vAlign w:val="bottom"/>
            <w:gridSpan w:val="2"/>
          </w:tcPr>
          <w:p>
            <w:pPr>
              <w:jc w:val="center"/>
              <w:ind w:right="580"/>
              <w:spacing w:after="0"/>
              <w:rPr>
                <w:sz w:val="20"/>
                <w:szCs w:val="20"/>
                <w:color w:val="auto"/>
              </w:rPr>
            </w:pPr>
            <w:r>
              <w:rPr>
                <w:rFonts w:ascii="Arial" w:cs="Arial" w:eastAsia="Arial" w:hAnsi="Arial"/>
                <w:sz w:val="16"/>
                <w:szCs w:val="16"/>
                <w:color w:val="auto"/>
                <w:w w:val="97"/>
              </w:rPr>
              <w:t>or Indirectly by</w:t>
            </w:r>
          </w:p>
        </w:tc>
        <w:tc>
          <w:tcPr>
            <w:tcW w:w="1780" w:type="dxa"/>
            <w:vAlign w:val="bottom"/>
            <w:gridSpan w:val="2"/>
          </w:tcPr>
          <w:p>
            <w:pPr>
              <w:ind w:left="880"/>
              <w:spacing w:after="0"/>
              <w:rPr>
                <w:sz w:val="20"/>
                <w:szCs w:val="20"/>
                <w:color w:val="auto"/>
              </w:rPr>
            </w:pPr>
            <w:r>
              <w:rPr>
                <w:rFonts w:ascii="Arial" w:cs="Arial" w:eastAsia="Arial" w:hAnsi="Arial"/>
                <w:sz w:val="16"/>
                <w:szCs w:val="16"/>
                <w:color w:val="auto"/>
              </w:rPr>
              <w:t>State or</w:t>
            </w:r>
          </w:p>
        </w:tc>
        <w:tc>
          <w:tcPr>
            <w:tcW w:w="0" w:type="dxa"/>
            <w:vAlign w:val="bottom"/>
          </w:tcPr>
          <w:p>
            <w:pPr>
              <w:spacing w:after="0"/>
              <w:rPr>
                <w:sz w:val="1"/>
                <w:szCs w:val="1"/>
                <w:color w:val="auto"/>
              </w:rPr>
            </w:pPr>
          </w:p>
        </w:tc>
      </w:tr>
      <w:tr>
        <w:trPr>
          <w:trHeight w:val="208"/>
        </w:trPr>
        <w:tc>
          <w:tcPr>
            <w:tcW w:w="5800" w:type="dxa"/>
            <w:vAlign w:val="bottom"/>
            <w:vMerge w:val="restart"/>
          </w:tcPr>
          <w:p>
            <w:pPr>
              <w:ind w:left="640"/>
              <w:spacing w:after="0"/>
              <w:rPr>
                <w:sz w:val="20"/>
                <w:szCs w:val="20"/>
                <w:color w:val="auto"/>
              </w:rPr>
            </w:pPr>
            <w:r>
              <w:rPr>
                <w:rFonts w:ascii="Arial" w:cs="Arial" w:eastAsia="Arial" w:hAnsi="Arial"/>
                <w:sz w:val="16"/>
                <w:szCs w:val="16"/>
                <w:color w:val="auto"/>
              </w:rPr>
              <w:t>Abu Dhabi Petroleum Company Limited (5)</w:t>
            </w:r>
          </w:p>
        </w:tc>
        <w:tc>
          <w:tcPr>
            <w:tcW w:w="1540" w:type="dxa"/>
            <w:vAlign w:val="bottom"/>
          </w:tcPr>
          <w:p>
            <w:pPr>
              <w:spacing w:after="0"/>
              <w:rPr>
                <w:sz w:val="18"/>
                <w:szCs w:val="18"/>
                <w:color w:val="auto"/>
              </w:rPr>
            </w:pPr>
          </w:p>
        </w:tc>
        <w:tc>
          <w:tcPr>
            <w:tcW w:w="2400" w:type="dxa"/>
            <w:vAlign w:val="bottom"/>
            <w:gridSpan w:val="2"/>
          </w:tcPr>
          <w:p>
            <w:pPr>
              <w:jc w:val="center"/>
              <w:ind w:right="560"/>
              <w:spacing w:after="0"/>
              <w:rPr>
                <w:sz w:val="20"/>
                <w:szCs w:val="20"/>
                <w:color w:val="auto"/>
              </w:rPr>
            </w:pPr>
            <w:r>
              <w:rPr>
                <w:rFonts w:ascii="Arial" w:cs="Arial" w:eastAsia="Arial" w:hAnsi="Arial"/>
                <w:sz w:val="16"/>
                <w:szCs w:val="16"/>
                <w:color w:val="auto"/>
                <w:w w:val="93"/>
              </w:rPr>
              <w:t>Registrant</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Country of Organizati</w:t>
            </w:r>
          </w:p>
        </w:tc>
        <w:tc>
          <w:tcPr>
            <w:tcW w:w="0" w:type="dxa"/>
            <w:vAlign w:val="bottom"/>
          </w:tcPr>
          <w:p>
            <w:pPr>
              <w:spacing w:after="0"/>
              <w:rPr>
                <w:sz w:val="1"/>
                <w:szCs w:val="1"/>
                <w:color w:val="auto"/>
              </w:rPr>
            </w:pPr>
          </w:p>
        </w:tc>
      </w:tr>
      <w:tr>
        <w:trPr>
          <w:trHeight w:val="177"/>
        </w:trPr>
        <w:tc>
          <w:tcPr>
            <w:tcW w:w="580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1840" w:type="dxa"/>
            <w:vAlign w:val="bottom"/>
            <w:tcBorders>
              <w:top w:val="single" w:sz="8" w:color="auto"/>
            </w:tcBorders>
          </w:tcPr>
          <w:p>
            <w:pPr>
              <w:ind w:left="440"/>
              <w:spacing w:after="0" w:line="177" w:lineRule="exact"/>
              <w:rPr>
                <w:sz w:val="20"/>
                <w:szCs w:val="20"/>
                <w:color w:val="auto"/>
              </w:rPr>
            </w:pPr>
            <w:r>
              <w:rPr>
                <w:rFonts w:ascii="Arial" w:cs="Arial" w:eastAsia="Arial" w:hAnsi="Arial"/>
                <w:sz w:val="16"/>
                <w:szCs w:val="16"/>
                <w:color w:val="auto"/>
              </w:rPr>
              <w:t>23.75</w:t>
            </w:r>
          </w:p>
        </w:tc>
        <w:tc>
          <w:tcPr>
            <w:tcW w:w="560" w:type="dxa"/>
            <w:vAlign w:val="bottom"/>
          </w:tcPr>
          <w:p>
            <w:pPr>
              <w:spacing w:after="0"/>
              <w:rPr>
                <w:sz w:val="15"/>
                <w:szCs w:val="15"/>
                <w:color w:val="auto"/>
              </w:rPr>
            </w:pPr>
          </w:p>
        </w:tc>
        <w:tc>
          <w:tcPr>
            <w:tcW w:w="1780" w:type="dxa"/>
            <w:vAlign w:val="bottom"/>
            <w:tcBorders>
              <w:top w:val="single" w:sz="8" w:color="auto"/>
            </w:tcBorders>
            <w:gridSpan w:val="2"/>
          </w:tcPr>
          <w:p>
            <w:pPr>
              <w:ind w:left="40"/>
              <w:spacing w:after="0" w:line="177" w:lineRule="exact"/>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Aera Energy LLC (5)</w:t>
            </w:r>
          </w:p>
        </w:tc>
        <w:tc>
          <w:tcPr>
            <w:tcW w:w="3380" w:type="dxa"/>
            <w:vAlign w:val="bottom"/>
            <w:gridSpan w:val="2"/>
          </w:tcPr>
          <w:p>
            <w:pPr>
              <w:ind w:left="1980"/>
              <w:spacing w:after="0"/>
              <w:rPr>
                <w:sz w:val="20"/>
                <w:szCs w:val="20"/>
                <w:color w:val="auto"/>
              </w:rPr>
            </w:pPr>
            <w:r>
              <w:rPr>
                <w:rFonts w:ascii="Arial" w:cs="Arial" w:eastAsia="Arial" w:hAnsi="Arial"/>
                <w:sz w:val="16"/>
                <w:szCs w:val="16"/>
                <w:color w:val="auto"/>
              </w:rPr>
              <w:t>48.2</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California</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AKG Marketing Company Limited</w:t>
            </w:r>
          </w:p>
        </w:tc>
        <w:tc>
          <w:tcPr>
            <w:tcW w:w="3380" w:type="dxa"/>
            <w:vAlign w:val="bottom"/>
            <w:gridSpan w:val="2"/>
          </w:tcPr>
          <w:p>
            <w:pPr>
              <w:ind w:left="1980"/>
              <w:spacing w:after="0"/>
              <w:rPr>
                <w:sz w:val="20"/>
                <w:szCs w:val="20"/>
                <w:color w:val="auto"/>
              </w:rPr>
            </w:pPr>
            <w:r>
              <w:rPr>
                <w:rFonts w:ascii="Arial" w:cs="Arial" w:eastAsia="Arial" w:hAnsi="Arial"/>
                <w:sz w:val="16"/>
                <w:szCs w:val="16"/>
                <w:color w:val="auto"/>
              </w:rPr>
              <w:t>87.5</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Bahamas</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Al-Jubail Petrochemical Company (4) (5)</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50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Saudi Arabia</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Ampolex (CEPU) Pte Ltd</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Singapore</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Ancon Insurance Company, Inc.</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Vermont</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Barnett Gathering, LLC</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Texas</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Barzan Gas Company Limited (5)</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7</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Qatar</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BEB Erdgas und Erdoel GmbH &amp; Co. KG (4) (5)</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50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Cameroon Oil Transportation Company S.A. (5)</w:t>
            </w:r>
          </w:p>
        </w:tc>
        <w:tc>
          <w:tcPr>
            <w:tcW w:w="3380" w:type="dxa"/>
            <w:vAlign w:val="bottom"/>
            <w:gridSpan w:val="2"/>
          </w:tcPr>
          <w:p>
            <w:pPr>
              <w:ind w:left="1980"/>
              <w:spacing w:after="0"/>
              <w:rPr>
                <w:sz w:val="20"/>
                <w:szCs w:val="20"/>
                <w:color w:val="auto"/>
              </w:rPr>
            </w:pPr>
            <w:r>
              <w:rPr>
                <w:rFonts w:ascii="Arial" w:cs="Arial" w:eastAsia="Arial" w:hAnsi="Arial"/>
                <w:sz w:val="16"/>
                <w:szCs w:val="16"/>
                <w:color w:val="auto"/>
              </w:rPr>
              <w:t>41.06</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Cameroon</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Canada Imperial Oil Limited</w:t>
            </w:r>
          </w:p>
        </w:tc>
        <w:tc>
          <w:tcPr>
            <w:tcW w:w="3380" w:type="dxa"/>
            <w:vAlign w:val="bottom"/>
            <w:gridSpan w:val="2"/>
          </w:tcPr>
          <w:p>
            <w:pPr>
              <w:ind w:left="1980"/>
              <w:spacing w:after="0"/>
              <w:rPr>
                <w:sz w:val="20"/>
                <w:szCs w:val="20"/>
                <w:color w:val="auto"/>
              </w:rPr>
            </w:pPr>
            <w:r>
              <w:rPr>
                <w:rFonts w:ascii="Arial" w:cs="Arial" w:eastAsia="Arial" w:hAnsi="Arial"/>
                <w:sz w:val="16"/>
                <w:szCs w:val="16"/>
                <w:color w:val="auto"/>
              </w:rPr>
              <w:t>69.6</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Caspian Pipeline Consortium (5)</w:t>
            </w:r>
          </w:p>
        </w:tc>
        <w:tc>
          <w:tcPr>
            <w:tcW w:w="3380" w:type="dxa"/>
            <w:vAlign w:val="bottom"/>
            <w:gridSpan w:val="2"/>
          </w:tcPr>
          <w:p>
            <w:pPr>
              <w:jc w:val="right"/>
              <w:ind w:right="1018"/>
              <w:spacing w:after="0"/>
              <w:rPr>
                <w:sz w:val="20"/>
                <w:szCs w:val="20"/>
                <w:color w:val="auto"/>
              </w:rPr>
            </w:pPr>
            <w:r>
              <w:rPr>
                <w:rFonts w:ascii="Arial" w:cs="Arial" w:eastAsia="Arial" w:hAnsi="Arial"/>
                <w:sz w:val="16"/>
                <w:szCs w:val="16"/>
                <w:color w:val="auto"/>
              </w:rPr>
              <w:t>7.5</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Russia/Kazakhstan</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Chalmette Refining, LLC (4) (5)</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50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Cross Timbers Energy, LLC (4) (5)</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50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Cross Timbers Energy Services, Inc.</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Texas</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Ellora Energy Inc.</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Esso Australia Resources Pty Ltd</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Esso Deutschland GmbH</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Esso Erdgas Beteiligungsgesellschaft mbH</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Esso Exploration and Production Angola (Overseas) Limited</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Bahamas</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Esso Exploration and Production Chad Inc.</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Bahamas</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Esso Exploration and Production Nigeria (Deepwater) Limited</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Nigeria</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Esso Exploration and Production Nigeria (Offshore East) Limited</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Nigeria</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Esso Exploration and Production Nigeria Limited</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Nigeria</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Esso Exploration and Production UK Limited</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Esso Exploration Angola (Block 15) Limited</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Bahamas</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Esso Exploration Angola (Block 17) Limited</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Bahamas</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Esso Italiana S.r.l.</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Italy</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Esso Nederland B.V.</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Netherlands</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Esso Norge AS</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Norway</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Esso Petroleum Company, Limited</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Esso Pipeline Investments Limited</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Bahamas</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Esso Raffinage</w:t>
            </w:r>
          </w:p>
        </w:tc>
        <w:tc>
          <w:tcPr>
            <w:tcW w:w="3380" w:type="dxa"/>
            <w:vAlign w:val="bottom"/>
            <w:gridSpan w:val="2"/>
          </w:tcPr>
          <w:p>
            <w:pPr>
              <w:ind w:left="1980"/>
              <w:spacing w:after="0"/>
              <w:rPr>
                <w:sz w:val="20"/>
                <w:szCs w:val="20"/>
                <w:color w:val="auto"/>
              </w:rPr>
            </w:pPr>
            <w:r>
              <w:rPr>
                <w:rFonts w:ascii="Arial" w:cs="Arial" w:eastAsia="Arial" w:hAnsi="Arial"/>
                <w:sz w:val="16"/>
                <w:szCs w:val="16"/>
                <w:color w:val="auto"/>
              </w:rPr>
              <w:t>82.89</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Esso Societe Anonyme Francaise</w:t>
            </w:r>
          </w:p>
        </w:tc>
        <w:tc>
          <w:tcPr>
            <w:tcW w:w="3380" w:type="dxa"/>
            <w:vAlign w:val="bottom"/>
            <w:gridSpan w:val="2"/>
          </w:tcPr>
          <w:p>
            <w:pPr>
              <w:ind w:left="1980"/>
              <w:spacing w:after="0"/>
              <w:rPr>
                <w:sz w:val="20"/>
                <w:szCs w:val="20"/>
                <w:color w:val="auto"/>
              </w:rPr>
            </w:pPr>
            <w:r>
              <w:rPr>
                <w:rFonts w:ascii="Arial" w:cs="Arial" w:eastAsia="Arial" w:hAnsi="Arial"/>
                <w:sz w:val="16"/>
                <w:szCs w:val="16"/>
                <w:color w:val="auto"/>
              </w:rPr>
              <w:t>82.89</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Esso (Thailand) Public Company Limited</w:t>
            </w:r>
          </w:p>
        </w:tc>
        <w:tc>
          <w:tcPr>
            <w:tcW w:w="3380" w:type="dxa"/>
            <w:vAlign w:val="bottom"/>
            <w:gridSpan w:val="2"/>
          </w:tcPr>
          <w:p>
            <w:pPr>
              <w:ind w:left="1980"/>
              <w:spacing w:after="0"/>
              <w:rPr>
                <w:sz w:val="20"/>
                <w:szCs w:val="20"/>
                <w:color w:val="auto"/>
              </w:rPr>
            </w:pPr>
            <w:r>
              <w:rPr>
                <w:rFonts w:ascii="Arial" w:cs="Arial" w:eastAsia="Arial" w:hAnsi="Arial"/>
                <w:sz w:val="16"/>
                <w:szCs w:val="16"/>
                <w:color w:val="auto"/>
              </w:rPr>
              <w:t>65.99</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Thailand</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Esso Trading Company of Abu Dhabi</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Exxon Azerbaijan Limited</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Bahamas</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Exxon Chemical Arabia Inc.</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Exxon Mobile Bay Limited Partnership</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Exxon Neftegas Limited</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Bahamas</w:t>
            </w:r>
          </w:p>
        </w:tc>
        <w:tc>
          <w:tcPr>
            <w:tcW w:w="0" w:type="dxa"/>
            <w:vAlign w:val="bottom"/>
          </w:tcPr>
          <w:p>
            <w:pPr>
              <w:spacing w:after="0"/>
              <w:rPr>
                <w:sz w:val="1"/>
                <w:szCs w:val="1"/>
                <w:color w:val="auto"/>
              </w:rPr>
            </w:pPr>
          </w:p>
        </w:tc>
      </w:tr>
      <w:tr>
        <w:trPr>
          <w:trHeight w:val="196"/>
        </w:trPr>
        <w:tc>
          <w:tcPr>
            <w:tcW w:w="5800" w:type="dxa"/>
            <w:vAlign w:val="bottom"/>
          </w:tcPr>
          <w:p>
            <w:pPr>
              <w:ind w:left="640"/>
              <w:spacing w:after="0"/>
              <w:rPr>
                <w:sz w:val="20"/>
                <w:szCs w:val="20"/>
                <w:color w:val="auto"/>
              </w:rPr>
            </w:pPr>
            <w:r>
              <w:rPr>
                <w:rFonts w:ascii="Arial" w:cs="Arial" w:eastAsia="Arial" w:hAnsi="Arial"/>
                <w:sz w:val="16"/>
                <w:szCs w:val="16"/>
                <w:color w:val="auto"/>
              </w:rPr>
              <w:t>Exxon Overseas Corporation</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08"/>
        </w:trPr>
        <w:tc>
          <w:tcPr>
            <w:tcW w:w="5800" w:type="dxa"/>
            <w:vAlign w:val="bottom"/>
          </w:tcPr>
          <w:p>
            <w:pPr>
              <w:ind w:left="640"/>
              <w:spacing w:after="0"/>
              <w:rPr>
                <w:sz w:val="20"/>
                <w:szCs w:val="20"/>
                <w:color w:val="auto"/>
              </w:rPr>
            </w:pPr>
            <w:r>
              <w:rPr>
                <w:rFonts w:ascii="Arial" w:cs="Arial" w:eastAsia="Arial" w:hAnsi="Arial"/>
                <w:sz w:val="16"/>
                <w:szCs w:val="16"/>
                <w:color w:val="auto"/>
              </w:rPr>
              <w:t>Exxon Overseas Investment Corporation</w:t>
            </w:r>
          </w:p>
        </w:tc>
        <w:tc>
          <w:tcPr>
            <w:tcW w:w="33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8"/>
                <w:szCs w:val="18"/>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907"/>
        </w:trPr>
        <w:tc>
          <w:tcPr>
            <w:tcW w:w="5800" w:type="dxa"/>
            <w:vAlign w:val="bottom"/>
          </w:tcPr>
          <w:p>
            <w:pPr>
              <w:spacing w:after="0"/>
              <w:rPr>
                <w:sz w:val="24"/>
                <w:szCs w:val="24"/>
                <w:color w:val="auto"/>
              </w:rPr>
            </w:pPr>
          </w:p>
        </w:tc>
        <w:tc>
          <w:tcPr>
            <w:tcW w:w="1540" w:type="dxa"/>
            <w:vAlign w:val="bottom"/>
          </w:tcPr>
          <w:p>
            <w:pPr>
              <w:jc w:val="right"/>
              <w:ind w:right="918"/>
              <w:spacing w:after="0"/>
              <w:rPr>
                <w:sz w:val="20"/>
                <w:szCs w:val="20"/>
                <w:color w:val="auto"/>
              </w:rPr>
            </w:pPr>
            <w:r>
              <w:rPr>
                <w:rFonts w:ascii="Arial" w:cs="Arial" w:eastAsia="Arial" w:hAnsi="Arial"/>
                <w:sz w:val="16"/>
                <w:szCs w:val="16"/>
                <w:color w:val="auto"/>
              </w:rPr>
              <w:t>1</w:t>
            </w:r>
          </w:p>
        </w:tc>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5"/>
        </w:trPr>
        <w:tc>
          <w:tcPr>
            <w:tcW w:w="580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968" w:right="1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0" w:type="dxa"/>
            <w:vAlign w:val="bottom"/>
            <w:gridSpan w:val="2"/>
          </w:tcPr>
          <w:p>
            <w:pPr>
              <w:jc w:val="center"/>
              <w:ind w:right="580"/>
              <w:spacing w:after="0"/>
              <w:rPr>
                <w:sz w:val="20"/>
                <w:szCs w:val="20"/>
                <w:color w:val="auto"/>
              </w:rPr>
            </w:pPr>
            <w:r>
              <w:rPr>
                <w:rFonts w:ascii="Arial" w:cs="Arial" w:eastAsia="Arial" w:hAnsi="Arial"/>
                <w:sz w:val="16"/>
                <w:szCs w:val="16"/>
                <w:color w:val="auto"/>
                <w:w w:val="90"/>
              </w:rPr>
              <w:t>Percentage of</w:t>
            </w:r>
          </w:p>
        </w:tc>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0" w:type="dxa"/>
            <w:vAlign w:val="bottom"/>
            <w:gridSpan w:val="2"/>
          </w:tcPr>
          <w:p>
            <w:pPr>
              <w:ind w:left="360"/>
              <w:spacing w:after="0"/>
              <w:rPr>
                <w:sz w:val="20"/>
                <w:szCs w:val="20"/>
                <w:color w:val="auto"/>
              </w:rPr>
            </w:pPr>
            <w:r>
              <w:rPr>
                <w:rFonts w:ascii="Arial" w:cs="Arial" w:eastAsia="Arial" w:hAnsi="Arial"/>
                <w:sz w:val="16"/>
                <w:szCs w:val="16"/>
                <w:color w:val="auto"/>
              </w:rPr>
              <w:t>Voting Securities</w:t>
            </w:r>
          </w:p>
        </w:tc>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0" w:type="dxa"/>
            <w:vAlign w:val="bottom"/>
            <w:gridSpan w:val="2"/>
          </w:tcPr>
          <w:p>
            <w:pPr>
              <w:jc w:val="center"/>
              <w:ind w:right="560"/>
              <w:spacing w:after="0"/>
              <w:rPr>
                <w:sz w:val="20"/>
                <w:szCs w:val="20"/>
                <w:color w:val="auto"/>
              </w:rPr>
            </w:pPr>
            <w:r>
              <w:rPr>
                <w:rFonts w:ascii="Arial" w:cs="Arial" w:eastAsia="Arial" w:hAnsi="Arial"/>
                <w:sz w:val="16"/>
                <w:szCs w:val="16"/>
                <w:color w:val="auto"/>
                <w:w w:val="95"/>
              </w:rPr>
              <w:t>Owned Directly</w:t>
            </w:r>
          </w:p>
        </w:tc>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0" w:type="dxa"/>
            <w:vAlign w:val="bottom"/>
            <w:gridSpan w:val="2"/>
          </w:tcPr>
          <w:p>
            <w:pPr>
              <w:jc w:val="center"/>
              <w:ind w:right="580"/>
              <w:spacing w:after="0"/>
              <w:rPr>
                <w:sz w:val="20"/>
                <w:szCs w:val="20"/>
                <w:color w:val="auto"/>
              </w:rPr>
            </w:pPr>
            <w:r>
              <w:rPr>
                <w:rFonts w:ascii="Arial" w:cs="Arial" w:eastAsia="Arial" w:hAnsi="Arial"/>
                <w:sz w:val="16"/>
                <w:szCs w:val="16"/>
                <w:color w:val="auto"/>
                <w:w w:val="97"/>
              </w:rPr>
              <w:t>or Indirectly by</w:t>
            </w:r>
          </w:p>
        </w:tc>
        <w:tc>
          <w:tcPr>
            <w:tcW w:w="1780" w:type="dxa"/>
            <w:vAlign w:val="bottom"/>
            <w:gridSpan w:val="2"/>
          </w:tcPr>
          <w:p>
            <w:pPr>
              <w:ind w:left="880"/>
              <w:spacing w:after="0"/>
              <w:rPr>
                <w:sz w:val="20"/>
                <w:szCs w:val="20"/>
                <w:color w:val="auto"/>
              </w:rPr>
            </w:pPr>
            <w:r>
              <w:rPr>
                <w:rFonts w:ascii="Arial" w:cs="Arial" w:eastAsia="Arial" w:hAnsi="Arial"/>
                <w:sz w:val="16"/>
                <w:szCs w:val="16"/>
                <w:color w:val="auto"/>
              </w:rPr>
              <w:t>State or</w:t>
            </w:r>
          </w:p>
        </w:tc>
        <w:tc>
          <w:tcPr>
            <w:tcW w:w="0" w:type="dxa"/>
            <w:vAlign w:val="bottom"/>
          </w:tcPr>
          <w:p>
            <w:pPr>
              <w:spacing w:after="0"/>
              <w:rPr>
                <w:sz w:val="1"/>
                <w:szCs w:val="1"/>
                <w:color w:val="auto"/>
              </w:rPr>
            </w:pPr>
          </w:p>
        </w:tc>
      </w:tr>
      <w:tr>
        <w:trPr>
          <w:trHeight w:val="208"/>
        </w:trPr>
        <w:tc>
          <w:tcPr>
            <w:tcW w:w="5620" w:type="dxa"/>
            <w:vAlign w:val="bottom"/>
            <w:vMerge w:val="restart"/>
          </w:tcPr>
          <w:p>
            <w:pPr>
              <w:ind w:left="640"/>
              <w:spacing w:after="0"/>
              <w:rPr>
                <w:sz w:val="20"/>
                <w:szCs w:val="20"/>
                <w:color w:val="auto"/>
              </w:rPr>
            </w:pPr>
            <w:r>
              <w:rPr>
                <w:rFonts w:ascii="Arial" w:cs="Arial" w:eastAsia="Arial" w:hAnsi="Arial"/>
                <w:sz w:val="16"/>
                <w:szCs w:val="16"/>
                <w:color w:val="auto"/>
              </w:rPr>
              <w:t>ExxonMobil Abu Dhabi Offshore Petroleum Company Limited</w:t>
            </w:r>
          </w:p>
        </w:tc>
        <w:tc>
          <w:tcPr>
            <w:tcW w:w="1720" w:type="dxa"/>
            <w:vAlign w:val="bottom"/>
          </w:tcPr>
          <w:p>
            <w:pPr>
              <w:spacing w:after="0"/>
              <w:rPr>
                <w:sz w:val="18"/>
                <w:szCs w:val="18"/>
                <w:color w:val="auto"/>
              </w:rPr>
            </w:pPr>
          </w:p>
        </w:tc>
        <w:tc>
          <w:tcPr>
            <w:tcW w:w="2400" w:type="dxa"/>
            <w:vAlign w:val="bottom"/>
            <w:gridSpan w:val="2"/>
          </w:tcPr>
          <w:p>
            <w:pPr>
              <w:jc w:val="center"/>
              <w:ind w:right="560"/>
              <w:spacing w:after="0"/>
              <w:rPr>
                <w:sz w:val="20"/>
                <w:szCs w:val="20"/>
                <w:color w:val="auto"/>
              </w:rPr>
            </w:pPr>
            <w:r>
              <w:rPr>
                <w:rFonts w:ascii="Arial" w:cs="Arial" w:eastAsia="Arial" w:hAnsi="Arial"/>
                <w:sz w:val="16"/>
                <w:szCs w:val="16"/>
                <w:color w:val="auto"/>
                <w:w w:val="93"/>
              </w:rPr>
              <w:t>Registrant</w:t>
            </w:r>
          </w:p>
        </w:tc>
        <w:tc>
          <w:tcPr>
            <w:tcW w:w="1780" w:type="dxa"/>
            <w:vAlign w:val="bottom"/>
            <w:gridSpan w:val="2"/>
          </w:tcPr>
          <w:p>
            <w:pPr>
              <w:ind w:left="340"/>
              <w:spacing w:after="0"/>
              <w:rPr>
                <w:sz w:val="20"/>
                <w:szCs w:val="20"/>
                <w:color w:val="auto"/>
              </w:rPr>
            </w:pPr>
            <w:r>
              <w:rPr>
                <w:rFonts w:ascii="Arial" w:cs="Arial" w:eastAsia="Arial" w:hAnsi="Arial"/>
                <w:sz w:val="16"/>
                <w:szCs w:val="16"/>
                <w:color w:val="auto"/>
                <w:w w:val="93"/>
              </w:rPr>
              <w:t>Country of Organizati</w:t>
            </w:r>
          </w:p>
        </w:tc>
        <w:tc>
          <w:tcPr>
            <w:tcW w:w="0" w:type="dxa"/>
            <w:vAlign w:val="bottom"/>
          </w:tcPr>
          <w:p>
            <w:pPr>
              <w:spacing w:after="0"/>
              <w:rPr>
                <w:sz w:val="1"/>
                <w:szCs w:val="1"/>
                <w:color w:val="auto"/>
              </w:rPr>
            </w:pPr>
          </w:p>
        </w:tc>
      </w:tr>
      <w:tr>
        <w:trPr>
          <w:trHeight w:val="177"/>
        </w:trPr>
        <w:tc>
          <w:tcPr>
            <w:tcW w:w="562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840" w:type="dxa"/>
            <w:vAlign w:val="bottom"/>
            <w:tcBorders>
              <w:top w:val="single" w:sz="8" w:color="auto"/>
            </w:tcBorders>
          </w:tcPr>
          <w:p>
            <w:pPr>
              <w:ind w:left="360"/>
              <w:spacing w:after="0" w:line="177" w:lineRule="exact"/>
              <w:rPr>
                <w:sz w:val="20"/>
                <w:szCs w:val="20"/>
                <w:color w:val="auto"/>
              </w:rPr>
            </w:pPr>
            <w:r>
              <w:rPr>
                <w:rFonts w:ascii="Arial" w:cs="Arial" w:eastAsia="Arial" w:hAnsi="Arial"/>
                <w:sz w:val="16"/>
                <w:szCs w:val="16"/>
                <w:color w:val="auto"/>
              </w:rPr>
              <w:t>100</w:t>
            </w:r>
          </w:p>
        </w:tc>
        <w:tc>
          <w:tcPr>
            <w:tcW w:w="560" w:type="dxa"/>
            <w:vAlign w:val="bottom"/>
          </w:tcPr>
          <w:p>
            <w:pPr>
              <w:spacing w:after="0"/>
              <w:rPr>
                <w:sz w:val="15"/>
                <w:szCs w:val="15"/>
                <w:color w:val="auto"/>
              </w:rPr>
            </w:pPr>
          </w:p>
        </w:tc>
        <w:tc>
          <w:tcPr>
            <w:tcW w:w="1780" w:type="dxa"/>
            <w:vAlign w:val="bottom"/>
            <w:tcBorders>
              <w:top w:val="single" w:sz="8" w:color="auto"/>
            </w:tcBorders>
            <w:gridSpan w:val="2"/>
          </w:tcPr>
          <w:p>
            <w:pPr>
              <w:ind w:left="40"/>
              <w:spacing w:after="0" w:line="177" w:lineRule="exact"/>
              <w:rPr>
                <w:sz w:val="20"/>
                <w:szCs w:val="20"/>
                <w:color w:val="auto"/>
              </w:rPr>
            </w:pPr>
            <w:r>
              <w:rPr>
                <w:rFonts w:ascii="Arial" w:cs="Arial" w:eastAsia="Arial" w:hAnsi="Arial"/>
                <w:sz w:val="16"/>
                <w:szCs w:val="16"/>
                <w:color w:val="auto"/>
              </w:rPr>
              <w:t>Bahamas</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Alaska Production Inc.</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Asia Pacific Pte. Ltd.</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Singapore</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Barzan Limited</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Bahamas</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Business Finance Company</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Nevada</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Canada Energy</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Canada Ltd.</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Canada Properties</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Canada Resources Company</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Capital Netherlands B.V.</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Netherlands</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Central Europe Holding GmbH</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Cepu Limited</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Bermuda</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Chemical France</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Chemical Holland B.V.</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Netherlands</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Chemical Limited</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China Petroleum &amp; Petrochemical Company Limited</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Bahamas</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Development Company</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Energy Limited</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Hong Kong</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Exploration and Production Malaysia Inc.</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Exploration and Production Norway AS</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Norway</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Exploration and Production Romania Limited</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Bahamas</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Exploration and Production Tanzania Limited</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Bahamas</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Finance Company Limited</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Financial Services B.V.</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Netherlands</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Gas Marketing Europe Limited</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Global Services Company</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Holding Company Holland LLC</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Hong Kong Limited</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Hong Kong</w:t>
            </w:r>
          </w:p>
        </w:tc>
        <w:tc>
          <w:tcPr>
            <w:tcW w:w="0" w:type="dxa"/>
            <w:vAlign w:val="bottom"/>
          </w:tcPr>
          <w:p>
            <w:pPr>
              <w:spacing w:after="0"/>
              <w:rPr>
                <w:sz w:val="1"/>
                <w:szCs w:val="1"/>
                <w:color w:val="auto"/>
              </w:rPr>
            </w:pPr>
          </w:p>
        </w:tc>
      </w:tr>
      <w:tr>
        <w:trPr>
          <w:trHeight w:val="208"/>
        </w:trPr>
        <w:tc>
          <w:tcPr>
            <w:tcW w:w="5620" w:type="dxa"/>
            <w:vAlign w:val="bottom"/>
          </w:tcPr>
          <w:p>
            <w:pPr>
              <w:ind w:left="640"/>
              <w:spacing w:after="0"/>
              <w:rPr>
                <w:sz w:val="20"/>
                <w:szCs w:val="20"/>
                <w:color w:val="auto"/>
              </w:rPr>
            </w:pPr>
            <w:r>
              <w:rPr>
                <w:rFonts w:ascii="Arial" w:cs="Arial" w:eastAsia="Arial" w:hAnsi="Arial"/>
                <w:sz w:val="16"/>
                <w:szCs w:val="16"/>
                <w:color w:val="auto"/>
              </w:rPr>
              <w:t>ExxonMobil International Finance Company</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8"/>
                <w:szCs w:val="18"/>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09"/>
        </w:trPr>
        <w:tc>
          <w:tcPr>
            <w:tcW w:w="5620" w:type="dxa"/>
            <w:vAlign w:val="bottom"/>
          </w:tcPr>
          <w:p>
            <w:pPr>
              <w:ind w:left="640"/>
              <w:spacing w:after="0"/>
              <w:rPr>
                <w:sz w:val="20"/>
                <w:szCs w:val="20"/>
                <w:color w:val="auto"/>
              </w:rPr>
            </w:pPr>
            <w:r>
              <w:rPr>
                <w:rFonts w:ascii="Arial" w:cs="Arial" w:eastAsia="Arial" w:hAnsi="Arial"/>
                <w:sz w:val="16"/>
                <w:szCs w:val="16"/>
                <w:color w:val="auto"/>
              </w:rPr>
              <w:t>ExxonMobil International Services SARL</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8"/>
                <w:szCs w:val="18"/>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Luxembourg</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Iraq Limited</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Bahamas</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Italiana Gas S.r.l.</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Italy</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Kazakhstan Inc.</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Bahamas</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Kazakhstan Ventures Inc.</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Kurdistan Region of Iraq Limited</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Bahamas</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Oil Corporation</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New York</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Petroleum &amp; Chemical BVBA</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Belgium</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Pipeline Company</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PNG Limited</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Papua New Guinea</w:t>
            </w:r>
          </w:p>
        </w:tc>
        <w:tc>
          <w:tcPr>
            <w:tcW w:w="0" w:type="dxa"/>
            <w:vAlign w:val="bottom"/>
          </w:tcPr>
          <w:p>
            <w:pPr>
              <w:spacing w:after="0"/>
              <w:rPr>
                <w:sz w:val="1"/>
                <w:szCs w:val="1"/>
                <w:color w:val="auto"/>
              </w:rPr>
            </w:pPr>
          </w:p>
        </w:tc>
      </w:tr>
      <w:tr>
        <w:trPr>
          <w:trHeight w:val="208"/>
        </w:trPr>
        <w:tc>
          <w:tcPr>
            <w:tcW w:w="5620" w:type="dxa"/>
            <w:vAlign w:val="bottom"/>
          </w:tcPr>
          <w:p>
            <w:pPr>
              <w:ind w:left="640"/>
              <w:spacing w:after="0"/>
              <w:rPr>
                <w:sz w:val="20"/>
                <w:szCs w:val="20"/>
                <w:color w:val="auto"/>
              </w:rPr>
            </w:pPr>
            <w:r>
              <w:rPr>
                <w:rFonts w:ascii="Arial" w:cs="Arial" w:eastAsia="Arial" w:hAnsi="Arial"/>
                <w:sz w:val="16"/>
                <w:szCs w:val="16"/>
                <w:color w:val="auto"/>
              </w:rPr>
              <w:t>ExxonMobil Producing Netherlands B.V.</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8"/>
                <w:szCs w:val="18"/>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Netherlands</w:t>
            </w:r>
          </w:p>
        </w:tc>
        <w:tc>
          <w:tcPr>
            <w:tcW w:w="0" w:type="dxa"/>
            <w:vAlign w:val="bottom"/>
          </w:tcPr>
          <w:p>
            <w:pPr>
              <w:spacing w:after="0"/>
              <w:rPr>
                <w:sz w:val="1"/>
                <w:szCs w:val="1"/>
                <w:color w:val="auto"/>
              </w:rPr>
            </w:pPr>
          </w:p>
        </w:tc>
      </w:tr>
      <w:tr>
        <w:trPr>
          <w:trHeight w:val="209"/>
        </w:trPr>
        <w:tc>
          <w:tcPr>
            <w:tcW w:w="5620" w:type="dxa"/>
            <w:vAlign w:val="bottom"/>
          </w:tcPr>
          <w:p>
            <w:pPr>
              <w:ind w:left="640"/>
              <w:spacing w:after="0"/>
              <w:rPr>
                <w:sz w:val="20"/>
                <w:szCs w:val="20"/>
                <w:color w:val="auto"/>
              </w:rPr>
            </w:pPr>
            <w:r>
              <w:rPr>
                <w:rFonts w:ascii="Arial" w:cs="Arial" w:eastAsia="Arial" w:hAnsi="Arial"/>
                <w:sz w:val="16"/>
                <w:szCs w:val="16"/>
                <w:color w:val="auto"/>
              </w:rPr>
              <w:t>ExxonMobil Production Deutschland GmbH</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8"/>
                <w:szCs w:val="18"/>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Production Norway Inc.</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Qatargas Inc.</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620" w:type="dxa"/>
            <w:vAlign w:val="bottom"/>
          </w:tcPr>
          <w:p>
            <w:pPr>
              <w:ind w:left="640"/>
              <w:spacing w:after="0"/>
              <w:rPr>
                <w:sz w:val="20"/>
                <w:szCs w:val="20"/>
                <w:color w:val="auto"/>
              </w:rPr>
            </w:pPr>
            <w:r>
              <w:rPr>
                <w:rFonts w:ascii="Arial" w:cs="Arial" w:eastAsia="Arial" w:hAnsi="Arial"/>
                <w:sz w:val="16"/>
                <w:szCs w:val="16"/>
                <w:color w:val="auto"/>
              </w:rPr>
              <w:t>ExxonMobil Qatargas (II) Limited</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Bahamas</w:t>
            </w:r>
          </w:p>
        </w:tc>
        <w:tc>
          <w:tcPr>
            <w:tcW w:w="0" w:type="dxa"/>
            <w:vAlign w:val="bottom"/>
          </w:tcPr>
          <w:p>
            <w:pPr>
              <w:spacing w:after="0"/>
              <w:rPr>
                <w:sz w:val="1"/>
                <w:szCs w:val="1"/>
                <w:color w:val="auto"/>
              </w:rPr>
            </w:pPr>
          </w:p>
        </w:tc>
      </w:tr>
      <w:tr>
        <w:trPr>
          <w:trHeight w:val="208"/>
        </w:trPr>
        <w:tc>
          <w:tcPr>
            <w:tcW w:w="5620" w:type="dxa"/>
            <w:vAlign w:val="bottom"/>
          </w:tcPr>
          <w:p>
            <w:pPr>
              <w:ind w:left="640"/>
              <w:spacing w:after="0"/>
              <w:rPr>
                <w:sz w:val="20"/>
                <w:szCs w:val="20"/>
                <w:color w:val="auto"/>
              </w:rPr>
            </w:pPr>
            <w:r>
              <w:rPr>
                <w:rFonts w:ascii="Arial" w:cs="Arial" w:eastAsia="Arial" w:hAnsi="Arial"/>
                <w:sz w:val="16"/>
                <w:szCs w:val="16"/>
                <w:color w:val="auto"/>
              </w:rPr>
              <w:t>ExxonMobil Qatargas (II) Terminal Company Limited</w:t>
            </w:r>
          </w:p>
        </w:tc>
        <w:tc>
          <w:tcPr>
            <w:tcW w:w="3560" w:type="dxa"/>
            <w:vAlign w:val="bottom"/>
            <w:gridSpan w:val="2"/>
          </w:tcPr>
          <w:p>
            <w:pPr>
              <w:ind w:left="208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8"/>
                <w:szCs w:val="18"/>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Bahamas</w:t>
            </w:r>
          </w:p>
        </w:tc>
        <w:tc>
          <w:tcPr>
            <w:tcW w:w="0" w:type="dxa"/>
            <w:vAlign w:val="bottom"/>
          </w:tcPr>
          <w:p>
            <w:pPr>
              <w:spacing w:after="0"/>
              <w:rPr>
                <w:sz w:val="1"/>
                <w:szCs w:val="1"/>
                <w:color w:val="auto"/>
              </w:rPr>
            </w:pPr>
          </w:p>
        </w:tc>
      </w:tr>
      <w:tr>
        <w:trPr>
          <w:trHeight w:val="919"/>
        </w:trPr>
        <w:tc>
          <w:tcPr>
            <w:tcW w:w="5620" w:type="dxa"/>
            <w:vAlign w:val="bottom"/>
          </w:tcPr>
          <w:p>
            <w:pPr>
              <w:spacing w:after="0"/>
              <w:rPr>
                <w:sz w:val="24"/>
                <w:szCs w:val="24"/>
                <w:color w:val="auto"/>
              </w:rPr>
            </w:pPr>
          </w:p>
        </w:tc>
        <w:tc>
          <w:tcPr>
            <w:tcW w:w="1720" w:type="dxa"/>
            <w:vAlign w:val="bottom"/>
          </w:tcPr>
          <w:p>
            <w:pPr>
              <w:jc w:val="right"/>
              <w:ind w:right="918"/>
              <w:spacing w:after="0"/>
              <w:rPr>
                <w:sz w:val="20"/>
                <w:szCs w:val="20"/>
                <w:color w:val="auto"/>
              </w:rPr>
            </w:pPr>
            <w:r>
              <w:rPr>
                <w:rFonts w:ascii="Arial" w:cs="Arial" w:eastAsia="Arial" w:hAnsi="Arial"/>
                <w:sz w:val="16"/>
                <w:szCs w:val="16"/>
                <w:color w:val="auto"/>
              </w:rPr>
              <w:t>2</w:t>
            </w:r>
          </w:p>
        </w:tc>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3"/>
        </w:trPr>
        <w:tc>
          <w:tcPr>
            <w:tcW w:w="562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776" w:right="1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00" w:type="dxa"/>
            <w:vAlign w:val="bottom"/>
            <w:gridSpan w:val="2"/>
          </w:tcPr>
          <w:p>
            <w:pPr>
              <w:jc w:val="center"/>
              <w:ind w:right="580"/>
              <w:spacing w:after="0"/>
              <w:rPr>
                <w:sz w:val="20"/>
                <w:szCs w:val="20"/>
                <w:color w:val="auto"/>
              </w:rPr>
            </w:pPr>
            <w:r>
              <w:rPr>
                <w:rFonts w:ascii="Arial" w:cs="Arial" w:eastAsia="Arial" w:hAnsi="Arial"/>
                <w:sz w:val="16"/>
                <w:szCs w:val="16"/>
                <w:color w:val="auto"/>
                <w:w w:val="90"/>
              </w:rPr>
              <w:t>Percentage of</w:t>
            </w:r>
          </w:p>
        </w:tc>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00" w:type="dxa"/>
            <w:vAlign w:val="bottom"/>
            <w:gridSpan w:val="2"/>
          </w:tcPr>
          <w:p>
            <w:pPr>
              <w:jc w:val="center"/>
              <w:ind w:right="560"/>
              <w:spacing w:after="0"/>
              <w:rPr>
                <w:sz w:val="20"/>
                <w:szCs w:val="20"/>
                <w:color w:val="auto"/>
              </w:rPr>
            </w:pPr>
            <w:r>
              <w:rPr>
                <w:rFonts w:ascii="Arial" w:cs="Arial" w:eastAsia="Arial" w:hAnsi="Arial"/>
                <w:sz w:val="16"/>
                <w:szCs w:val="16"/>
                <w:color w:val="auto"/>
                <w:w w:val="93"/>
              </w:rPr>
              <w:t>Voting Securities</w:t>
            </w:r>
          </w:p>
        </w:tc>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00" w:type="dxa"/>
            <w:vAlign w:val="bottom"/>
            <w:gridSpan w:val="2"/>
          </w:tcPr>
          <w:p>
            <w:pPr>
              <w:jc w:val="center"/>
              <w:ind w:right="560"/>
              <w:spacing w:after="0"/>
              <w:rPr>
                <w:sz w:val="20"/>
                <w:szCs w:val="20"/>
                <w:color w:val="auto"/>
              </w:rPr>
            </w:pPr>
            <w:r>
              <w:rPr>
                <w:rFonts w:ascii="Arial" w:cs="Arial" w:eastAsia="Arial" w:hAnsi="Arial"/>
                <w:sz w:val="16"/>
                <w:szCs w:val="16"/>
                <w:color w:val="auto"/>
                <w:w w:val="95"/>
              </w:rPr>
              <w:t>Owned Directly</w:t>
            </w:r>
          </w:p>
        </w:tc>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00" w:type="dxa"/>
            <w:vAlign w:val="bottom"/>
            <w:gridSpan w:val="2"/>
          </w:tcPr>
          <w:p>
            <w:pPr>
              <w:jc w:val="center"/>
              <w:ind w:right="580"/>
              <w:spacing w:after="0"/>
              <w:rPr>
                <w:sz w:val="20"/>
                <w:szCs w:val="20"/>
                <w:color w:val="auto"/>
              </w:rPr>
            </w:pPr>
            <w:r>
              <w:rPr>
                <w:rFonts w:ascii="Arial" w:cs="Arial" w:eastAsia="Arial" w:hAnsi="Arial"/>
                <w:sz w:val="16"/>
                <w:szCs w:val="16"/>
                <w:color w:val="auto"/>
                <w:w w:val="97"/>
              </w:rPr>
              <w:t>or Indirectly by</w:t>
            </w:r>
          </w:p>
        </w:tc>
        <w:tc>
          <w:tcPr>
            <w:tcW w:w="1780" w:type="dxa"/>
            <w:vAlign w:val="bottom"/>
            <w:gridSpan w:val="2"/>
          </w:tcPr>
          <w:p>
            <w:pPr>
              <w:ind w:left="880"/>
              <w:spacing w:after="0"/>
              <w:rPr>
                <w:sz w:val="20"/>
                <w:szCs w:val="20"/>
                <w:color w:val="auto"/>
              </w:rPr>
            </w:pPr>
            <w:r>
              <w:rPr>
                <w:rFonts w:ascii="Arial" w:cs="Arial" w:eastAsia="Arial" w:hAnsi="Arial"/>
                <w:sz w:val="16"/>
                <w:szCs w:val="16"/>
                <w:color w:val="auto"/>
              </w:rPr>
              <w:t>State or</w:t>
            </w:r>
          </w:p>
        </w:tc>
        <w:tc>
          <w:tcPr>
            <w:tcW w:w="0" w:type="dxa"/>
            <w:vAlign w:val="bottom"/>
          </w:tcPr>
          <w:p>
            <w:pPr>
              <w:spacing w:after="0"/>
              <w:rPr>
                <w:sz w:val="1"/>
                <w:szCs w:val="1"/>
                <w:color w:val="auto"/>
              </w:rPr>
            </w:pPr>
          </w:p>
        </w:tc>
      </w:tr>
      <w:tr>
        <w:trPr>
          <w:trHeight w:val="208"/>
        </w:trPr>
        <w:tc>
          <w:tcPr>
            <w:tcW w:w="5700" w:type="dxa"/>
            <w:vAlign w:val="bottom"/>
            <w:vMerge w:val="restart"/>
          </w:tcPr>
          <w:p>
            <w:pPr>
              <w:ind w:left="640"/>
              <w:spacing w:after="0"/>
              <w:rPr>
                <w:sz w:val="20"/>
                <w:szCs w:val="20"/>
                <w:color w:val="auto"/>
              </w:rPr>
            </w:pPr>
            <w:r>
              <w:rPr>
                <w:rFonts w:ascii="Arial" w:cs="Arial" w:eastAsia="Arial" w:hAnsi="Arial"/>
                <w:sz w:val="16"/>
                <w:szCs w:val="16"/>
                <w:color w:val="auto"/>
              </w:rPr>
              <w:t>ExxonMobil Ras Laffan (III) Limited</w:t>
            </w:r>
          </w:p>
        </w:tc>
        <w:tc>
          <w:tcPr>
            <w:tcW w:w="1640" w:type="dxa"/>
            <w:vAlign w:val="bottom"/>
          </w:tcPr>
          <w:p>
            <w:pPr>
              <w:spacing w:after="0"/>
              <w:rPr>
                <w:sz w:val="18"/>
                <w:szCs w:val="18"/>
                <w:color w:val="auto"/>
              </w:rPr>
            </w:pPr>
          </w:p>
        </w:tc>
        <w:tc>
          <w:tcPr>
            <w:tcW w:w="2400" w:type="dxa"/>
            <w:vAlign w:val="bottom"/>
            <w:gridSpan w:val="2"/>
          </w:tcPr>
          <w:p>
            <w:pPr>
              <w:jc w:val="center"/>
              <w:ind w:right="560"/>
              <w:spacing w:after="0"/>
              <w:rPr>
                <w:sz w:val="20"/>
                <w:szCs w:val="20"/>
                <w:color w:val="auto"/>
              </w:rPr>
            </w:pPr>
            <w:r>
              <w:rPr>
                <w:rFonts w:ascii="Arial" w:cs="Arial" w:eastAsia="Arial" w:hAnsi="Arial"/>
                <w:sz w:val="16"/>
                <w:szCs w:val="16"/>
                <w:color w:val="auto"/>
                <w:w w:val="93"/>
              </w:rPr>
              <w:t>Registrant</w:t>
            </w:r>
          </w:p>
        </w:tc>
        <w:tc>
          <w:tcPr>
            <w:tcW w:w="1780" w:type="dxa"/>
            <w:vAlign w:val="bottom"/>
            <w:gridSpan w:val="2"/>
          </w:tcPr>
          <w:p>
            <w:pPr>
              <w:ind w:left="340"/>
              <w:spacing w:after="0"/>
              <w:rPr>
                <w:sz w:val="20"/>
                <w:szCs w:val="20"/>
                <w:color w:val="auto"/>
              </w:rPr>
            </w:pPr>
            <w:r>
              <w:rPr>
                <w:rFonts w:ascii="Arial" w:cs="Arial" w:eastAsia="Arial" w:hAnsi="Arial"/>
                <w:sz w:val="16"/>
                <w:szCs w:val="16"/>
                <w:color w:val="auto"/>
                <w:w w:val="93"/>
              </w:rPr>
              <w:t>Country of Organizati</w:t>
            </w:r>
          </w:p>
        </w:tc>
        <w:tc>
          <w:tcPr>
            <w:tcW w:w="0" w:type="dxa"/>
            <w:vAlign w:val="bottom"/>
          </w:tcPr>
          <w:p>
            <w:pPr>
              <w:spacing w:after="0"/>
              <w:rPr>
                <w:sz w:val="1"/>
                <w:szCs w:val="1"/>
                <w:color w:val="auto"/>
              </w:rPr>
            </w:pPr>
          </w:p>
        </w:tc>
      </w:tr>
      <w:tr>
        <w:trPr>
          <w:trHeight w:val="177"/>
        </w:trPr>
        <w:tc>
          <w:tcPr>
            <w:tcW w:w="5700" w:type="dxa"/>
            <w:vAlign w:val="bottom"/>
            <w:vMerge w:val="continue"/>
          </w:tcPr>
          <w:p>
            <w:pPr>
              <w:spacing w:after="0"/>
              <w:rPr>
                <w:sz w:val="15"/>
                <w:szCs w:val="15"/>
                <w:color w:val="auto"/>
              </w:rPr>
            </w:pPr>
          </w:p>
        </w:tc>
        <w:tc>
          <w:tcPr>
            <w:tcW w:w="1640" w:type="dxa"/>
            <w:vAlign w:val="bottom"/>
          </w:tcPr>
          <w:p>
            <w:pPr>
              <w:spacing w:after="0"/>
              <w:rPr>
                <w:sz w:val="15"/>
                <w:szCs w:val="15"/>
                <w:color w:val="auto"/>
              </w:rPr>
            </w:pPr>
          </w:p>
        </w:tc>
        <w:tc>
          <w:tcPr>
            <w:tcW w:w="1840" w:type="dxa"/>
            <w:vAlign w:val="bottom"/>
            <w:tcBorders>
              <w:top w:val="single" w:sz="8" w:color="auto"/>
            </w:tcBorders>
          </w:tcPr>
          <w:p>
            <w:pPr>
              <w:jc w:val="right"/>
              <w:ind w:right="1138"/>
              <w:spacing w:after="0" w:line="177" w:lineRule="exact"/>
              <w:rPr>
                <w:sz w:val="20"/>
                <w:szCs w:val="20"/>
                <w:color w:val="auto"/>
              </w:rPr>
            </w:pPr>
            <w:r>
              <w:rPr>
                <w:rFonts w:ascii="Arial" w:cs="Arial" w:eastAsia="Arial" w:hAnsi="Arial"/>
                <w:sz w:val="16"/>
                <w:szCs w:val="16"/>
                <w:color w:val="auto"/>
              </w:rPr>
              <w:t>100</w:t>
            </w:r>
          </w:p>
        </w:tc>
        <w:tc>
          <w:tcPr>
            <w:tcW w:w="560" w:type="dxa"/>
            <w:vAlign w:val="bottom"/>
          </w:tcPr>
          <w:p>
            <w:pPr>
              <w:spacing w:after="0"/>
              <w:rPr>
                <w:sz w:val="15"/>
                <w:szCs w:val="15"/>
                <w:color w:val="auto"/>
              </w:rPr>
            </w:pPr>
          </w:p>
        </w:tc>
        <w:tc>
          <w:tcPr>
            <w:tcW w:w="1780" w:type="dxa"/>
            <w:vAlign w:val="bottom"/>
            <w:tcBorders>
              <w:top w:val="single" w:sz="8" w:color="auto"/>
            </w:tcBorders>
            <w:gridSpan w:val="2"/>
          </w:tcPr>
          <w:p>
            <w:pPr>
              <w:ind w:left="40"/>
              <w:spacing w:after="0" w:line="177" w:lineRule="exact"/>
              <w:rPr>
                <w:sz w:val="20"/>
                <w:szCs w:val="20"/>
                <w:color w:val="auto"/>
              </w:rPr>
            </w:pPr>
            <w:r>
              <w:rPr>
                <w:rFonts w:ascii="Arial" w:cs="Arial" w:eastAsia="Arial" w:hAnsi="Arial"/>
                <w:sz w:val="16"/>
                <w:szCs w:val="16"/>
                <w:color w:val="auto"/>
              </w:rPr>
              <w:t>Bahamas</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ExxonMobil Rasgas Inc.</w:t>
            </w:r>
          </w:p>
        </w:tc>
        <w:tc>
          <w:tcPr>
            <w:tcW w:w="34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ExxonMobil Research and Engineering Company</w:t>
            </w:r>
          </w:p>
        </w:tc>
        <w:tc>
          <w:tcPr>
            <w:tcW w:w="34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ExxonMobil Sales and Supply LLC</w:t>
            </w:r>
          </w:p>
        </w:tc>
        <w:tc>
          <w:tcPr>
            <w:tcW w:w="34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ExxonMobil Technology Finance Company</w:t>
            </w:r>
          </w:p>
        </w:tc>
        <w:tc>
          <w:tcPr>
            <w:tcW w:w="34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ExxonMobil Ventures Funding Ltd.</w:t>
            </w:r>
          </w:p>
        </w:tc>
        <w:tc>
          <w:tcPr>
            <w:tcW w:w="34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Bahamas</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Fujian Refining &amp; Petrochemical Co. Ltd. (5)</w:t>
            </w:r>
          </w:p>
        </w:tc>
        <w:tc>
          <w:tcPr>
            <w:tcW w:w="3480" w:type="dxa"/>
            <w:vAlign w:val="bottom"/>
            <w:gridSpan w:val="2"/>
          </w:tcPr>
          <w:p>
            <w:pPr>
              <w:jc w:val="right"/>
              <w:ind w:right="1138"/>
              <w:spacing w:after="0"/>
              <w:rPr>
                <w:sz w:val="20"/>
                <w:szCs w:val="20"/>
                <w:color w:val="auto"/>
              </w:rPr>
            </w:pPr>
            <w:r>
              <w:rPr>
                <w:rFonts w:ascii="Arial" w:cs="Arial" w:eastAsia="Arial" w:hAnsi="Arial"/>
                <w:sz w:val="16"/>
                <w:szCs w:val="16"/>
                <w:color w:val="auto"/>
              </w:rPr>
              <w:t>25</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Golden Pass LNG Terminal Investments LLC</w:t>
            </w:r>
          </w:p>
        </w:tc>
        <w:tc>
          <w:tcPr>
            <w:tcW w:w="34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Golden Pass LNG Terminal LLC (5)</w:t>
            </w:r>
          </w:p>
        </w:tc>
        <w:tc>
          <w:tcPr>
            <w:tcW w:w="3480" w:type="dxa"/>
            <w:vAlign w:val="bottom"/>
            <w:gridSpan w:val="2"/>
          </w:tcPr>
          <w:p>
            <w:pPr>
              <w:ind w:left="2080"/>
              <w:spacing w:after="0"/>
              <w:rPr>
                <w:sz w:val="20"/>
                <w:szCs w:val="20"/>
                <w:color w:val="auto"/>
              </w:rPr>
            </w:pPr>
            <w:r>
              <w:rPr>
                <w:rFonts w:ascii="Arial" w:cs="Arial" w:eastAsia="Arial" w:hAnsi="Arial"/>
                <w:sz w:val="16"/>
                <w:szCs w:val="16"/>
                <w:color w:val="auto"/>
              </w:rPr>
              <w:t>17.6</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Imperial Oil Limited</w:t>
            </w:r>
          </w:p>
        </w:tc>
        <w:tc>
          <w:tcPr>
            <w:tcW w:w="3480" w:type="dxa"/>
            <w:vAlign w:val="bottom"/>
            <w:gridSpan w:val="2"/>
          </w:tcPr>
          <w:p>
            <w:pPr>
              <w:ind w:left="2080"/>
              <w:spacing w:after="0"/>
              <w:rPr>
                <w:sz w:val="20"/>
                <w:szCs w:val="20"/>
                <w:color w:val="auto"/>
              </w:rPr>
            </w:pPr>
            <w:r>
              <w:rPr>
                <w:rFonts w:ascii="Arial" w:cs="Arial" w:eastAsia="Arial" w:hAnsi="Arial"/>
                <w:sz w:val="16"/>
                <w:szCs w:val="16"/>
                <w:color w:val="auto"/>
              </w:rPr>
              <w:t>69.6</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Imperial Oil (an Ontario General Partnership)</w:t>
            </w:r>
          </w:p>
        </w:tc>
        <w:tc>
          <w:tcPr>
            <w:tcW w:w="3480" w:type="dxa"/>
            <w:vAlign w:val="bottom"/>
            <w:gridSpan w:val="2"/>
          </w:tcPr>
          <w:p>
            <w:pPr>
              <w:ind w:left="2080"/>
              <w:spacing w:after="0"/>
              <w:rPr>
                <w:sz w:val="20"/>
                <w:szCs w:val="20"/>
                <w:color w:val="auto"/>
              </w:rPr>
            </w:pPr>
            <w:r>
              <w:rPr>
                <w:rFonts w:ascii="Arial" w:cs="Arial" w:eastAsia="Arial" w:hAnsi="Arial"/>
                <w:sz w:val="16"/>
                <w:szCs w:val="16"/>
                <w:color w:val="auto"/>
              </w:rPr>
              <w:t>69.6</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Imperial Oil Resources (an Alberta limited partnership)</w:t>
            </w:r>
          </w:p>
        </w:tc>
        <w:tc>
          <w:tcPr>
            <w:tcW w:w="3480" w:type="dxa"/>
            <w:vAlign w:val="bottom"/>
            <w:gridSpan w:val="2"/>
          </w:tcPr>
          <w:p>
            <w:pPr>
              <w:ind w:left="2080"/>
              <w:spacing w:after="0"/>
              <w:rPr>
                <w:sz w:val="20"/>
                <w:szCs w:val="20"/>
                <w:color w:val="auto"/>
              </w:rPr>
            </w:pPr>
            <w:r>
              <w:rPr>
                <w:rFonts w:ascii="Arial" w:cs="Arial" w:eastAsia="Arial" w:hAnsi="Arial"/>
                <w:sz w:val="16"/>
                <w:szCs w:val="16"/>
                <w:color w:val="auto"/>
              </w:rPr>
              <w:t>69.6</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Imperial Oil Resources N.W.T. Limited</w:t>
            </w:r>
          </w:p>
        </w:tc>
        <w:tc>
          <w:tcPr>
            <w:tcW w:w="3480" w:type="dxa"/>
            <w:vAlign w:val="bottom"/>
            <w:gridSpan w:val="2"/>
          </w:tcPr>
          <w:p>
            <w:pPr>
              <w:ind w:left="2080"/>
              <w:spacing w:after="0"/>
              <w:rPr>
                <w:sz w:val="20"/>
                <w:szCs w:val="20"/>
                <w:color w:val="auto"/>
              </w:rPr>
            </w:pPr>
            <w:r>
              <w:rPr>
                <w:rFonts w:ascii="Arial" w:cs="Arial" w:eastAsia="Arial" w:hAnsi="Arial"/>
                <w:sz w:val="16"/>
                <w:szCs w:val="16"/>
                <w:color w:val="auto"/>
              </w:rPr>
              <w:t>69.6</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Imperial Oil Resources Ventures Limited</w:t>
            </w:r>
          </w:p>
        </w:tc>
        <w:tc>
          <w:tcPr>
            <w:tcW w:w="3480" w:type="dxa"/>
            <w:vAlign w:val="bottom"/>
            <w:gridSpan w:val="2"/>
          </w:tcPr>
          <w:p>
            <w:pPr>
              <w:ind w:left="2080"/>
              <w:spacing w:after="0"/>
              <w:rPr>
                <w:sz w:val="20"/>
                <w:szCs w:val="20"/>
                <w:color w:val="auto"/>
              </w:rPr>
            </w:pPr>
            <w:r>
              <w:rPr>
                <w:rFonts w:ascii="Arial" w:cs="Arial" w:eastAsia="Arial" w:hAnsi="Arial"/>
                <w:sz w:val="16"/>
                <w:szCs w:val="16"/>
                <w:color w:val="auto"/>
              </w:rPr>
              <w:t>69.6</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Infineum Holdings B.V. (5)</w:t>
            </w:r>
          </w:p>
        </w:tc>
        <w:tc>
          <w:tcPr>
            <w:tcW w:w="3480" w:type="dxa"/>
            <w:vAlign w:val="bottom"/>
            <w:gridSpan w:val="2"/>
          </w:tcPr>
          <w:p>
            <w:pPr>
              <w:jc w:val="right"/>
              <w:ind w:right="1138"/>
              <w:spacing w:after="0"/>
              <w:rPr>
                <w:sz w:val="20"/>
                <w:szCs w:val="20"/>
                <w:color w:val="auto"/>
              </w:rPr>
            </w:pPr>
            <w:r>
              <w:rPr>
                <w:rFonts w:ascii="Arial" w:cs="Arial" w:eastAsia="Arial" w:hAnsi="Arial"/>
                <w:sz w:val="16"/>
                <w:szCs w:val="16"/>
                <w:color w:val="auto"/>
              </w:rPr>
              <w:t>50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Netherlands</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Infineum USA L.P. (5)</w:t>
            </w:r>
          </w:p>
        </w:tc>
        <w:tc>
          <w:tcPr>
            <w:tcW w:w="3480" w:type="dxa"/>
            <w:vAlign w:val="bottom"/>
            <w:gridSpan w:val="2"/>
          </w:tcPr>
          <w:p>
            <w:pPr>
              <w:jc w:val="right"/>
              <w:ind w:right="1138"/>
              <w:spacing w:after="0"/>
              <w:rPr>
                <w:sz w:val="20"/>
                <w:szCs w:val="20"/>
                <w:color w:val="auto"/>
              </w:rPr>
            </w:pPr>
            <w:r>
              <w:rPr>
                <w:rFonts w:ascii="Arial" w:cs="Arial" w:eastAsia="Arial" w:hAnsi="Arial"/>
                <w:sz w:val="16"/>
                <w:szCs w:val="16"/>
                <w:color w:val="auto"/>
              </w:rPr>
              <w:t>50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Karmorneftegaz Holding SARL (5)</w:t>
            </w:r>
          </w:p>
        </w:tc>
        <w:tc>
          <w:tcPr>
            <w:tcW w:w="3480" w:type="dxa"/>
            <w:vAlign w:val="bottom"/>
            <w:gridSpan w:val="2"/>
          </w:tcPr>
          <w:p>
            <w:pPr>
              <w:ind w:left="2080"/>
              <w:spacing w:after="0"/>
              <w:rPr>
                <w:sz w:val="20"/>
                <w:szCs w:val="20"/>
                <w:color w:val="auto"/>
              </w:rPr>
            </w:pPr>
            <w:r>
              <w:rPr>
                <w:rFonts w:ascii="Arial" w:cs="Arial" w:eastAsia="Arial" w:hAnsi="Arial"/>
                <w:sz w:val="16"/>
                <w:szCs w:val="16"/>
                <w:color w:val="auto"/>
              </w:rPr>
              <w:t>33.33</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Luxembourg</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Mobil Australia Resources Company Pty Limited</w:t>
            </w:r>
          </w:p>
        </w:tc>
        <w:tc>
          <w:tcPr>
            <w:tcW w:w="34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Marine Well Containment Company LLC (5)</w:t>
            </w:r>
          </w:p>
        </w:tc>
        <w:tc>
          <w:tcPr>
            <w:tcW w:w="3480" w:type="dxa"/>
            <w:vAlign w:val="bottom"/>
            <w:gridSpan w:val="2"/>
          </w:tcPr>
          <w:p>
            <w:pPr>
              <w:jc w:val="right"/>
              <w:ind w:right="1138"/>
              <w:spacing w:after="0"/>
              <w:rPr>
                <w:sz w:val="20"/>
                <w:szCs w:val="20"/>
                <w:color w:val="auto"/>
              </w:rPr>
            </w:pPr>
            <w:r>
              <w:rPr>
                <w:rFonts w:ascii="Arial" w:cs="Arial" w:eastAsia="Arial" w:hAnsi="Arial"/>
                <w:sz w:val="16"/>
                <w:szCs w:val="16"/>
                <w:color w:val="auto"/>
              </w:rPr>
              <w:t>10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McColl-Frontenac Petroleum Inc.</w:t>
            </w:r>
          </w:p>
        </w:tc>
        <w:tc>
          <w:tcPr>
            <w:tcW w:w="3480" w:type="dxa"/>
            <w:vAlign w:val="bottom"/>
            <w:gridSpan w:val="2"/>
          </w:tcPr>
          <w:p>
            <w:pPr>
              <w:ind w:left="2080"/>
              <w:spacing w:after="0"/>
              <w:rPr>
                <w:sz w:val="20"/>
                <w:szCs w:val="20"/>
                <w:color w:val="auto"/>
              </w:rPr>
            </w:pPr>
            <w:r>
              <w:rPr>
                <w:rFonts w:ascii="Arial" w:cs="Arial" w:eastAsia="Arial" w:hAnsi="Arial"/>
                <w:sz w:val="16"/>
                <w:szCs w:val="16"/>
                <w:color w:val="auto"/>
              </w:rPr>
              <w:t>69.6</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Mobil California Exploration &amp; Producing Asset Company</w:t>
            </w:r>
          </w:p>
        </w:tc>
        <w:tc>
          <w:tcPr>
            <w:tcW w:w="34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Mobil Caspian Pipeline Company</w:t>
            </w:r>
          </w:p>
        </w:tc>
        <w:tc>
          <w:tcPr>
            <w:tcW w:w="34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Mobil Cerro Negro, Ltd.</w:t>
            </w:r>
          </w:p>
        </w:tc>
        <w:tc>
          <w:tcPr>
            <w:tcW w:w="34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Bahamas</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Mobil Corporation</w:t>
            </w:r>
          </w:p>
        </w:tc>
        <w:tc>
          <w:tcPr>
            <w:tcW w:w="34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Mobil Equatorial Guinea Inc.</w:t>
            </w:r>
          </w:p>
        </w:tc>
        <w:tc>
          <w:tcPr>
            <w:tcW w:w="34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Mobil Erdgas-Erdoel GmbH</w:t>
            </w:r>
          </w:p>
        </w:tc>
        <w:tc>
          <w:tcPr>
            <w:tcW w:w="34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Mobil Exploration Indonesia Inc.</w:t>
            </w:r>
          </w:p>
        </w:tc>
        <w:tc>
          <w:tcPr>
            <w:tcW w:w="34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Cayman Islands</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Mobil Oil Australia Pty Ltd</w:t>
            </w:r>
          </w:p>
        </w:tc>
        <w:tc>
          <w:tcPr>
            <w:tcW w:w="34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Mobil Oil Exploration &amp; Producing Southeast Inc.</w:t>
            </w:r>
          </w:p>
        </w:tc>
        <w:tc>
          <w:tcPr>
            <w:tcW w:w="34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Mobil Oil New Zealand Limited</w:t>
            </w:r>
          </w:p>
        </w:tc>
        <w:tc>
          <w:tcPr>
            <w:tcW w:w="34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New Zealand</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Mobil Producing Nigeria Unlimited</w:t>
            </w:r>
          </w:p>
        </w:tc>
        <w:tc>
          <w:tcPr>
            <w:tcW w:w="34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Nigeria</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Mobil Producing Texas &amp; New Mexico Inc.</w:t>
            </w:r>
          </w:p>
        </w:tc>
        <w:tc>
          <w:tcPr>
            <w:tcW w:w="34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Mobil Yanbu Petrochemical Company Inc.</w:t>
            </w:r>
          </w:p>
        </w:tc>
        <w:tc>
          <w:tcPr>
            <w:tcW w:w="34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Mobil Yanbu Refining Company Inc.</w:t>
            </w:r>
          </w:p>
        </w:tc>
        <w:tc>
          <w:tcPr>
            <w:tcW w:w="34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Mountain Gathering, LLC</w:t>
            </w:r>
          </w:p>
        </w:tc>
        <w:tc>
          <w:tcPr>
            <w:tcW w:w="34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Nederlandse Aardolie Maatschappij B.V. (4) (5)</w:t>
            </w:r>
          </w:p>
        </w:tc>
        <w:tc>
          <w:tcPr>
            <w:tcW w:w="3480" w:type="dxa"/>
            <w:vAlign w:val="bottom"/>
            <w:gridSpan w:val="2"/>
          </w:tcPr>
          <w:p>
            <w:pPr>
              <w:jc w:val="right"/>
              <w:ind w:right="1138"/>
              <w:spacing w:after="0"/>
              <w:rPr>
                <w:sz w:val="20"/>
                <w:szCs w:val="20"/>
                <w:color w:val="auto"/>
              </w:rPr>
            </w:pPr>
            <w:r>
              <w:rPr>
                <w:rFonts w:ascii="Arial" w:cs="Arial" w:eastAsia="Arial" w:hAnsi="Arial"/>
                <w:sz w:val="16"/>
                <w:szCs w:val="16"/>
                <w:color w:val="auto"/>
              </w:rPr>
              <w:t>50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Netherlands</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Palmetto Transoceanic LLC</w:t>
            </w:r>
          </w:p>
        </w:tc>
        <w:tc>
          <w:tcPr>
            <w:tcW w:w="34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Papua New Guinea Liquefied Natural Gas Global Company LDC (5)</w:t>
            </w:r>
          </w:p>
        </w:tc>
        <w:tc>
          <w:tcPr>
            <w:tcW w:w="3480" w:type="dxa"/>
            <w:vAlign w:val="bottom"/>
            <w:gridSpan w:val="2"/>
          </w:tcPr>
          <w:p>
            <w:pPr>
              <w:ind w:left="2080"/>
              <w:spacing w:after="0"/>
              <w:rPr>
                <w:sz w:val="20"/>
                <w:szCs w:val="20"/>
                <w:color w:val="auto"/>
              </w:rPr>
            </w:pPr>
            <w:r>
              <w:rPr>
                <w:rFonts w:ascii="Arial" w:cs="Arial" w:eastAsia="Arial" w:hAnsi="Arial"/>
                <w:sz w:val="16"/>
                <w:szCs w:val="16"/>
                <w:color w:val="auto"/>
              </w:rPr>
              <w:t>33.2</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Bahamas</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Phillips Exploration, LLC</w:t>
            </w:r>
          </w:p>
        </w:tc>
        <w:tc>
          <w:tcPr>
            <w:tcW w:w="3480" w:type="dxa"/>
            <w:vAlign w:val="bottom"/>
            <w:gridSpan w:val="2"/>
          </w:tcPr>
          <w:p>
            <w:pPr>
              <w:jc w:val="right"/>
              <w:ind w:right="1138"/>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Qatar Liquefied Gas Company Limited (5)</w:t>
            </w:r>
          </w:p>
        </w:tc>
        <w:tc>
          <w:tcPr>
            <w:tcW w:w="3480" w:type="dxa"/>
            <w:vAlign w:val="bottom"/>
            <w:gridSpan w:val="2"/>
          </w:tcPr>
          <w:p>
            <w:pPr>
              <w:jc w:val="right"/>
              <w:ind w:right="1138"/>
              <w:spacing w:after="0"/>
              <w:rPr>
                <w:sz w:val="20"/>
                <w:szCs w:val="20"/>
                <w:color w:val="auto"/>
              </w:rPr>
            </w:pPr>
            <w:r>
              <w:rPr>
                <w:rFonts w:ascii="Arial" w:cs="Arial" w:eastAsia="Arial" w:hAnsi="Arial"/>
                <w:sz w:val="16"/>
                <w:szCs w:val="16"/>
                <w:color w:val="auto"/>
              </w:rPr>
              <w:t>10</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Qatar</w:t>
            </w:r>
          </w:p>
        </w:tc>
        <w:tc>
          <w:tcPr>
            <w:tcW w:w="0" w:type="dxa"/>
            <w:vAlign w:val="bottom"/>
          </w:tcPr>
          <w:p>
            <w:pPr>
              <w:spacing w:after="0"/>
              <w:rPr>
                <w:sz w:val="1"/>
                <w:szCs w:val="1"/>
                <w:color w:val="auto"/>
              </w:rPr>
            </w:pPr>
          </w:p>
        </w:tc>
      </w:tr>
      <w:tr>
        <w:trPr>
          <w:trHeight w:val="196"/>
        </w:trPr>
        <w:tc>
          <w:tcPr>
            <w:tcW w:w="5700" w:type="dxa"/>
            <w:vAlign w:val="bottom"/>
          </w:tcPr>
          <w:p>
            <w:pPr>
              <w:ind w:left="640"/>
              <w:spacing w:after="0"/>
              <w:rPr>
                <w:sz w:val="20"/>
                <w:szCs w:val="20"/>
                <w:color w:val="auto"/>
              </w:rPr>
            </w:pPr>
            <w:r>
              <w:rPr>
                <w:rFonts w:ascii="Arial" w:cs="Arial" w:eastAsia="Arial" w:hAnsi="Arial"/>
                <w:sz w:val="16"/>
                <w:szCs w:val="16"/>
                <w:color w:val="auto"/>
              </w:rPr>
              <w:t>Qatar Liquefied Gas Company Limited (2) (5)</w:t>
            </w:r>
          </w:p>
        </w:tc>
        <w:tc>
          <w:tcPr>
            <w:tcW w:w="3480" w:type="dxa"/>
            <w:vAlign w:val="bottom"/>
            <w:gridSpan w:val="2"/>
          </w:tcPr>
          <w:p>
            <w:pPr>
              <w:ind w:left="2080"/>
              <w:spacing w:after="0"/>
              <w:rPr>
                <w:sz w:val="20"/>
                <w:szCs w:val="20"/>
                <w:color w:val="auto"/>
              </w:rPr>
            </w:pPr>
            <w:r>
              <w:rPr>
                <w:rFonts w:ascii="Arial" w:cs="Arial" w:eastAsia="Arial" w:hAnsi="Arial"/>
                <w:sz w:val="16"/>
                <w:szCs w:val="16"/>
                <w:color w:val="auto"/>
              </w:rPr>
              <w:t>24.15</w:t>
            </w:r>
          </w:p>
        </w:tc>
        <w:tc>
          <w:tcPr>
            <w:tcW w:w="56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Qatar</w:t>
            </w:r>
          </w:p>
        </w:tc>
        <w:tc>
          <w:tcPr>
            <w:tcW w:w="0" w:type="dxa"/>
            <w:vAlign w:val="bottom"/>
          </w:tcPr>
          <w:p>
            <w:pPr>
              <w:spacing w:after="0"/>
              <w:rPr>
                <w:sz w:val="1"/>
                <w:szCs w:val="1"/>
                <w:color w:val="auto"/>
              </w:rPr>
            </w:pPr>
          </w:p>
        </w:tc>
      </w:tr>
      <w:tr>
        <w:trPr>
          <w:trHeight w:val="208"/>
        </w:trPr>
        <w:tc>
          <w:tcPr>
            <w:tcW w:w="5700" w:type="dxa"/>
            <w:vAlign w:val="bottom"/>
          </w:tcPr>
          <w:p>
            <w:pPr>
              <w:ind w:left="640"/>
              <w:spacing w:after="0"/>
              <w:rPr>
                <w:sz w:val="20"/>
                <w:szCs w:val="20"/>
                <w:color w:val="auto"/>
              </w:rPr>
            </w:pPr>
            <w:r>
              <w:rPr>
                <w:rFonts w:ascii="Arial" w:cs="Arial" w:eastAsia="Arial" w:hAnsi="Arial"/>
                <w:sz w:val="16"/>
                <w:szCs w:val="16"/>
                <w:color w:val="auto"/>
              </w:rPr>
              <w:t>Ras Laffan Liquefied Natural Gas Company Limited (5)</w:t>
            </w:r>
          </w:p>
        </w:tc>
        <w:tc>
          <w:tcPr>
            <w:tcW w:w="3480" w:type="dxa"/>
            <w:vAlign w:val="bottom"/>
            <w:gridSpan w:val="2"/>
          </w:tcPr>
          <w:p>
            <w:pPr>
              <w:ind w:left="2080"/>
              <w:spacing w:after="0"/>
              <w:rPr>
                <w:sz w:val="20"/>
                <w:szCs w:val="20"/>
                <w:color w:val="auto"/>
              </w:rPr>
            </w:pPr>
            <w:r>
              <w:rPr>
                <w:rFonts w:ascii="Arial" w:cs="Arial" w:eastAsia="Arial" w:hAnsi="Arial"/>
                <w:sz w:val="16"/>
                <w:szCs w:val="16"/>
                <w:color w:val="auto"/>
              </w:rPr>
              <w:t>24.999</w:t>
            </w:r>
          </w:p>
        </w:tc>
        <w:tc>
          <w:tcPr>
            <w:tcW w:w="560" w:type="dxa"/>
            <w:vAlign w:val="bottom"/>
          </w:tcPr>
          <w:p>
            <w:pPr>
              <w:spacing w:after="0"/>
              <w:rPr>
                <w:sz w:val="18"/>
                <w:szCs w:val="18"/>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Qatar</w:t>
            </w:r>
          </w:p>
        </w:tc>
        <w:tc>
          <w:tcPr>
            <w:tcW w:w="0" w:type="dxa"/>
            <w:vAlign w:val="bottom"/>
          </w:tcPr>
          <w:p>
            <w:pPr>
              <w:spacing w:after="0"/>
              <w:rPr>
                <w:sz w:val="1"/>
                <w:szCs w:val="1"/>
                <w:color w:val="auto"/>
              </w:rPr>
            </w:pPr>
          </w:p>
        </w:tc>
      </w:tr>
      <w:tr>
        <w:trPr>
          <w:trHeight w:val="919"/>
        </w:trPr>
        <w:tc>
          <w:tcPr>
            <w:tcW w:w="5700" w:type="dxa"/>
            <w:vAlign w:val="bottom"/>
          </w:tcPr>
          <w:p>
            <w:pPr>
              <w:spacing w:after="0"/>
              <w:rPr>
                <w:sz w:val="24"/>
                <w:szCs w:val="24"/>
                <w:color w:val="auto"/>
              </w:rPr>
            </w:pPr>
          </w:p>
        </w:tc>
        <w:tc>
          <w:tcPr>
            <w:tcW w:w="1640" w:type="dxa"/>
            <w:vAlign w:val="bottom"/>
          </w:tcPr>
          <w:p>
            <w:pPr>
              <w:jc w:val="right"/>
              <w:ind w:right="918"/>
              <w:spacing w:after="0"/>
              <w:rPr>
                <w:sz w:val="20"/>
                <w:szCs w:val="20"/>
                <w:color w:val="auto"/>
              </w:rPr>
            </w:pPr>
            <w:r>
              <w:rPr>
                <w:rFonts w:ascii="Arial" w:cs="Arial" w:eastAsia="Arial" w:hAnsi="Arial"/>
                <w:sz w:val="16"/>
                <w:szCs w:val="16"/>
                <w:color w:val="auto"/>
              </w:rPr>
              <w:t>3</w:t>
            </w:r>
          </w:p>
        </w:tc>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3"/>
        </w:trPr>
        <w:tc>
          <w:tcPr>
            <w:tcW w:w="570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776" w:right="139" w:bottom="1440" w:gutter="0" w:footer="0" w:header="0"/>
        </w:sectPr>
      </w:pPr>
    </w:p>
    <w:bookmarkStart w:id="139" w:name="page140"/>
    <w:bookmarkEnd w:id="139"/>
    <w:tbl>
      <w:tblPr>
        <w:tblLayout w:type="fixed"/>
        <w:tblInd w:w="60" w:type="dxa"/>
        <w:tblCellMar>
          <w:top w:w="0" w:type="dxa"/>
          <w:left w:w="0" w:type="dxa"/>
          <w:bottom w:w="0" w:type="dxa"/>
          <w:right w:w="0" w:type="dxa"/>
        </w:tblCellMar>
      </w:tblPr>
      <w:tr>
        <w:trPr>
          <w:trHeight w:val="196"/>
        </w:trPr>
        <w:tc>
          <w:tcPr>
            <w:tcW w:w="6700" w:type="dxa"/>
            <w:vAlign w:val="bottom"/>
          </w:tcPr>
          <w:p>
            <w:pPr>
              <w:spacing w:after="0"/>
              <w:rPr>
                <w:sz w:val="17"/>
                <w:szCs w:val="17"/>
                <w:color w:val="auto"/>
              </w:rPr>
            </w:pPr>
          </w:p>
        </w:tc>
        <w:tc>
          <w:tcPr>
            <w:tcW w:w="2400" w:type="dxa"/>
            <w:vAlign w:val="bottom"/>
            <w:gridSpan w:val="2"/>
          </w:tcPr>
          <w:p>
            <w:pPr>
              <w:jc w:val="center"/>
              <w:ind w:right="580"/>
              <w:spacing w:after="0"/>
              <w:rPr>
                <w:sz w:val="20"/>
                <w:szCs w:val="20"/>
                <w:color w:val="auto"/>
              </w:rPr>
            </w:pPr>
            <w:r>
              <w:rPr>
                <w:rFonts w:ascii="Arial" w:cs="Arial" w:eastAsia="Arial" w:hAnsi="Arial"/>
                <w:sz w:val="16"/>
                <w:szCs w:val="16"/>
                <w:color w:val="auto"/>
                <w:w w:val="90"/>
              </w:rPr>
              <w:t>Percentage of</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2400" w:type="dxa"/>
            <w:vAlign w:val="bottom"/>
            <w:gridSpan w:val="2"/>
          </w:tcPr>
          <w:p>
            <w:pPr>
              <w:jc w:val="center"/>
              <w:ind w:right="560"/>
              <w:spacing w:after="0"/>
              <w:rPr>
                <w:sz w:val="20"/>
                <w:szCs w:val="20"/>
                <w:color w:val="auto"/>
              </w:rPr>
            </w:pPr>
            <w:r>
              <w:rPr>
                <w:rFonts w:ascii="Arial" w:cs="Arial" w:eastAsia="Arial" w:hAnsi="Arial"/>
                <w:sz w:val="16"/>
                <w:szCs w:val="16"/>
                <w:color w:val="auto"/>
                <w:w w:val="93"/>
              </w:rPr>
              <w:t>Voting Securities</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2400" w:type="dxa"/>
            <w:vAlign w:val="bottom"/>
            <w:gridSpan w:val="2"/>
          </w:tcPr>
          <w:p>
            <w:pPr>
              <w:jc w:val="center"/>
              <w:ind w:right="560"/>
              <w:spacing w:after="0"/>
              <w:rPr>
                <w:sz w:val="20"/>
                <w:szCs w:val="20"/>
                <w:color w:val="auto"/>
              </w:rPr>
            </w:pPr>
            <w:r>
              <w:rPr>
                <w:rFonts w:ascii="Arial" w:cs="Arial" w:eastAsia="Arial" w:hAnsi="Arial"/>
                <w:sz w:val="16"/>
                <w:szCs w:val="16"/>
                <w:color w:val="auto"/>
                <w:w w:val="95"/>
              </w:rPr>
              <w:t>Owned Directly</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2400" w:type="dxa"/>
            <w:vAlign w:val="bottom"/>
            <w:gridSpan w:val="2"/>
          </w:tcPr>
          <w:p>
            <w:pPr>
              <w:jc w:val="center"/>
              <w:ind w:right="580"/>
              <w:spacing w:after="0"/>
              <w:rPr>
                <w:sz w:val="20"/>
                <w:szCs w:val="20"/>
                <w:color w:val="auto"/>
              </w:rPr>
            </w:pPr>
            <w:r>
              <w:rPr>
                <w:rFonts w:ascii="Arial" w:cs="Arial" w:eastAsia="Arial" w:hAnsi="Arial"/>
                <w:sz w:val="16"/>
                <w:szCs w:val="16"/>
                <w:color w:val="auto"/>
                <w:w w:val="97"/>
              </w:rPr>
              <w:t>or Indirectly by</w:t>
            </w:r>
          </w:p>
        </w:tc>
        <w:tc>
          <w:tcPr>
            <w:tcW w:w="1780" w:type="dxa"/>
            <w:vAlign w:val="bottom"/>
          </w:tcPr>
          <w:p>
            <w:pPr>
              <w:ind w:left="880"/>
              <w:spacing w:after="0"/>
              <w:rPr>
                <w:sz w:val="20"/>
                <w:szCs w:val="20"/>
                <w:color w:val="auto"/>
              </w:rPr>
            </w:pPr>
            <w:r>
              <w:rPr>
                <w:rFonts w:ascii="Arial" w:cs="Arial" w:eastAsia="Arial" w:hAnsi="Arial"/>
                <w:sz w:val="16"/>
                <w:szCs w:val="16"/>
                <w:color w:val="auto"/>
              </w:rPr>
              <w:t>State or</w:t>
            </w:r>
          </w:p>
        </w:tc>
        <w:tc>
          <w:tcPr>
            <w:tcW w:w="0" w:type="dxa"/>
            <w:vAlign w:val="bottom"/>
          </w:tcPr>
          <w:p>
            <w:pPr>
              <w:spacing w:after="0"/>
              <w:rPr>
                <w:sz w:val="1"/>
                <w:szCs w:val="1"/>
                <w:color w:val="auto"/>
              </w:rPr>
            </w:pPr>
          </w:p>
        </w:tc>
      </w:tr>
      <w:tr>
        <w:trPr>
          <w:trHeight w:val="208"/>
        </w:trPr>
        <w:tc>
          <w:tcPr>
            <w:tcW w:w="6700" w:type="dxa"/>
            <w:vAlign w:val="bottom"/>
            <w:vMerge w:val="restart"/>
          </w:tcPr>
          <w:p>
            <w:pPr>
              <w:spacing w:after="0"/>
              <w:rPr>
                <w:sz w:val="20"/>
                <w:szCs w:val="20"/>
                <w:color w:val="auto"/>
              </w:rPr>
            </w:pPr>
            <w:r>
              <w:rPr>
                <w:rFonts w:ascii="Arial" w:cs="Arial" w:eastAsia="Arial" w:hAnsi="Arial"/>
                <w:sz w:val="16"/>
                <w:szCs w:val="16"/>
                <w:color w:val="auto"/>
              </w:rPr>
              <w:t>Ras Laffan Liquefied Natural Gas Company Limited (II) (5)</w:t>
            </w:r>
          </w:p>
        </w:tc>
        <w:tc>
          <w:tcPr>
            <w:tcW w:w="2400" w:type="dxa"/>
            <w:vAlign w:val="bottom"/>
            <w:gridSpan w:val="2"/>
          </w:tcPr>
          <w:p>
            <w:pPr>
              <w:jc w:val="center"/>
              <w:ind w:right="560"/>
              <w:spacing w:after="0"/>
              <w:rPr>
                <w:sz w:val="20"/>
                <w:szCs w:val="20"/>
                <w:color w:val="auto"/>
              </w:rPr>
            </w:pPr>
            <w:r>
              <w:rPr>
                <w:rFonts w:ascii="Arial" w:cs="Arial" w:eastAsia="Arial" w:hAnsi="Arial"/>
                <w:sz w:val="16"/>
                <w:szCs w:val="16"/>
                <w:color w:val="auto"/>
                <w:w w:val="93"/>
              </w:rPr>
              <w:t>Registrant</w:t>
            </w:r>
          </w:p>
        </w:tc>
        <w:tc>
          <w:tcPr>
            <w:tcW w:w="1780" w:type="dxa"/>
            <w:vAlign w:val="bottom"/>
          </w:tcPr>
          <w:p>
            <w:pPr>
              <w:ind w:left="340"/>
              <w:spacing w:after="0"/>
              <w:rPr>
                <w:sz w:val="20"/>
                <w:szCs w:val="20"/>
                <w:color w:val="auto"/>
              </w:rPr>
            </w:pPr>
            <w:r>
              <w:rPr>
                <w:rFonts w:ascii="Arial" w:cs="Arial" w:eastAsia="Arial" w:hAnsi="Arial"/>
                <w:sz w:val="16"/>
                <w:szCs w:val="16"/>
                <w:color w:val="auto"/>
                <w:w w:val="93"/>
              </w:rPr>
              <w:t>Country of Organizati</w:t>
            </w:r>
          </w:p>
        </w:tc>
        <w:tc>
          <w:tcPr>
            <w:tcW w:w="0" w:type="dxa"/>
            <w:vAlign w:val="bottom"/>
          </w:tcPr>
          <w:p>
            <w:pPr>
              <w:spacing w:after="0"/>
              <w:rPr>
                <w:sz w:val="1"/>
                <w:szCs w:val="1"/>
                <w:color w:val="auto"/>
              </w:rPr>
            </w:pPr>
          </w:p>
        </w:tc>
      </w:tr>
      <w:tr>
        <w:trPr>
          <w:trHeight w:val="177"/>
        </w:trPr>
        <w:tc>
          <w:tcPr>
            <w:tcW w:w="6700" w:type="dxa"/>
            <w:vAlign w:val="bottom"/>
            <w:vMerge w:val="continue"/>
          </w:tcPr>
          <w:p>
            <w:pPr>
              <w:spacing w:after="0"/>
              <w:rPr>
                <w:sz w:val="15"/>
                <w:szCs w:val="15"/>
                <w:color w:val="auto"/>
              </w:rPr>
            </w:pPr>
          </w:p>
        </w:tc>
        <w:tc>
          <w:tcPr>
            <w:tcW w:w="1840" w:type="dxa"/>
            <w:vAlign w:val="bottom"/>
            <w:tcBorders>
              <w:top w:val="single" w:sz="8" w:color="auto"/>
            </w:tcBorders>
          </w:tcPr>
          <w:p>
            <w:pPr>
              <w:ind w:left="440"/>
              <w:spacing w:after="0" w:line="177" w:lineRule="exact"/>
              <w:rPr>
                <w:sz w:val="20"/>
                <w:szCs w:val="20"/>
                <w:color w:val="auto"/>
              </w:rPr>
            </w:pPr>
            <w:r>
              <w:rPr>
                <w:rFonts w:ascii="Arial" w:cs="Arial" w:eastAsia="Arial" w:hAnsi="Arial"/>
                <w:sz w:val="16"/>
                <w:szCs w:val="16"/>
                <w:color w:val="auto"/>
              </w:rPr>
              <w:t>30.517</w:t>
            </w:r>
          </w:p>
        </w:tc>
        <w:tc>
          <w:tcPr>
            <w:tcW w:w="560" w:type="dxa"/>
            <w:vAlign w:val="bottom"/>
          </w:tcPr>
          <w:p>
            <w:pPr>
              <w:spacing w:after="0"/>
              <w:rPr>
                <w:sz w:val="15"/>
                <w:szCs w:val="15"/>
                <w:color w:val="auto"/>
              </w:rPr>
            </w:pPr>
          </w:p>
        </w:tc>
        <w:tc>
          <w:tcPr>
            <w:tcW w:w="1780" w:type="dxa"/>
            <w:vAlign w:val="bottom"/>
            <w:tcBorders>
              <w:top w:val="single" w:sz="8" w:color="auto"/>
            </w:tcBorders>
          </w:tcPr>
          <w:p>
            <w:pPr>
              <w:ind w:left="40"/>
              <w:spacing w:after="0" w:line="177" w:lineRule="exact"/>
              <w:rPr>
                <w:sz w:val="20"/>
                <w:szCs w:val="20"/>
                <w:color w:val="auto"/>
              </w:rPr>
            </w:pPr>
            <w:r>
              <w:rPr>
                <w:rFonts w:ascii="Arial" w:cs="Arial" w:eastAsia="Arial" w:hAnsi="Arial"/>
                <w:sz w:val="16"/>
                <w:szCs w:val="16"/>
                <w:color w:val="auto"/>
              </w:rPr>
              <w:t>Qatar</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20"/>
                <w:szCs w:val="20"/>
                <w:color w:val="auto"/>
              </w:rPr>
            </w:pPr>
            <w:r>
              <w:rPr>
                <w:rFonts w:ascii="Arial" w:cs="Arial" w:eastAsia="Arial" w:hAnsi="Arial"/>
                <w:sz w:val="16"/>
                <w:szCs w:val="16"/>
                <w:color w:val="auto"/>
              </w:rPr>
              <w:t>Ras Laffan Liquefied Natural Gas Company Limited (3) (5)</w:t>
            </w:r>
          </w:p>
        </w:tc>
        <w:tc>
          <w:tcPr>
            <w:tcW w:w="1840" w:type="dxa"/>
            <w:vAlign w:val="bottom"/>
          </w:tcPr>
          <w:p>
            <w:pPr>
              <w:ind w:left="440"/>
              <w:spacing w:after="0"/>
              <w:rPr>
                <w:sz w:val="20"/>
                <w:szCs w:val="20"/>
                <w:color w:val="auto"/>
              </w:rPr>
            </w:pPr>
            <w:r>
              <w:rPr>
                <w:rFonts w:ascii="Arial" w:cs="Arial" w:eastAsia="Arial" w:hAnsi="Arial"/>
                <w:sz w:val="16"/>
                <w:szCs w:val="16"/>
                <w:color w:val="auto"/>
              </w:rPr>
              <w:t>30</w:t>
            </w:r>
          </w:p>
        </w:tc>
        <w:tc>
          <w:tcPr>
            <w:tcW w:w="560" w:type="dxa"/>
            <w:vAlign w:val="bottom"/>
          </w:tcPr>
          <w:p>
            <w:pPr>
              <w:spacing w:after="0"/>
              <w:rPr>
                <w:sz w:val="17"/>
                <w:szCs w:val="17"/>
                <w:color w:val="auto"/>
              </w:rPr>
            </w:pPr>
          </w:p>
        </w:tc>
        <w:tc>
          <w:tcPr>
            <w:tcW w:w="1780" w:type="dxa"/>
            <w:vAlign w:val="bottom"/>
          </w:tcPr>
          <w:p>
            <w:pPr>
              <w:ind w:left="40"/>
              <w:spacing w:after="0"/>
              <w:rPr>
                <w:sz w:val="20"/>
                <w:szCs w:val="20"/>
                <w:color w:val="auto"/>
              </w:rPr>
            </w:pPr>
            <w:r>
              <w:rPr>
                <w:rFonts w:ascii="Arial" w:cs="Arial" w:eastAsia="Arial" w:hAnsi="Arial"/>
                <w:sz w:val="16"/>
                <w:szCs w:val="16"/>
                <w:color w:val="auto"/>
              </w:rPr>
              <w:t>Qatar</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20"/>
                <w:szCs w:val="20"/>
                <w:color w:val="auto"/>
              </w:rPr>
            </w:pPr>
            <w:r>
              <w:rPr>
                <w:rFonts w:ascii="Arial" w:cs="Arial" w:eastAsia="Arial" w:hAnsi="Arial"/>
                <w:sz w:val="16"/>
                <w:szCs w:val="16"/>
                <w:color w:val="auto"/>
              </w:rPr>
              <w:t>Saudi Aramco Mobil Refinery Company Ltd. (4) (5)</w:t>
            </w:r>
          </w:p>
        </w:tc>
        <w:tc>
          <w:tcPr>
            <w:tcW w:w="1840" w:type="dxa"/>
            <w:vAlign w:val="bottom"/>
          </w:tcPr>
          <w:p>
            <w:pPr>
              <w:ind w:left="440"/>
              <w:spacing w:after="0"/>
              <w:rPr>
                <w:sz w:val="20"/>
                <w:szCs w:val="20"/>
                <w:color w:val="auto"/>
              </w:rPr>
            </w:pPr>
            <w:r>
              <w:rPr>
                <w:rFonts w:ascii="Arial" w:cs="Arial" w:eastAsia="Arial" w:hAnsi="Arial"/>
                <w:sz w:val="16"/>
                <w:szCs w:val="16"/>
                <w:color w:val="auto"/>
              </w:rPr>
              <w:t>50</w:t>
            </w:r>
          </w:p>
        </w:tc>
        <w:tc>
          <w:tcPr>
            <w:tcW w:w="560" w:type="dxa"/>
            <w:vAlign w:val="bottom"/>
          </w:tcPr>
          <w:p>
            <w:pPr>
              <w:spacing w:after="0"/>
              <w:rPr>
                <w:sz w:val="17"/>
                <w:szCs w:val="17"/>
                <w:color w:val="auto"/>
              </w:rPr>
            </w:pPr>
          </w:p>
        </w:tc>
        <w:tc>
          <w:tcPr>
            <w:tcW w:w="1780" w:type="dxa"/>
            <w:vAlign w:val="bottom"/>
          </w:tcPr>
          <w:p>
            <w:pPr>
              <w:ind w:left="40"/>
              <w:spacing w:after="0"/>
              <w:rPr>
                <w:sz w:val="20"/>
                <w:szCs w:val="20"/>
                <w:color w:val="auto"/>
              </w:rPr>
            </w:pPr>
            <w:r>
              <w:rPr>
                <w:rFonts w:ascii="Arial" w:cs="Arial" w:eastAsia="Arial" w:hAnsi="Arial"/>
                <w:sz w:val="16"/>
                <w:szCs w:val="16"/>
                <w:color w:val="auto"/>
              </w:rPr>
              <w:t>Saudi Arabia</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20"/>
                <w:szCs w:val="20"/>
                <w:color w:val="auto"/>
              </w:rPr>
            </w:pPr>
            <w:r>
              <w:rPr>
                <w:rFonts w:ascii="Arial" w:cs="Arial" w:eastAsia="Arial" w:hAnsi="Arial"/>
                <w:sz w:val="16"/>
                <w:szCs w:val="16"/>
                <w:color w:val="auto"/>
              </w:rPr>
              <w:t>Saudi Yanbu Petrochemical Co. (4) (5)</w:t>
            </w:r>
          </w:p>
        </w:tc>
        <w:tc>
          <w:tcPr>
            <w:tcW w:w="1840" w:type="dxa"/>
            <w:vAlign w:val="bottom"/>
          </w:tcPr>
          <w:p>
            <w:pPr>
              <w:ind w:left="440"/>
              <w:spacing w:after="0"/>
              <w:rPr>
                <w:sz w:val="20"/>
                <w:szCs w:val="20"/>
                <w:color w:val="auto"/>
              </w:rPr>
            </w:pPr>
            <w:r>
              <w:rPr>
                <w:rFonts w:ascii="Arial" w:cs="Arial" w:eastAsia="Arial" w:hAnsi="Arial"/>
                <w:sz w:val="16"/>
                <w:szCs w:val="16"/>
                <w:color w:val="auto"/>
              </w:rPr>
              <w:t>50</w:t>
            </w:r>
          </w:p>
        </w:tc>
        <w:tc>
          <w:tcPr>
            <w:tcW w:w="560" w:type="dxa"/>
            <w:vAlign w:val="bottom"/>
          </w:tcPr>
          <w:p>
            <w:pPr>
              <w:spacing w:after="0"/>
              <w:rPr>
                <w:sz w:val="17"/>
                <w:szCs w:val="17"/>
                <w:color w:val="auto"/>
              </w:rPr>
            </w:pPr>
          </w:p>
        </w:tc>
        <w:tc>
          <w:tcPr>
            <w:tcW w:w="1780" w:type="dxa"/>
            <w:vAlign w:val="bottom"/>
          </w:tcPr>
          <w:p>
            <w:pPr>
              <w:ind w:left="40"/>
              <w:spacing w:after="0"/>
              <w:rPr>
                <w:sz w:val="20"/>
                <w:szCs w:val="20"/>
                <w:color w:val="auto"/>
              </w:rPr>
            </w:pPr>
            <w:r>
              <w:rPr>
                <w:rFonts w:ascii="Arial" w:cs="Arial" w:eastAsia="Arial" w:hAnsi="Arial"/>
                <w:sz w:val="16"/>
                <w:szCs w:val="16"/>
                <w:color w:val="auto"/>
              </w:rPr>
              <w:t>Saudi Arabia</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20"/>
                <w:szCs w:val="20"/>
                <w:color w:val="auto"/>
              </w:rPr>
            </w:pPr>
            <w:r>
              <w:rPr>
                <w:rFonts w:ascii="Arial" w:cs="Arial" w:eastAsia="Arial" w:hAnsi="Arial"/>
                <w:sz w:val="16"/>
                <w:szCs w:val="16"/>
                <w:color w:val="auto"/>
              </w:rPr>
              <w:t>South Hook LNG Terminal Company Limited (5)</w:t>
            </w:r>
          </w:p>
        </w:tc>
        <w:tc>
          <w:tcPr>
            <w:tcW w:w="1840" w:type="dxa"/>
            <w:vAlign w:val="bottom"/>
          </w:tcPr>
          <w:p>
            <w:pPr>
              <w:ind w:left="440"/>
              <w:spacing w:after="0"/>
              <w:rPr>
                <w:sz w:val="20"/>
                <w:szCs w:val="20"/>
                <w:color w:val="auto"/>
              </w:rPr>
            </w:pPr>
            <w:r>
              <w:rPr>
                <w:rFonts w:ascii="Arial" w:cs="Arial" w:eastAsia="Arial" w:hAnsi="Arial"/>
                <w:sz w:val="16"/>
                <w:szCs w:val="16"/>
                <w:color w:val="auto"/>
              </w:rPr>
              <w:t>24.15</w:t>
            </w:r>
          </w:p>
        </w:tc>
        <w:tc>
          <w:tcPr>
            <w:tcW w:w="560" w:type="dxa"/>
            <w:vAlign w:val="bottom"/>
          </w:tcPr>
          <w:p>
            <w:pPr>
              <w:spacing w:after="0"/>
              <w:rPr>
                <w:sz w:val="17"/>
                <w:szCs w:val="17"/>
                <w:color w:val="auto"/>
              </w:rPr>
            </w:pPr>
          </w:p>
        </w:tc>
        <w:tc>
          <w:tcPr>
            <w:tcW w:w="1780" w:type="dxa"/>
            <w:vAlign w:val="bottom"/>
          </w:tcPr>
          <w:p>
            <w:pPr>
              <w:ind w:left="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20"/>
                <w:szCs w:val="20"/>
                <w:color w:val="auto"/>
              </w:rPr>
            </w:pPr>
            <w:r>
              <w:rPr>
                <w:rFonts w:ascii="Arial" w:cs="Arial" w:eastAsia="Arial" w:hAnsi="Arial"/>
                <w:sz w:val="16"/>
                <w:szCs w:val="16"/>
                <w:color w:val="auto"/>
              </w:rPr>
              <w:t>Tengizchevroil, LLP (5)</w:t>
            </w:r>
          </w:p>
        </w:tc>
        <w:tc>
          <w:tcPr>
            <w:tcW w:w="1840" w:type="dxa"/>
            <w:vAlign w:val="bottom"/>
          </w:tcPr>
          <w:p>
            <w:pPr>
              <w:ind w:left="440"/>
              <w:spacing w:after="0"/>
              <w:rPr>
                <w:sz w:val="20"/>
                <w:szCs w:val="20"/>
                <w:color w:val="auto"/>
              </w:rPr>
            </w:pPr>
            <w:r>
              <w:rPr>
                <w:rFonts w:ascii="Arial" w:cs="Arial" w:eastAsia="Arial" w:hAnsi="Arial"/>
                <w:sz w:val="16"/>
                <w:szCs w:val="16"/>
                <w:color w:val="auto"/>
              </w:rPr>
              <w:t>25</w:t>
            </w:r>
          </w:p>
        </w:tc>
        <w:tc>
          <w:tcPr>
            <w:tcW w:w="560" w:type="dxa"/>
            <w:vAlign w:val="bottom"/>
          </w:tcPr>
          <w:p>
            <w:pPr>
              <w:spacing w:after="0"/>
              <w:rPr>
                <w:sz w:val="17"/>
                <w:szCs w:val="17"/>
                <w:color w:val="auto"/>
              </w:rPr>
            </w:pPr>
          </w:p>
        </w:tc>
        <w:tc>
          <w:tcPr>
            <w:tcW w:w="1780" w:type="dxa"/>
            <w:vAlign w:val="bottom"/>
          </w:tcPr>
          <w:p>
            <w:pPr>
              <w:ind w:left="40"/>
              <w:spacing w:after="0"/>
              <w:rPr>
                <w:sz w:val="20"/>
                <w:szCs w:val="20"/>
                <w:color w:val="auto"/>
              </w:rPr>
            </w:pPr>
            <w:r>
              <w:rPr>
                <w:rFonts w:ascii="Arial" w:cs="Arial" w:eastAsia="Arial" w:hAnsi="Arial"/>
                <w:sz w:val="16"/>
                <w:szCs w:val="16"/>
                <w:color w:val="auto"/>
              </w:rPr>
              <w:t>Kazakhstan</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20"/>
                <w:szCs w:val="20"/>
                <w:color w:val="auto"/>
              </w:rPr>
            </w:pPr>
            <w:r>
              <w:rPr>
                <w:rFonts w:ascii="Arial" w:cs="Arial" w:eastAsia="Arial" w:hAnsi="Arial"/>
                <w:sz w:val="16"/>
                <w:szCs w:val="16"/>
                <w:color w:val="auto"/>
              </w:rPr>
              <w:t>Terminale GNL Adriatico S.r.l (5)</w:t>
            </w:r>
          </w:p>
        </w:tc>
        <w:tc>
          <w:tcPr>
            <w:tcW w:w="1840" w:type="dxa"/>
            <w:vAlign w:val="bottom"/>
          </w:tcPr>
          <w:p>
            <w:pPr>
              <w:ind w:left="440"/>
              <w:spacing w:after="0"/>
              <w:rPr>
                <w:sz w:val="20"/>
                <w:szCs w:val="20"/>
                <w:color w:val="auto"/>
              </w:rPr>
            </w:pPr>
            <w:r>
              <w:rPr>
                <w:rFonts w:ascii="Arial" w:cs="Arial" w:eastAsia="Arial" w:hAnsi="Arial"/>
                <w:sz w:val="16"/>
                <w:szCs w:val="16"/>
                <w:color w:val="auto"/>
              </w:rPr>
              <w:t>70.678</w:t>
            </w:r>
          </w:p>
        </w:tc>
        <w:tc>
          <w:tcPr>
            <w:tcW w:w="560" w:type="dxa"/>
            <w:vAlign w:val="bottom"/>
          </w:tcPr>
          <w:p>
            <w:pPr>
              <w:spacing w:after="0"/>
              <w:rPr>
                <w:sz w:val="17"/>
                <w:szCs w:val="17"/>
                <w:color w:val="auto"/>
              </w:rPr>
            </w:pPr>
          </w:p>
        </w:tc>
        <w:tc>
          <w:tcPr>
            <w:tcW w:w="1780" w:type="dxa"/>
            <w:vAlign w:val="bottom"/>
          </w:tcPr>
          <w:p>
            <w:pPr>
              <w:ind w:left="40"/>
              <w:spacing w:after="0"/>
              <w:rPr>
                <w:sz w:val="20"/>
                <w:szCs w:val="20"/>
                <w:color w:val="auto"/>
              </w:rPr>
            </w:pPr>
            <w:r>
              <w:rPr>
                <w:rFonts w:ascii="Arial" w:cs="Arial" w:eastAsia="Arial" w:hAnsi="Arial"/>
                <w:sz w:val="16"/>
                <w:szCs w:val="16"/>
                <w:color w:val="auto"/>
              </w:rPr>
              <w:t>Italy</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20"/>
                <w:szCs w:val="20"/>
                <w:color w:val="auto"/>
              </w:rPr>
            </w:pPr>
            <w:r>
              <w:rPr>
                <w:rFonts w:ascii="Arial" w:cs="Arial" w:eastAsia="Arial" w:hAnsi="Arial"/>
                <w:sz w:val="16"/>
                <w:szCs w:val="16"/>
                <w:color w:val="auto"/>
              </w:rPr>
              <w:t>Trend Gathering &amp; Treating, LLC</w:t>
            </w:r>
          </w:p>
        </w:tc>
        <w:tc>
          <w:tcPr>
            <w:tcW w:w="1840" w:type="dxa"/>
            <w:vAlign w:val="bottom"/>
          </w:tcPr>
          <w:p>
            <w:pPr>
              <w:ind w:left="36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tcPr>
          <w:p>
            <w:pPr>
              <w:ind w:left="40"/>
              <w:spacing w:after="0"/>
              <w:rPr>
                <w:sz w:val="20"/>
                <w:szCs w:val="20"/>
                <w:color w:val="auto"/>
              </w:rPr>
            </w:pPr>
            <w:r>
              <w:rPr>
                <w:rFonts w:ascii="Arial" w:cs="Arial" w:eastAsia="Arial" w:hAnsi="Arial"/>
                <w:sz w:val="16"/>
                <w:szCs w:val="16"/>
                <w:color w:val="auto"/>
              </w:rPr>
              <w:t>Texas</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20"/>
                <w:szCs w:val="20"/>
                <w:color w:val="auto"/>
              </w:rPr>
            </w:pPr>
            <w:r>
              <w:rPr>
                <w:rFonts w:ascii="Arial" w:cs="Arial" w:eastAsia="Arial" w:hAnsi="Arial"/>
                <w:sz w:val="16"/>
                <w:szCs w:val="16"/>
                <w:color w:val="auto"/>
              </w:rPr>
              <w:t>Wolverine Pipe Line Company</w:t>
            </w:r>
          </w:p>
        </w:tc>
        <w:tc>
          <w:tcPr>
            <w:tcW w:w="1840" w:type="dxa"/>
            <w:vAlign w:val="bottom"/>
          </w:tcPr>
          <w:p>
            <w:pPr>
              <w:ind w:left="440"/>
              <w:spacing w:after="0"/>
              <w:rPr>
                <w:sz w:val="20"/>
                <w:szCs w:val="20"/>
                <w:color w:val="auto"/>
              </w:rPr>
            </w:pPr>
            <w:r>
              <w:rPr>
                <w:rFonts w:ascii="Arial" w:cs="Arial" w:eastAsia="Arial" w:hAnsi="Arial"/>
                <w:sz w:val="16"/>
                <w:szCs w:val="16"/>
                <w:color w:val="auto"/>
              </w:rPr>
              <w:t>53.39</w:t>
            </w:r>
          </w:p>
        </w:tc>
        <w:tc>
          <w:tcPr>
            <w:tcW w:w="560" w:type="dxa"/>
            <w:vAlign w:val="bottom"/>
          </w:tcPr>
          <w:p>
            <w:pPr>
              <w:spacing w:after="0"/>
              <w:rPr>
                <w:sz w:val="17"/>
                <w:szCs w:val="17"/>
                <w:color w:val="auto"/>
              </w:rPr>
            </w:pPr>
          </w:p>
        </w:tc>
        <w:tc>
          <w:tcPr>
            <w:tcW w:w="1780" w:type="dxa"/>
            <w:vAlign w:val="bottom"/>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20"/>
                <w:szCs w:val="20"/>
                <w:color w:val="auto"/>
              </w:rPr>
            </w:pPr>
            <w:r>
              <w:rPr>
                <w:rFonts w:ascii="Arial" w:cs="Arial" w:eastAsia="Arial" w:hAnsi="Arial"/>
                <w:sz w:val="16"/>
                <w:szCs w:val="16"/>
                <w:color w:val="auto"/>
              </w:rPr>
              <w:t>XH, LLC</w:t>
            </w:r>
          </w:p>
        </w:tc>
        <w:tc>
          <w:tcPr>
            <w:tcW w:w="1840" w:type="dxa"/>
            <w:vAlign w:val="bottom"/>
          </w:tcPr>
          <w:p>
            <w:pPr>
              <w:ind w:left="36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7"/>
                <w:szCs w:val="17"/>
                <w:color w:val="auto"/>
              </w:rPr>
            </w:pPr>
          </w:p>
        </w:tc>
        <w:tc>
          <w:tcPr>
            <w:tcW w:w="1780" w:type="dxa"/>
            <w:vAlign w:val="bottom"/>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20"/>
                <w:szCs w:val="20"/>
                <w:color w:val="auto"/>
              </w:rPr>
            </w:pPr>
            <w:r>
              <w:rPr>
                <w:rFonts w:ascii="Arial" w:cs="Arial" w:eastAsia="Arial" w:hAnsi="Arial"/>
                <w:sz w:val="16"/>
                <w:szCs w:val="16"/>
                <w:color w:val="auto"/>
              </w:rPr>
              <w:t>XTO Energy Canada</w:t>
            </w:r>
          </w:p>
        </w:tc>
        <w:tc>
          <w:tcPr>
            <w:tcW w:w="1840" w:type="dxa"/>
            <w:vAlign w:val="bottom"/>
          </w:tcPr>
          <w:p>
            <w:pPr>
              <w:ind w:left="440"/>
              <w:spacing w:after="0"/>
              <w:rPr>
                <w:sz w:val="20"/>
                <w:szCs w:val="20"/>
                <w:color w:val="auto"/>
              </w:rPr>
            </w:pPr>
            <w:r>
              <w:rPr>
                <w:rFonts w:ascii="Arial" w:cs="Arial" w:eastAsia="Arial" w:hAnsi="Arial"/>
                <w:sz w:val="16"/>
                <w:szCs w:val="16"/>
                <w:color w:val="auto"/>
              </w:rPr>
              <w:t>84.80</w:t>
            </w:r>
          </w:p>
        </w:tc>
        <w:tc>
          <w:tcPr>
            <w:tcW w:w="560" w:type="dxa"/>
            <w:vAlign w:val="bottom"/>
          </w:tcPr>
          <w:p>
            <w:pPr>
              <w:spacing w:after="0"/>
              <w:rPr>
                <w:sz w:val="17"/>
                <w:szCs w:val="17"/>
                <w:color w:val="auto"/>
              </w:rPr>
            </w:pPr>
          </w:p>
        </w:tc>
        <w:tc>
          <w:tcPr>
            <w:tcW w:w="1780" w:type="dxa"/>
            <w:vAlign w:val="bottom"/>
          </w:tcPr>
          <w:p>
            <w:pPr>
              <w:ind w:left="4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208"/>
        </w:trPr>
        <w:tc>
          <w:tcPr>
            <w:tcW w:w="6700" w:type="dxa"/>
            <w:vAlign w:val="bottom"/>
          </w:tcPr>
          <w:p>
            <w:pPr>
              <w:spacing w:after="0"/>
              <w:rPr>
                <w:sz w:val="20"/>
                <w:szCs w:val="20"/>
                <w:color w:val="auto"/>
              </w:rPr>
            </w:pPr>
            <w:r>
              <w:rPr>
                <w:rFonts w:ascii="Arial" w:cs="Arial" w:eastAsia="Arial" w:hAnsi="Arial"/>
                <w:sz w:val="16"/>
                <w:szCs w:val="16"/>
                <w:color w:val="auto"/>
              </w:rPr>
              <w:t>XTO Energy Inc.</w:t>
            </w:r>
          </w:p>
        </w:tc>
        <w:tc>
          <w:tcPr>
            <w:tcW w:w="1840" w:type="dxa"/>
            <w:vAlign w:val="bottom"/>
          </w:tcPr>
          <w:p>
            <w:pPr>
              <w:ind w:left="36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8"/>
                <w:szCs w:val="18"/>
                <w:color w:val="auto"/>
              </w:rPr>
            </w:pPr>
          </w:p>
        </w:tc>
        <w:tc>
          <w:tcPr>
            <w:tcW w:w="1780" w:type="dxa"/>
            <w:vAlign w:val="bottom"/>
          </w:tcPr>
          <w:p>
            <w:pPr>
              <w:ind w:left="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NOTES:</w:t>
      </w:r>
    </w:p>
    <w:p>
      <w:pPr>
        <w:spacing w:after="0" w:line="12" w:lineRule="exact"/>
        <w:rPr>
          <w:sz w:val="20"/>
          <w:szCs w:val="20"/>
          <w:color w:val="auto"/>
        </w:rPr>
      </w:pPr>
    </w:p>
    <w:p>
      <w:pPr>
        <w:ind w:left="1020" w:hanging="926"/>
        <w:spacing w:after="0"/>
        <w:tabs>
          <w:tab w:leader="none" w:pos="10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For the purposes of this list, if the registrant owns directly or indirectly approximately 50 percent of the voting securities of any person and approximat percent of the voting securities of such person is owned directly or indirectly by another interest, or if the registrant includes its share of net income other unconsolidated person in consolidated net income, such person is deemed to be a subsidiary.</w:t>
      </w:r>
    </w:p>
    <w:p>
      <w:pPr>
        <w:spacing w:after="0" w:line="1" w:lineRule="exact"/>
        <w:rPr>
          <w:rFonts w:ascii="Arial" w:cs="Arial" w:eastAsia="Arial" w:hAnsi="Arial"/>
          <w:sz w:val="16"/>
          <w:szCs w:val="16"/>
          <w:color w:val="auto"/>
        </w:rPr>
      </w:pPr>
    </w:p>
    <w:p>
      <w:pPr>
        <w:ind w:left="1020" w:hanging="926"/>
        <w:spacing w:after="0"/>
        <w:tabs>
          <w:tab w:leader="none" w:pos="102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With respect to certain companies, shares in names of nominees and qualifying shares in names of directors are included in the above percentages.</w:t>
      </w:r>
    </w:p>
    <w:p>
      <w:pPr>
        <w:spacing w:after="0" w:line="11" w:lineRule="exact"/>
        <w:rPr>
          <w:rFonts w:ascii="Arial" w:cs="Arial" w:eastAsia="Arial" w:hAnsi="Arial"/>
          <w:sz w:val="15"/>
          <w:szCs w:val="15"/>
          <w:color w:val="auto"/>
        </w:rPr>
      </w:pPr>
    </w:p>
    <w:p>
      <w:pPr>
        <w:ind w:left="1020" w:hanging="926"/>
        <w:spacing w:after="0" w:line="239" w:lineRule="auto"/>
        <w:tabs>
          <w:tab w:leader="none" w:pos="10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names of other subsidiaries have been omitted from the above list since considered in the aggregate, they would not constitute a significant subs under Securities and Exchange Commission Regulation S-X, Rule 1-02(w).</w:t>
      </w:r>
    </w:p>
    <w:p>
      <w:pPr>
        <w:spacing w:after="0" w:line="1" w:lineRule="exact"/>
        <w:rPr>
          <w:rFonts w:ascii="Arial" w:cs="Arial" w:eastAsia="Arial" w:hAnsi="Arial"/>
          <w:sz w:val="16"/>
          <w:szCs w:val="16"/>
          <w:color w:val="auto"/>
        </w:rPr>
      </w:pPr>
    </w:p>
    <w:p>
      <w:pPr>
        <w:ind w:left="1020" w:hanging="926"/>
        <w:spacing w:after="0" w:line="239" w:lineRule="auto"/>
        <w:tabs>
          <w:tab w:leader="none" w:pos="10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registrant owns directly or indirectly approximately 50 percent of the securities of this person and approximately 50 percent of the voting securi this person is owned directly or indirectly by another single interest.</w:t>
      </w:r>
    </w:p>
    <w:p>
      <w:pPr>
        <w:spacing w:after="0" w:line="1" w:lineRule="exact"/>
        <w:rPr>
          <w:rFonts w:ascii="Arial" w:cs="Arial" w:eastAsia="Arial" w:hAnsi="Arial"/>
          <w:sz w:val="16"/>
          <w:szCs w:val="16"/>
          <w:color w:val="auto"/>
        </w:rPr>
      </w:pPr>
    </w:p>
    <w:p>
      <w:pPr>
        <w:ind w:left="1020" w:hanging="926"/>
        <w:spacing w:after="0" w:line="252" w:lineRule="auto"/>
        <w:tabs>
          <w:tab w:leader="none" w:pos="10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investment in this unconsolidated person is represented by the registrant's percentage interest in the underlying net assets of such person. The acco for these unconsolidated persons is referred to as the equity method of accounting.</w:t>
      </w:r>
    </w:p>
    <w:p>
      <w:pPr>
        <w:spacing w:after="0" w:line="323" w:lineRule="exact"/>
        <w:rPr>
          <w:sz w:val="20"/>
          <w:szCs w:val="20"/>
          <w:color w:val="auto"/>
        </w:rPr>
      </w:pPr>
    </w:p>
    <w:p>
      <w:pPr>
        <w:jc w:val="center"/>
        <w:ind w:left="118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549910</wp:posOffset>
            </wp:positionV>
            <wp:extent cx="7279640" cy="203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776" w:right="1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6"/>
          <w:szCs w:val="16"/>
          <w:b w:val="1"/>
          <w:bCs w:val="1"/>
          <w:color w:val="auto"/>
        </w:rPr>
        <w:t>EXHI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We hereby consent to the incorporation by reference in the following Exxon Mobil Corporation Registration Statements on:</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00" w:type="dxa"/>
            <w:vAlign w:val="bottom"/>
            <w:gridSpan w:val="2"/>
          </w:tcPr>
          <w:p>
            <w:pPr>
              <w:spacing w:after="0"/>
              <w:rPr>
                <w:sz w:val="20"/>
                <w:szCs w:val="20"/>
                <w:color w:val="auto"/>
              </w:rPr>
            </w:pPr>
            <w:r>
              <w:rPr>
                <w:rFonts w:ascii="Arial" w:cs="Arial" w:eastAsia="Arial" w:hAnsi="Arial"/>
                <w:sz w:val="16"/>
                <w:szCs w:val="16"/>
                <w:color w:val="auto"/>
              </w:rPr>
              <w:t>Form S-3 (No. 333-167787)</w:t>
            </w: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3940" w:type="dxa"/>
            <w:vAlign w:val="bottom"/>
          </w:tcPr>
          <w:p>
            <w:pPr>
              <w:ind w:left="160"/>
              <w:spacing w:after="0"/>
              <w:rPr>
                <w:sz w:val="20"/>
                <w:szCs w:val="20"/>
                <w:color w:val="auto"/>
              </w:rPr>
            </w:pPr>
            <w:r>
              <w:rPr>
                <w:rFonts w:ascii="Arial" w:cs="Arial" w:eastAsia="Arial" w:hAnsi="Arial"/>
                <w:sz w:val="16"/>
                <w:szCs w:val="16"/>
                <w:color w:val="auto"/>
              </w:rPr>
              <w:t>XTO Energy Inc. 2004 Stock Incentive Plan;</w:t>
            </w:r>
          </w:p>
        </w:tc>
      </w:tr>
      <w:tr>
        <w:trPr>
          <w:trHeight w:val="392"/>
        </w:trPr>
        <w:tc>
          <w:tcPr>
            <w:tcW w:w="2200" w:type="dxa"/>
            <w:vAlign w:val="bottom"/>
            <w:gridSpan w:val="2"/>
          </w:tcPr>
          <w:p>
            <w:pPr>
              <w:spacing w:after="0"/>
              <w:rPr>
                <w:sz w:val="20"/>
                <w:szCs w:val="20"/>
                <w:color w:val="auto"/>
              </w:rPr>
            </w:pPr>
            <w:r>
              <w:rPr>
                <w:rFonts w:ascii="Arial" w:cs="Arial" w:eastAsia="Arial" w:hAnsi="Arial"/>
                <w:sz w:val="16"/>
                <w:szCs w:val="16"/>
                <w:color w:val="auto"/>
              </w:rPr>
              <w:t>Form S-3 (No. 333-194609)</w:t>
            </w: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3940" w:type="dxa"/>
            <w:vAlign w:val="bottom"/>
          </w:tcPr>
          <w:p>
            <w:pPr>
              <w:ind w:left="160"/>
              <w:spacing w:after="0"/>
              <w:rPr>
                <w:sz w:val="20"/>
                <w:szCs w:val="20"/>
                <w:color w:val="auto"/>
              </w:rPr>
            </w:pPr>
            <w:r>
              <w:rPr>
                <w:rFonts w:ascii="Arial" w:cs="Arial" w:eastAsia="Arial" w:hAnsi="Arial"/>
                <w:sz w:val="16"/>
                <w:szCs w:val="16"/>
                <w:color w:val="auto"/>
              </w:rPr>
              <w:t>Exxon Mobil Corporation Debt Securities;</w:t>
            </w:r>
          </w:p>
        </w:tc>
      </w:tr>
      <w:tr>
        <w:trPr>
          <w:trHeight w:val="381"/>
        </w:trPr>
        <w:tc>
          <w:tcPr>
            <w:tcW w:w="2200" w:type="dxa"/>
            <w:vAlign w:val="bottom"/>
            <w:gridSpan w:val="2"/>
          </w:tcPr>
          <w:p>
            <w:pPr>
              <w:spacing w:after="0"/>
              <w:rPr>
                <w:sz w:val="20"/>
                <w:szCs w:val="20"/>
                <w:color w:val="auto"/>
              </w:rPr>
            </w:pPr>
            <w:r>
              <w:rPr>
                <w:rFonts w:ascii="Arial" w:cs="Arial" w:eastAsia="Arial" w:hAnsi="Arial"/>
                <w:sz w:val="16"/>
                <w:szCs w:val="16"/>
                <w:color w:val="auto"/>
              </w:rPr>
              <w:t>Form S-8 (Nos. 333-101175,</w:t>
            </w: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3940" w:type="dxa"/>
            <w:vAlign w:val="bottom"/>
          </w:tcPr>
          <w:p>
            <w:pPr>
              <w:ind w:left="160"/>
              <w:spacing w:after="0"/>
              <w:rPr>
                <w:sz w:val="20"/>
                <w:szCs w:val="20"/>
                <w:color w:val="auto"/>
              </w:rPr>
            </w:pPr>
            <w:r>
              <w:rPr>
                <w:rFonts w:ascii="Arial" w:cs="Arial" w:eastAsia="Arial" w:hAnsi="Arial"/>
                <w:sz w:val="16"/>
                <w:szCs w:val="16"/>
                <w:color w:val="auto"/>
              </w:rPr>
              <w:t>1993 Incentive Program of Exxon Mobil Corporation;</w:t>
            </w:r>
          </w:p>
        </w:tc>
      </w:tr>
      <w:tr>
        <w:trPr>
          <w:trHeight w:val="196"/>
        </w:trPr>
        <w:tc>
          <w:tcPr>
            <w:tcW w:w="640" w:type="dxa"/>
            <w:vAlign w:val="bottom"/>
          </w:tcPr>
          <w:p>
            <w:pPr>
              <w:spacing w:after="0"/>
              <w:rPr>
                <w:sz w:val="17"/>
                <w:szCs w:val="17"/>
                <w:color w:val="auto"/>
              </w:rPr>
            </w:pPr>
          </w:p>
        </w:tc>
        <w:tc>
          <w:tcPr>
            <w:tcW w:w="1560" w:type="dxa"/>
            <w:vAlign w:val="bottom"/>
          </w:tcPr>
          <w:p>
            <w:pPr>
              <w:ind w:left="340"/>
              <w:spacing w:after="0"/>
              <w:rPr>
                <w:sz w:val="20"/>
                <w:szCs w:val="20"/>
                <w:color w:val="auto"/>
              </w:rPr>
            </w:pPr>
            <w:r>
              <w:rPr>
                <w:rFonts w:ascii="Arial" w:cs="Arial" w:eastAsia="Arial" w:hAnsi="Arial"/>
                <w:sz w:val="16"/>
                <w:szCs w:val="16"/>
                <w:color w:val="auto"/>
              </w:rPr>
              <w:t>333-38917,</w:t>
            </w:r>
          </w:p>
        </w:tc>
        <w:tc>
          <w:tcPr>
            <w:tcW w:w="380" w:type="dxa"/>
            <w:vAlign w:val="bottom"/>
          </w:tcPr>
          <w:p>
            <w:pPr>
              <w:spacing w:after="0"/>
              <w:rPr>
                <w:sz w:val="17"/>
                <w:szCs w:val="17"/>
                <w:color w:val="auto"/>
              </w:rPr>
            </w:pPr>
          </w:p>
        </w:tc>
        <w:tc>
          <w:tcPr>
            <w:tcW w:w="394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1560" w:type="dxa"/>
            <w:vAlign w:val="bottom"/>
          </w:tcPr>
          <w:p>
            <w:pPr>
              <w:ind w:left="340"/>
              <w:spacing w:after="0"/>
              <w:rPr>
                <w:sz w:val="20"/>
                <w:szCs w:val="20"/>
                <w:color w:val="auto"/>
              </w:rPr>
            </w:pPr>
            <w:r>
              <w:rPr>
                <w:rFonts w:ascii="Arial" w:cs="Arial" w:eastAsia="Arial" w:hAnsi="Arial"/>
                <w:sz w:val="16"/>
                <w:szCs w:val="16"/>
                <w:color w:val="auto"/>
              </w:rPr>
              <w:t>33-51107,</w:t>
            </w:r>
          </w:p>
        </w:tc>
        <w:tc>
          <w:tcPr>
            <w:tcW w:w="380" w:type="dxa"/>
            <w:vAlign w:val="bottom"/>
          </w:tcPr>
          <w:p>
            <w:pPr>
              <w:spacing w:after="0"/>
              <w:rPr>
                <w:sz w:val="17"/>
                <w:szCs w:val="17"/>
                <w:color w:val="auto"/>
              </w:rPr>
            </w:pPr>
          </w:p>
        </w:tc>
        <w:tc>
          <w:tcPr>
            <w:tcW w:w="3940" w:type="dxa"/>
            <w:vAlign w:val="bottom"/>
          </w:tcPr>
          <w:p>
            <w:pPr>
              <w:spacing w:after="0"/>
              <w:rPr>
                <w:sz w:val="17"/>
                <w:szCs w:val="17"/>
                <w:color w:val="auto"/>
              </w:rPr>
            </w:pPr>
          </w:p>
        </w:tc>
      </w:tr>
      <w:tr>
        <w:trPr>
          <w:trHeight w:val="208"/>
        </w:trPr>
        <w:tc>
          <w:tcPr>
            <w:tcW w:w="64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Arial" w:cs="Arial" w:eastAsia="Arial" w:hAnsi="Arial"/>
                <w:sz w:val="16"/>
                <w:szCs w:val="16"/>
                <w:color w:val="auto"/>
              </w:rPr>
              <w:t>and 333-75659)</w:t>
            </w:r>
          </w:p>
        </w:tc>
        <w:tc>
          <w:tcPr>
            <w:tcW w:w="38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381"/>
        </w:trPr>
        <w:tc>
          <w:tcPr>
            <w:tcW w:w="640" w:type="dxa"/>
            <w:vAlign w:val="bottom"/>
          </w:tcPr>
          <w:p>
            <w:pPr>
              <w:spacing w:after="0"/>
              <w:rPr>
                <w:sz w:val="20"/>
                <w:szCs w:val="20"/>
                <w:color w:val="auto"/>
              </w:rPr>
            </w:pPr>
            <w:r>
              <w:rPr>
                <w:rFonts w:ascii="Arial" w:cs="Arial" w:eastAsia="Arial" w:hAnsi="Arial"/>
                <w:sz w:val="16"/>
                <w:szCs w:val="16"/>
                <w:color w:val="auto"/>
                <w:w w:val="92"/>
              </w:rPr>
              <w:t>Form S-8</w:t>
            </w:r>
          </w:p>
        </w:tc>
        <w:tc>
          <w:tcPr>
            <w:tcW w:w="1560" w:type="dxa"/>
            <w:vAlign w:val="bottom"/>
          </w:tcPr>
          <w:p>
            <w:pPr>
              <w:ind w:left="20"/>
              <w:spacing w:after="0"/>
              <w:rPr>
                <w:sz w:val="20"/>
                <w:szCs w:val="20"/>
                <w:color w:val="auto"/>
              </w:rPr>
            </w:pPr>
            <w:r>
              <w:rPr>
                <w:rFonts w:ascii="Arial" w:cs="Arial" w:eastAsia="Arial" w:hAnsi="Arial"/>
                <w:sz w:val="16"/>
                <w:szCs w:val="16"/>
                <w:color w:val="auto"/>
              </w:rPr>
              <w:t>(Nos. 333-145188,</w:t>
            </w: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3940" w:type="dxa"/>
            <w:vAlign w:val="bottom"/>
          </w:tcPr>
          <w:p>
            <w:pPr>
              <w:ind w:left="180"/>
              <w:spacing w:after="0"/>
              <w:rPr>
                <w:sz w:val="20"/>
                <w:szCs w:val="20"/>
                <w:color w:val="auto"/>
              </w:rPr>
            </w:pPr>
            <w:r>
              <w:rPr>
                <w:rFonts w:ascii="Arial" w:cs="Arial" w:eastAsia="Arial" w:hAnsi="Arial"/>
                <w:sz w:val="16"/>
                <w:szCs w:val="16"/>
                <w:color w:val="auto"/>
              </w:rPr>
              <w:t>2003 Incentive Program of Exxon Mobil Corporation;</w:t>
            </w:r>
          </w:p>
        </w:tc>
      </w:tr>
      <w:tr>
        <w:trPr>
          <w:trHeight w:val="196"/>
        </w:trPr>
        <w:tc>
          <w:tcPr>
            <w:tcW w:w="640" w:type="dxa"/>
            <w:vAlign w:val="bottom"/>
          </w:tcPr>
          <w:p>
            <w:pPr>
              <w:spacing w:after="0"/>
              <w:rPr>
                <w:sz w:val="17"/>
                <w:szCs w:val="17"/>
                <w:color w:val="auto"/>
              </w:rPr>
            </w:pPr>
          </w:p>
        </w:tc>
        <w:tc>
          <w:tcPr>
            <w:tcW w:w="1560" w:type="dxa"/>
            <w:vAlign w:val="bottom"/>
          </w:tcPr>
          <w:p>
            <w:pPr>
              <w:ind w:left="340"/>
              <w:spacing w:after="0"/>
              <w:rPr>
                <w:sz w:val="20"/>
                <w:szCs w:val="20"/>
                <w:color w:val="auto"/>
              </w:rPr>
            </w:pPr>
            <w:r>
              <w:rPr>
                <w:rFonts w:ascii="Arial" w:cs="Arial" w:eastAsia="Arial" w:hAnsi="Arial"/>
                <w:sz w:val="16"/>
                <w:szCs w:val="16"/>
                <w:color w:val="auto"/>
              </w:rPr>
              <w:t>333-110494,</w:t>
            </w:r>
          </w:p>
        </w:tc>
        <w:tc>
          <w:tcPr>
            <w:tcW w:w="380" w:type="dxa"/>
            <w:vAlign w:val="bottom"/>
          </w:tcPr>
          <w:p>
            <w:pPr>
              <w:spacing w:after="0"/>
              <w:rPr>
                <w:sz w:val="17"/>
                <w:szCs w:val="17"/>
                <w:color w:val="auto"/>
              </w:rPr>
            </w:pPr>
          </w:p>
        </w:tc>
        <w:tc>
          <w:tcPr>
            <w:tcW w:w="3940" w:type="dxa"/>
            <w:vAlign w:val="bottom"/>
          </w:tcPr>
          <w:p>
            <w:pPr>
              <w:spacing w:after="0"/>
              <w:rPr>
                <w:sz w:val="17"/>
                <w:szCs w:val="17"/>
                <w:color w:val="auto"/>
              </w:rPr>
            </w:pPr>
          </w:p>
        </w:tc>
      </w:tr>
      <w:tr>
        <w:trPr>
          <w:trHeight w:val="208"/>
        </w:trPr>
        <w:tc>
          <w:tcPr>
            <w:tcW w:w="640" w:type="dxa"/>
            <w:vAlign w:val="bottom"/>
          </w:tcPr>
          <w:p>
            <w:pPr>
              <w:spacing w:after="0"/>
              <w:rPr>
                <w:sz w:val="18"/>
                <w:szCs w:val="18"/>
                <w:color w:val="auto"/>
              </w:rPr>
            </w:pPr>
          </w:p>
        </w:tc>
        <w:tc>
          <w:tcPr>
            <w:tcW w:w="1560" w:type="dxa"/>
            <w:vAlign w:val="bottom"/>
          </w:tcPr>
          <w:p>
            <w:pPr>
              <w:ind w:left="380"/>
              <w:spacing w:after="0"/>
              <w:rPr>
                <w:sz w:val="20"/>
                <w:szCs w:val="20"/>
                <w:color w:val="auto"/>
              </w:rPr>
            </w:pPr>
            <w:r>
              <w:rPr>
                <w:rFonts w:ascii="Arial" w:cs="Arial" w:eastAsia="Arial" w:hAnsi="Arial"/>
                <w:sz w:val="16"/>
                <w:szCs w:val="16"/>
                <w:color w:val="auto"/>
                <w:w w:val="95"/>
              </w:rPr>
              <w:t>and 333-183012)</w:t>
            </w:r>
          </w:p>
        </w:tc>
        <w:tc>
          <w:tcPr>
            <w:tcW w:w="38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381"/>
        </w:trPr>
        <w:tc>
          <w:tcPr>
            <w:tcW w:w="640" w:type="dxa"/>
            <w:vAlign w:val="bottom"/>
          </w:tcPr>
          <w:p>
            <w:pPr>
              <w:spacing w:after="0"/>
              <w:rPr>
                <w:sz w:val="20"/>
                <w:szCs w:val="20"/>
                <w:color w:val="auto"/>
              </w:rPr>
            </w:pPr>
            <w:r>
              <w:rPr>
                <w:rFonts w:ascii="Arial" w:cs="Arial" w:eastAsia="Arial" w:hAnsi="Arial"/>
                <w:sz w:val="16"/>
                <w:szCs w:val="16"/>
                <w:color w:val="auto"/>
                <w:w w:val="92"/>
              </w:rPr>
              <w:t>Form S-8</w:t>
            </w:r>
          </w:p>
        </w:tc>
        <w:tc>
          <w:tcPr>
            <w:tcW w:w="1560" w:type="dxa"/>
            <w:vAlign w:val="bottom"/>
          </w:tcPr>
          <w:p>
            <w:pPr>
              <w:ind w:left="20"/>
              <w:spacing w:after="0"/>
              <w:rPr>
                <w:sz w:val="20"/>
                <w:szCs w:val="20"/>
                <w:color w:val="auto"/>
              </w:rPr>
            </w:pPr>
            <w:r>
              <w:rPr>
                <w:rFonts w:ascii="Arial" w:cs="Arial" w:eastAsia="Arial" w:hAnsi="Arial"/>
                <w:sz w:val="16"/>
                <w:szCs w:val="16"/>
                <w:color w:val="auto"/>
              </w:rPr>
              <w:t>(Nos. 333-72955</w:t>
            </w: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3940" w:type="dxa"/>
            <w:vAlign w:val="bottom"/>
          </w:tcPr>
          <w:p>
            <w:pPr>
              <w:ind w:left="180"/>
              <w:spacing w:after="0"/>
              <w:rPr>
                <w:sz w:val="20"/>
                <w:szCs w:val="20"/>
                <w:color w:val="auto"/>
              </w:rPr>
            </w:pPr>
            <w:r>
              <w:rPr>
                <w:rFonts w:ascii="Arial" w:cs="Arial" w:eastAsia="Arial" w:hAnsi="Arial"/>
                <w:sz w:val="16"/>
                <w:szCs w:val="16"/>
                <w:color w:val="auto"/>
              </w:rPr>
              <w:t>ExxonMobil Savings Plan;</w:t>
            </w:r>
          </w:p>
        </w:tc>
      </w:tr>
      <w:tr>
        <w:trPr>
          <w:trHeight w:val="208"/>
        </w:trPr>
        <w:tc>
          <w:tcPr>
            <w:tcW w:w="640" w:type="dxa"/>
            <w:vAlign w:val="bottom"/>
          </w:tcPr>
          <w:p>
            <w:pPr>
              <w:spacing w:after="0"/>
              <w:rPr>
                <w:sz w:val="18"/>
                <w:szCs w:val="18"/>
                <w:color w:val="auto"/>
              </w:rPr>
            </w:pPr>
          </w:p>
        </w:tc>
        <w:tc>
          <w:tcPr>
            <w:tcW w:w="1560" w:type="dxa"/>
            <w:vAlign w:val="bottom"/>
          </w:tcPr>
          <w:p>
            <w:pPr>
              <w:ind w:left="340"/>
              <w:spacing w:after="0"/>
              <w:rPr>
                <w:sz w:val="20"/>
                <w:szCs w:val="20"/>
                <w:color w:val="auto"/>
              </w:rPr>
            </w:pPr>
            <w:r>
              <w:rPr>
                <w:rFonts w:ascii="Arial" w:cs="Arial" w:eastAsia="Arial" w:hAnsi="Arial"/>
                <w:sz w:val="16"/>
                <w:szCs w:val="16"/>
                <w:color w:val="auto"/>
                <w:w w:val="98"/>
              </w:rPr>
              <w:t>and 333-166576)</w:t>
            </w:r>
          </w:p>
        </w:tc>
        <w:tc>
          <w:tcPr>
            <w:tcW w:w="38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392"/>
        </w:trPr>
        <w:tc>
          <w:tcPr>
            <w:tcW w:w="640" w:type="dxa"/>
            <w:vAlign w:val="bottom"/>
          </w:tcPr>
          <w:p>
            <w:pPr>
              <w:spacing w:after="0"/>
              <w:rPr>
                <w:sz w:val="20"/>
                <w:szCs w:val="20"/>
                <w:color w:val="auto"/>
              </w:rPr>
            </w:pPr>
            <w:r>
              <w:rPr>
                <w:rFonts w:ascii="Arial" w:cs="Arial" w:eastAsia="Arial" w:hAnsi="Arial"/>
                <w:sz w:val="16"/>
                <w:szCs w:val="16"/>
                <w:color w:val="auto"/>
                <w:w w:val="92"/>
              </w:rPr>
              <w:t>Form S-8</w:t>
            </w:r>
          </w:p>
        </w:tc>
        <w:tc>
          <w:tcPr>
            <w:tcW w:w="1560" w:type="dxa"/>
            <w:vAlign w:val="bottom"/>
          </w:tcPr>
          <w:p>
            <w:pPr>
              <w:ind w:left="20"/>
              <w:spacing w:after="0"/>
              <w:rPr>
                <w:sz w:val="20"/>
                <w:szCs w:val="20"/>
                <w:color w:val="auto"/>
              </w:rPr>
            </w:pPr>
            <w:r>
              <w:rPr>
                <w:rFonts w:ascii="Arial" w:cs="Arial" w:eastAsia="Arial" w:hAnsi="Arial"/>
                <w:sz w:val="16"/>
                <w:szCs w:val="16"/>
                <w:color w:val="auto"/>
              </w:rPr>
              <w:t>(No. 333-117980)</w:t>
            </w: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3940" w:type="dxa"/>
            <w:vAlign w:val="bottom"/>
          </w:tcPr>
          <w:p>
            <w:pPr>
              <w:ind w:left="160"/>
              <w:spacing w:after="0"/>
              <w:rPr>
                <w:sz w:val="20"/>
                <w:szCs w:val="20"/>
                <w:color w:val="auto"/>
              </w:rPr>
            </w:pPr>
            <w:r>
              <w:rPr>
                <w:rFonts w:ascii="Arial" w:cs="Arial" w:eastAsia="Arial" w:hAnsi="Arial"/>
                <w:sz w:val="16"/>
                <w:szCs w:val="16"/>
                <w:color w:val="auto"/>
              </w:rPr>
              <w:t>2004 Non-employee Director Restricted Stock Plan;</w:t>
            </w:r>
          </w:p>
        </w:tc>
      </w:tr>
      <w:tr>
        <w:trPr>
          <w:trHeight w:val="392"/>
        </w:trPr>
        <w:tc>
          <w:tcPr>
            <w:tcW w:w="640" w:type="dxa"/>
            <w:vAlign w:val="bottom"/>
          </w:tcPr>
          <w:p>
            <w:pPr>
              <w:spacing w:after="0"/>
              <w:rPr>
                <w:sz w:val="20"/>
                <w:szCs w:val="20"/>
                <w:color w:val="auto"/>
              </w:rPr>
            </w:pPr>
            <w:r>
              <w:rPr>
                <w:rFonts w:ascii="Arial" w:cs="Arial" w:eastAsia="Arial" w:hAnsi="Arial"/>
                <w:sz w:val="16"/>
                <w:szCs w:val="16"/>
                <w:color w:val="auto"/>
                <w:w w:val="92"/>
              </w:rPr>
              <w:t>Form S-8</w:t>
            </w:r>
          </w:p>
        </w:tc>
        <w:tc>
          <w:tcPr>
            <w:tcW w:w="1560" w:type="dxa"/>
            <w:vAlign w:val="bottom"/>
          </w:tcPr>
          <w:p>
            <w:pPr>
              <w:ind w:left="20"/>
              <w:spacing w:after="0"/>
              <w:rPr>
                <w:sz w:val="20"/>
                <w:szCs w:val="20"/>
                <w:color w:val="auto"/>
              </w:rPr>
            </w:pPr>
            <w:r>
              <w:rPr>
                <w:rFonts w:ascii="Arial" w:cs="Arial" w:eastAsia="Arial" w:hAnsi="Arial"/>
                <w:sz w:val="16"/>
                <w:szCs w:val="16"/>
                <w:color w:val="auto"/>
              </w:rPr>
              <w:t>(No. 333-164620)</w:t>
            </w: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3940" w:type="dxa"/>
            <w:vAlign w:val="bottom"/>
          </w:tcPr>
          <w:p>
            <w:pPr>
              <w:ind w:left="160"/>
              <w:spacing w:after="0"/>
              <w:rPr>
                <w:sz w:val="20"/>
                <w:szCs w:val="20"/>
                <w:color w:val="auto"/>
              </w:rPr>
            </w:pPr>
            <w:r>
              <w:rPr>
                <w:rFonts w:ascii="Arial" w:cs="Arial" w:eastAsia="Arial" w:hAnsi="Arial"/>
                <w:sz w:val="16"/>
                <w:szCs w:val="16"/>
                <w:color w:val="auto"/>
                <w:w w:val="92"/>
              </w:rPr>
              <w:t>Post-effective amendment no. 1 on Form S-8 to Form S-4</w:t>
            </w:r>
          </w:p>
        </w:tc>
      </w:tr>
    </w:tbl>
    <w:p>
      <w:pPr>
        <w:ind w:left="2940"/>
        <w:spacing w:after="0"/>
        <w:rPr>
          <w:sz w:val="20"/>
          <w:szCs w:val="20"/>
          <w:color w:val="auto"/>
        </w:rPr>
      </w:pPr>
      <w:r>
        <w:rPr>
          <w:rFonts w:ascii="Arial" w:cs="Arial" w:eastAsia="Arial" w:hAnsi="Arial"/>
          <w:sz w:val="16"/>
          <w:szCs w:val="16"/>
          <w:color w:val="auto"/>
        </w:rPr>
        <w:t>relating to XTO Energy Inc. 1998 Stock Incentive Plan and</w:t>
      </w:r>
    </w:p>
    <w:p>
      <w:pPr>
        <w:spacing w:after="0" w:line="12"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2004 Incentive Plan</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of our report dated February 25, 2015, relating to the financial statements and the effectiveness of internal control over financial reporting, which appears in this Form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Dallas, Texas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February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565785</wp:posOffset>
            </wp:positionV>
            <wp:extent cx="7279640" cy="20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1103" w:right="139" w:bottom="1440" w:gutter="0" w:footer="0" w:header="0"/>
        </w:sectPr>
      </w:pPr>
    </w:p>
    <w:bookmarkStart w:id="141" w:name="page142"/>
    <w:bookmarkEnd w:id="141"/>
    <w:p>
      <w:pPr>
        <w:ind w:left="10420"/>
        <w:spacing w:after="0"/>
        <w:rPr>
          <w:sz w:val="20"/>
          <w:szCs w:val="20"/>
          <w:color w:val="auto"/>
        </w:rPr>
      </w:pPr>
      <w:r>
        <w:rPr>
          <w:rFonts w:ascii="Arial" w:cs="Arial" w:eastAsia="Arial" w:hAnsi="Arial"/>
          <w:sz w:val="16"/>
          <w:szCs w:val="16"/>
          <w:b w:val="1"/>
          <w:bCs w:val="1"/>
          <w:color w:val="auto"/>
        </w:rPr>
        <w:t>EXHIB</w:t>
      </w:r>
    </w:p>
    <w:p>
      <w:pPr>
        <w:spacing w:after="0" w:line="208" w:lineRule="exact"/>
        <w:rPr>
          <w:sz w:val="20"/>
          <w:szCs w:val="20"/>
          <w:color w:val="auto"/>
        </w:rPr>
      </w:pPr>
    </w:p>
    <w:p>
      <w:pPr>
        <w:jc w:val="center"/>
        <w:ind w:left="1180"/>
        <w:spacing w:after="0"/>
        <w:rPr>
          <w:sz w:val="20"/>
          <w:szCs w:val="20"/>
          <w:color w:val="auto"/>
        </w:rPr>
      </w:pPr>
      <w:r>
        <w:rPr>
          <w:rFonts w:ascii="Arial" w:cs="Arial" w:eastAsia="Arial" w:hAnsi="Arial"/>
          <w:sz w:val="16"/>
          <w:szCs w:val="16"/>
          <w:b w:val="1"/>
          <w:bCs w:val="1"/>
          <w:color w:val="auto"/>
        </w:rPr>
        <w:t>Certification by Rex W. Tillerson</w:t>
      </w:r>
    </w:p>
    <w:p>
      <w:pPr>
        <w:spacing w:after="0" w:line="28" w:lineRule="exact"/>
        <w:rPr>
          <w:sz w:val="20"/>
          <w:szCs w:val="20"/>
          <w:color w:val="auto"/>
        </w:rPr>
      </w:pPr>
    </w:p>
    <w:p>
      <w:pPr>
        <w:jc w:val="center"/>
        <w:ind w:left="1140"/>
        <w:spacing w:after="0"/>
        <w:rPr>
          <w:sz w:val="20"/>
          <w:szCs w:val="20"/>
          <w:color w:val="auto"/>
        </w:rPr>
      </w:pPr>
      <w:r>
        <w:rPr>
          <w:rFonts w:ascii="Arial" w:cs="Arial" w:eastAsia="Arial" w:hAnsi="Arial"/>
          <w:sz w:val="16"/>
          <w:szCs w:val="16"/>
          <w:b w:val="1"/>
          <w:bCs w:val="1"/>
          <w:color w:val="auto"/>
        </w:rPr>
        <w:t>Pursuant to Securities Exchange Act Rule 13a-14(a)</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I, Rex W. Tillerson, certify that:</w:t>
      </w:r>
    </w:p>
    <w:p>
      <w:pPr>
        <w:spacing w:after="0" w:line="208" w:lineRule="exact"/>
        <w:rPr>
          <w:sz w:val="20"/>
          <w:szCs w:val="20"/>
          <w:color w:val="auto"/>
        </w:rPr>
      </w:pPr>
    </w:p>
    <w:p>
      <w:pPr>
        <w:ind w:left="620" w:hanging="320"/>
        <w:spacing w:after="0"/>
        <w:tabs>
          <w:tab w:leader="none" w:pos="6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Exxon Mobil Corporation;</w:t>
      </w:r>
    </w:p>
    <w:p>
      <w:pPr>
        <w:spacing w:after="0" w:line="208" w:lineRule="exact"/>
        <w:rPr>
          <w:rFonts w:ascii="Arial" w:cs="Arial" w:eastAsia="Arial" w:hAnsi="Arial"/>
          <w:sz w:val="16"/>
          <w:szCs w:val="16"/>
          <w:color w:val="auto"/>
        </w:rPr>
      </w:pPr>
    </w:p>
    <w:p>
      <w:pPr>
        <w:ind w:left="600" w:hanging="300"/>
        <w:spacing w:after="0" w:line="321" w:lineRule="auto"/>
        <w:tabs>
          <w:tab w:leader="none" w:pos="653" w:val="left"/>
        </w:tabs>
        <w:numPr>
          <w:ilvl w:val="0"/>
          <w:numId w:val="1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 in light of the circumstances under which such statements were made, not misleading with respect to the period covered by this report;</w:t>
      </w:r>
    </w:p>
    <w:p>
      <w:pPr>
        <w:spacing w:after="0" w:line="126" w:lineRule="exact"/>
        <w:rPr>
          <w:rFonts w:ascii="Arial" w:cs="Arial" w:eastAsia="Arial" w:hAnsi="Arial"/>
          <w:sz w:val="15"/>
          <w:szCs w:val="15"/>
          <w:color w:val="auto"/>
        </w:rPr>
      </w:pPr>
    </w:p>
    <w:p>
      <w:pPr>
        <w:ind w:left="600" w:hanging="300"/>
        <w:spacing w:after="0" w:line="286" w:lineRule="auto"/>
        <w:tabs>
          <w:tab w:leader="none" w:pos="78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 condition, results of operations and cash flows of the registrant as of, and for, the periods presented in this report;</w:t>
      </w:r>
    </w:p>
    <w:p>
      <w:pPr>
        <w:spacing w:after="0" w:line="149" w:lineRule="exact"/>
        <w:rPr>
          <w:rFonts w:ascii="Arial" w:cs="Arial" w:eastAsia="Arial" w:hAnsi="Arial"/>
          <w:sz w:val="16"/>
          <w:szCs w:val="16"/>
          <w:color w:val="auto"/>
        </w:rPr>
      </w:pPr>
    </w:p>
    <w:p>
      <w:pPr>
        <w:ind w:left="640" w:hanging="340"/>
        <w:spacing w:after="0"/>
        <w:tabs>
          <w:tab w:leader="none" w:pos="6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w:t>
      </w:r>
    </w:p>
    <w:p>
      <w:pPr>
        <w:spacing w:after="0" w:line="46" w:lineRule="exact"/>
        <w:rPr>
          <w:rFonts w:ascii="Arial" w:cs="Arial" w:eastAsia="Arial" w:hAnsi="Arial"/>
          <w:sz w:val="14"/>
          <w:szCs w:val="14"/>
          <w:color w:val="auto"/>
        </w:rPr>
      </w:pPr>
    </w:p>
    <w:p>
      <w:pPr>
        <w:ind w:left="600"/>
        <w:spacing w:after="0"/>
        <w:rPr>
          <w:rFonts w:ascii="Arial" w:cs="Arial" w:eastAsia="Arial" w:hAnsi="Arial"/>
          <w:sz w:val="14"/>
          <w:szCs w:val="14"/>
          <w:color w:val="auto"/>
        </w:rPr>
      </w:pPr>
      <w:r>
        <w:rPr>
          <w:rFonts w:ascii="Arial" w:cs="Arial" w:eastAsia="Arial" w:hAnsi="Arial"/>
          <w:sz w:val="14"/>
          <w:szCs w:val="14"/>
          <w:color w:val="auto"/>
        </w:rPr>
        <w:t>13a-15(e) and 15d-15(e)) and internal control over financial reporting (as defined in Exchange Act Rules 13a-15(f) and 15d-15(f)) for the registrant and have:</w:t>
      </w:r>
    </w:p>
    <w:p>
      <w:pPr>
        <w:spacing w:after="0" w:line="219" w:lineRule="exact"/>
        <w:rPr>
          <w:rFonts w:ascii="Arial" w:cs="Arial" w:eastAsia="Arial" w:hAnsi="Arial"/>
          <w:sz w:val="14"/>
          <w:szCs w:val="14"/>
          <w:color w:val="auto"/>
        </w:rPr>
      </w:pPr>
    </w:p>
    <w:p>
      <w:pPr>
        <w:jc w:val="both"/>
        <w:ind w:left="880" w:right="20" w:hanging="286"/>
        <w:spacing w:after="0" w:line="271" w:lineRule="auto"/>
        <w:tabs>
          <w:tab w:leader="none" w:pos="996" w:val="left"/>
        </w:tabs>
        <w:numPr>
          <w:ilvl w:val="1"/>
          <w:numId w:val="1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 material information relating to the registrant, including its consolidated subsidiaries, is made known to us by others within those entities, particularly du period in which this report is being prepared;</w:t>
      </w:r>
    </w:p>
    <w:p>
      <w:pPr>
        <w:spacing w:after="0" w:line="160" w:lineRule="exact"/>
        <w:rPr>
          <w:rFonts w:ascii="Arial" w:cs="Arial" w:eastAsia="Arial" w:hAnsi="Arial"/>
          <w:sz w:val="16"/>
          <w:szCs w:val="16"/>
          <w:color w:val="auto"/>
        </w:rPr>
      </w:pPr>
    </w:p>
    <w:p>
      <w:pPr>
        <w:jc w:val="both"/>
        <w:ind w:left="880" w:right="40" w:hanging="286"/>
        <w:spacing w:after="0" w:line="271" w:lineRule="auto"/>
        <w:tabs>
          <w:tab w:leader="none" w:pos="919" w:val="left"/>
        </w:tabs>
        <w:numPr>
          <w:ilvl w:val="1"/>
          <w:numId w:val="1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reasonable assurance regarding the reliability of financial reporting and the preparation of financial statements for external purposes in accordance with g accepted accounting principles;</w:t>
      </w:r>
    </w:p>
    <w:p>
      <w:pPr>
        <w:spacing w:after="0" w:line="160" w:lineRule="exact"/>
        <w:rPr>
          <w:rFonts w:ascii="Arial" w:cs="Arial" w:eastAsia="Arial" w:hAnsi="Arial"/>
          <w:sz w:val="16"/>
          <w:szCs w:val="16"/>
          <w:color w:val="auto"/>
        </w:rPr>
      </w:pPr>
    </w:p>
    <w:p>
      <w:pPr>
        <w:ind w:left="880" w:right="20" w:hanging="286"/>
        <w:spacing w:after="0" w:line="286" w:lineRule="auto"/>
        <w:tabs>
          <w:tab w:leader="none" w:pos="983" w:val="left"/>
        </w:tabs>
        <w:numPr>
          <w:ilvl w:val="1"/>
          <w:numId w:val="1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 disclosure controls and procedures, as of the end of the period covered by this report based on such evaluation; and</w:t>
      </w:r>
    </w:p>
    <w:p>
      <w:pPr>
        <w:spacing w:after="0" w:line="149" w:lineRule="exact"/>
        <w:rPr>
          <w:rFonts w:ascii="Arial" w:cs="Arial" w:eastAsia="Arial" w:hAnsi="Arial"/>
          <w:sz w:val="16"/>
          <w:szCs w:val="16"/>
          <w:color w:val="auto"/>
        </w:rPr>
      </w:pPr>
    </w:p>
    <w:p>
      <w:pPr>
        <w:jc w:val="both"/>
        <w:ind w:left="880" w:hanging="286"/>
        <w:spacing w:after="0" w:line="271" w:lineRule="auto"/>
        <w:tabs>
          <w:tab w:leader="none" w:pos="931" w:val="left"/>
        </w:tabs>
        <w:numPr>
          <w:ilvl w:val="1"/>
          <w:numId w:val="1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 registrant's fourth fiscal quarter in the case of an annual report) that has materially affected, or is reasonably likely to materially affect, the registrant's control over financial reporting; and</w:t>
      </w:r>
    </w:p>
    <w:p>
      <w:pPr>
        <w:spacing w:after="0" w:line="160" w:lineRule="exact"/>
        <w:rPr>
          <w:rFonts w:ascii="Arial" w:cs="Arial" w:eastAsia="Arial" w:hAnsi="Arial"/>
          <w:sz w:val="16"/>
          <w:szCs w:val="16"/>
          <w:color w:val="auto"/>
        </w:rPr>
      </w:pPr>
    </w:p>
    <w:p>
      <w:pPr>
        <w:ind w:left="600" w:right="20" w:hanging="300"/>
        <w:spacing w:after="0" w:line="286" w:lineRule="auto"/>
        <w:tabs>
          <w:tab w:leader="none" w:pos="714"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 auditors and the audit committee of the registrant's board of directors (or persons performing the equivalent functions):</w:t>
      </w:r>
    </w:p>
    <w:p>
      <w:pPr>
        <w:spacing w:after="0" w:line="149" w:lineRule="exact"/>
        <w:rPr>
          <w:rFonts w:ascii="Arial" w:cs="Arial" w:eastAsia="Arial" w:hAnsi="Arial"/>
          <w:sz w:val="16"/>
          <w:szCs w:val="16"/>
          <w:color w:val="auto"/>
        </w:rPr>
      </w:pPr>
    </w:p>
    <w:p>
      <w:pPr>
        <w:ind w:left="880" w:hanging="286"/>
        <w:spacing w:after="0" w:line="286" w:lineRule="auto"/>
        <w:tabs>
          <w:tab w:leader="none" w:pos="102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 adversely affect the registrant's ability to record, process, summarize and report financial information; and</w:t>
      </w:r>
    </w:p>
    <w:p>
      <w:pPr>
        <w:spacing w:after="0" w:line="149" w:lineRule="exact"/>
        <w:rPr>
          <w:rFonts w:ascii="Arial" w:cs="Arial" w:eastAsia="Arial" w:hAnsi="Arial"/>
          <w:sz w:val="16"/>
          <w:szCs w:val="16"/>
          <w:color w:val="auto"/>
        </w:rPr>
      </w:pPr>
    </w:p>
    <w:p>
      <w:pPr>
        <w:ind w:left="880" w:hanging="286"/>
        <w:spacing w:after="0" w:line="286" w:lineRule="auto"/>
        <w:tabs>
          <w:tab w:leader="none" w:pos="944"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 reporting.</w:t>
      </w:r>
    </w:p>
    <w:p>
      <w:pPr>
        <w:spacing w:after="0" w:line="200" w:lineRule="exact"/>
        <w:rPr>
          <w:sz w:val="20"/>
          <w:szCs w:val="20"/>
          <w:color w:val="auto"/>
        </w:rPr>
      </w:pPr>
    </w:p>
    <w:p>
      <w:pPr>
        <w:spacing w:after="0" w:line="34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Date: February 25, 2015</w:t>
      </w:r>
    </w:p>
    <w:p>
      <w:pPr>
        <w:spacing w:after="0" w:line="367" w:lineRule="exact"/>
        <w:rPr>
          <w:sz w:val="20"/>
          <w:szCs w:val="20"/>
          <w:color w:val="auto"/>
        </w:rPr>
      </w:pPr>
    </w:p>
    <w:p>
      <w:pPr>
        <w:ind w:left="8520"/>
        <w:spacing w:after="0"/>
        <w:rPr>
          <w:sz w:val="20"/>
          <w:szCs w:val="20"/>
          <w:color w:val="auto"/>
        </w:rPr>
      </w:pPr>
      <w:r>
        <w:rPr>
          <w:rFonts w:ascii="Arial" w:cs="Arial" w:eastAsia="Arial" w:hAnsi="Arial"/>
          <w:sz w:val="16"/>
          <w:szCs w:val="16"/>
          <w:color w:val="auto"/>
        </w:rPr>
        <w:t>/s/ REX W. TILLERSON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4656455</wp:posOffset>
            </wp:positionH>
            <wp:positionV relativeFrom="paragraph">
              <wp:posOffset>7620</wp:posOffset>
            </wp:positionV>
            <wp:extent cx="2290445"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290445" cy="7620"/>
                    </a:xfrm>
                    <a:prstGeom prst="rect">
                      <a:avLst/>
                    </a:prstGeom>
                    <a:noFill/>
                  </pic:spPr>
                </pic:pic>
              </a:graphicData>
            </a:graphic>
          </wp:anchor>
        </w:drawing>
      </w:r>
    </w:p>
    <w:p>
      <w:pPr>
        <w:spacing w:after="0" w:line="4" w:lineRule="exact"/>
        <w:rPr>
          <w:sz w:val="20"/>
          <w:szCs w:val="20"/>
          <w:color w:val="auto"/>
        </w:rPr>
      </w:pPr>
    </w:p>
    <w:p>
      <w:pPr>
        <w:ind w:left="8840"/>
        <w:spacing w:after="0"/>
        <w:rPr>
          <w:sz w:val="20"/>
          <w:szCs w:val="20"/>
          <w:color w:val="auto"/>
        </w:rPr>
      </w:pPr>
      <w:r>
        <w:rPr>
          <w:rFonts w:ascii="Arial" w:cs="Arial" w:eastAsia="Arial" w:hAnsi="Arial"/>
          <w:sz w:val="16"/>
          <w:szCs w:val="16"/>
          <w:color w:val="auto"/>
        </w:rPr>
        <w:t>Rex W. Tillerson</w:t>
      </w:r>
    </w:p>
    <w:p>
      <w:pPr>
        <w:spacing w:after="0" w:line="2"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782320</wp:posOffset>
            </wp:positionV>
            <wp:extent cx="7279640" cy="203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1103" w:right="139" w:bottom="1440" w:gutter="0" w:footer="0" w:header="0"/>
        </w:sectPr>
      </w:pPr>
    </w:p>
    <w:bookmarkStart w:id="142" w:name="page143"/>
    <w:bookmarkEnd w:id="142"/>
    <w:p>
      <w:pPr>
        <w:ind w:left="10420"/>
        <w:spacing w:after="0"/>
        <w:rPr>
          <w:sz w:val="20"/>
          <w:szCs w:val="20"/>
          <w:color w:val="auto"/>
        </w:rPr>
      </w:pPr>
      <w:r>
        <w:rPr>
          <w:rFonts w:ascii="Arial" w:cs="Arial" w:eastAsia="Arial" w:hAnsi="Arial"/>
          <w:sz w:val="16"/>
          <w:szCs w:val="16"/>
          <w:b w:val="1"/>
          <w:bCs w:val="1"/>
          <w:color w:val="auto"/>
        </w:rPr>
        <w:t>EXHIB</w:t>
      </w:r>
    </w:p>
    <w:p>
      <w:pPr>
        <w:spacing w:after="0" w:line="208" w:lineRule="exact"/>
        <w:rPr>
          <w:sz w:val="20"/>
          <w:szCs w:val="20"/>
          <w:color w:val="auto"/>
        </w:rPr>
      </w:pPr>
    </w:p>
    <w:p>
      <w:pPr>
        <w:jc w:val="center"/>
        <w:ind w:left="1180"/>
        <w:spacing w:after="0"/>
        <w:rPr>
          <w:sz w:val="20"/>
          <w:szCs w:val="20"/>
          <w:color w:val="auto"/>
        </w:rPr>
      </w:pPr>
      <w:r>
        <w:rPr>
          <w:rFonts w:ascii="Arial" w:cs="Arial" w:eastAsia="Arial" w:hAnsi="Arial"/>
          <w:sz w:val="16"/>
          <w:szCs w:val="16"/>
          <w:b w:val="1"/>
          <w:bCs w:val="1"/>
          <w:color w:val="auto"/>
        </w:rPr>
        <w:t>Certification by Andrew P. Swiger</w:t>
      </w:r>
    </w:p>
    <w:p>
      <w:pPr>
        <w:spacing w:after="0" w:line="28" w:lineRule="exact"/>
        <w:rPr>
          <w:sz w:val="20"/>
          <w:szCs w:val="20"/>
          <w:color w:val="auto"/>
        </w:rPr>
      </w:pPr>
    </w:p>
    <w:p>
      <w:pPr>
        <w:jc w:val="center"/>
        <w:ind w:left="1140"/>
        <w:spacing w:after="0"/>
        <w:rPr>
          <w:sz w:val="20"/>
          <w:szCs w:val="20"/>
          <w:color w:val="auto"/>
        </w:rPr>
      </w:pPr>
      <w:r>
        <w:rPr>
          <w:rFonts w:ascii="Arial" w:cs="Arial" w:eastAsia="Arial" w:hAnsi="Arial"/>
          <w:sz w:val="16"/>
          <w:szCs w:val="16"/>
          <w:b w:val="1"/>
          <w:bCs w:val="1"/>
          <w:color w:val="auto"/>
        </w:rPr>
        <w:t>Pursuant to Securities Exchange Act Rule 13a-14(a)</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I, Andrew P. Swiger, certify that:</w:t>
      </w:r>
    </w:p>
    <w:p>
      <w:pPr>
        <w:spacing w:after="0" w:line="208" w:lineRule="exact"/>
        <w:rPr>
          <w:sz w:val="20"/>
          <w:szCs w:val="20"/>
          <w:color w:val="auto"/>
        </w:rPr>
      </w:pPr>
    </w:p>
    <w:p>
      <w:pPr>
        <w:ind w:left="620" w:hanging="320"/>
        <w:spacing w:after="0"/>
        <w:tabs>
          <w:tab w:leader="none" w:pos="6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Exxon Mobil Corporation;</w:t>
      </w:r>
    </w:p>
    <w:p>
      <w:pPr>
        <w:spacing w:after="0" w:line="208" w:lineRule="exact"/>
        <w:rPr>
          <w:rFonts w:ascii="Arial" w:cs="Arial" w:eastAsia="Arial" w:hAnsi="Arial"/>
          <w:sz w:val="16"/>
          <w:szCs w:val="16"/>
          <w:color w:val="auto"/>
        </w:rPr>
      </w:pPr>
    </w:p>
    <w:p>
      <w:pPr>
        <w:ind w:left="600" w:hanging="300"/>
        <w:spacing w:after="0" w:line="321" w:lineRule="auto"/>
        <w:tabs>
          <w:tab w:leader="none" w:pos="653" w:val="left"/>
        </w:tabs>
        <w:numPr>
          <w:ilvl w:val="0"/>
          <w:numId w:val="1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 in light of the circumstances under which such statements were made, not misleading with respect to the period covered by this report;</w:t>
      </w:r>
    </w:p>
    <w:p>
      <w:pPr>
        <w:spacing w:after="0" w:line="126" w:lineRule="exact"/>
        <w:rPr>
          <w:rFonts w:ascii="Arial" w:cs="Arial" w:eastAsia="Arial" w:hAnsi="Arial"/>
          <w:sz w:val="15"/>
          <w:szCs w:val="15"/>
          <w:color w:val="auto"/>
        </w:rPr>
      </w:pPr>
    </w:p>
    <w:p>
      <w:pPr>
        <w:ind w:left="600" w:hanging="300"/>
        <w:spacing w:after="0" w:line="286" w:lineRule="auto"/>
        <w:tabs>
          <w:tab w:leader="none" w:pos="78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 condition, results of operations and cash flows of the registrant as of, and for, the periods presented in this report;</w:t>
      </w:r>
    </w:p>
    <w:p>
      <w:pPr>
        <w:spacing w:after="0" w:line="149" w:lineRule="exact"/>
        <w:rPr>
          <w:rFonts w:ascii="Arial" w:cs="Arial" w:eastAsia="Arial" w:hAnsi="Arial"/>
          <w:sz w:val="16"/>
          <w:szCs w:val="16"/>
          <w:color w:val="auto"/>
        </w:rPr>
      </w:pPr>
    </w:p>
    <w:p>
      <w:pPr>
        <w:ind w:left="640" w:hanging="340"/>
        <w:spacing w:after="0"/>
        <w:tabs>
          <w:tab w:leader="none" w:pos="6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w:t>
      </w:r>
    </w:p>
    <w:p>
      <w:pPr>
        <w:spacing w:after="0" w:line="46" w:lineRule="exact"/>
        <w:rPr>
          <w:rFonts w:ascii="Arial" w:cs="Arial" w:eastAsia="Arial" w:hAnsi="Arial"/>
          <w:sz w:val="14"/>
          <w:szCs w:val="14"/>
          <w:color w:val="auto"/>
        </w:rPr>
      </w:pPr>
    </w:p>
    <w:p>
      <w:pPr>
        <w:ind w:left="600"/>
        <w:spacing w:after="0"/>
        <w:rPr>
          <w:rFonts w:ascii="Arial" w:cs="Arial" w:eastAsia="Arial" w:hAnsi="Arial"/>
          <w:sz w:val="14"/>
          <w:szCs w:val="14"/>
          <w:color w:val="auto"/>
        </w:rPr>
      </w:pPr>
      <w:r>
        <w:rPr>
          <w:rFonts w:ascii="Arial" w:cs="Arial" w:eastAsia="Arial" w:hAnsi="Arial"/>
          <w:sz w:val="14"/>
          <w:szCs w:val="14"/>
          <w:color w:val="auto"/>
        </w:rPr>
        <w:t>13a-15(e) and 15d-15(e)) and internal control over financial reporting (as defined in Exchange Act Rules 13a-15(f) and 15d-15(f)) for the registrant and have:</w:t>
      </w:r>
    </w:p>
    <w:p>
      <w:pPr>
        <w:spacing w:after="0" w:line="219" w:lineRule="exact"/>
        <w:rPr>
          <w:rFonts w:ascii="Arial" w:cs="Arial" w:eastAsia="Arial" w:hAnsi="Arial"/>
          <w:sz w:val="14"/>
          <w:szCs w:val="14"/>
          <w:color w:val="auto"/>
        </w:rPr>
      </w:pPr>
    </w:p>
    <w:p>
      <w:pPr>
        <w:jc w:val="both"/>
        <w:ind w:left="880" w:right="20" w:hanging="286"/>
        <w:spacing w:after="0" w:line="271" w:lineRule="auto"/>
        <w:tabs>
          <w:tab w:leader="none" w:pos="996" w:val="left"/>
        </w:tabs>
        <w:numPr>
          <w:ilvl w:val="1"/>
          <w:numId w:val="1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 material information relating to the registrant, including its consolidated subsidiaries, is made known to us by others within those entities, particularly du period in which this report is being prepared;</w:t>
      </w:r>
    </w:p>
    <w:p>
      <w:pPr>
        <w:spacing w:after="0" w:line="160" w:lineRule="exact"/>
        <w:rPr>
          <w:rFonts w:ascii="Arial" w:cs="Arial" w:eastAsia="Arial" w:hAnsi="Arial"/>
          <w:sz w:val="16"/>
          <w:szCs w:val="16"/>
          <w:color w:val="auto"/>
        </w:rPr>
      </w:pPr>
    </w:p>
    <w:p>
      <w:pPr>
        <w:jc w:val="both"/>
        <w:ind w:left="880" w:right="40" w:hanging="286"/>
        <w:spacing w:after="0" w:line="271" w:lineRule="auto"/>
        <w:tabs>
          <w:tab w:leader="none" w:pos="919" w:val="left"/>
        </w:tabs>
        <w:numPr>
          <w:ilvl w:val="1"/>
          <w:numId w:val="1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reasonable assurance regarding the reliability of financial reporting and the preparation of financial statements for external purposes in accordance with g accepted accounting principles;</w:t>
      </w:r>
    </w:p>
    <w:p>
      <w:pPr>
        <w:spacing w:after="0" w:line="160" w:lineRule="exact"/>
        <w:rPr>
          <w:rFonts w:ascii="Arial" w:cs="Arial" w:eastAsia="Arial" w:hAnsi="Arial"/>
          <w:sz w:val="16"/>
          <w:szCs w:val="16"/>
          <w:color w:val="auto"/>
        </w:rPr>
      </w:pPr>
    </w:p>
    <w:p>
      <w:pPr>
        <w:ind w:left="880" w:right="20" w:hanging="286"/>
        <w:spacing w:after="0" w:line="286" w:lineRule="auto"/>
        <w:tabs>
          <w:tab w:leader="none" w:pos="983" w:val="left"/>
        </w:tabs>
        <w:numPr>
          <w:ilvl w:val="1"/>
          <w:numId w:val="1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 disclosure controls and procedures, as of the end of the period covered by this report based on such evaluation; and</w:t>
      </w:r>
    </w:p>
    <w:p>
      <w:pPr>
        <w:spacing w:after="0" w:line="149" w:lineRule="exact"/>
        <w:rPr>
          <w:rFonts w:ascii="Arial" w:cs="Arial" w:eastAsia="Arial" w:hAnsi="Arial"/>
          <w:sz w:val="16"/>
          <w:szCs w:val="16"/>
          <w:color w:val="auto"/>
        </w:rPr>
      </w:pPr>
    </w:p>
    <w:p>
      <w:pPr>
        <w:jc w:val="both"/>
        <w:ind w:left="880" w:hanging="286"/>
        <w:spacing w:after="0" w:line="271" w:lineRule="auto"/>
        <w:tabs>
          <w:tab w:leader="none" w:pos="931" w:val="left"/>
        </w:tabs>
        <w:numPr>
          <w:ilvl w:val="1"/>
          <w:numId w:val="1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 registrant's fourth fiscal quarter in the case of an annual report) that has materially affected, or is reasonably likely to materially affect, the registrant's control over financial reporting; and</w:t>
      </w:r>
    </w:p>
    <w:p>
      <w:pPr>
        <w:spacing w:after="0" w:line="160" w:lineRule="exact"/>
        <w:rPr>
          <w:rFonts w:ascii="Arial" w:cs="Arial" w:eastAsia="Arial" w:hAnsi="Arial"/>
          <w:sz w:val="16"/>
          <w:szCs w:val="16"/>
          <w:color w:val="auto"/>
        </w:rPr>
      </w:pPr>
    </w:p>
    <w:p>
      <w:pPr>
        <w:ind w:left="600" w:right="20" w:hanging="300"/>
        <w:spacing w:after="0" w:line="286" w:lineRule="auto"/>
        <w:tabs>
          <w:tab w:leader="none" w:pos="71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 auditors and the audit committee of the registrant's board of directors (or persons performing the equivalent functions):</w:t>
      </w:r>
    </w:p>
    <w:p>
      <w:pPr>
        <w:spacing w:after="0" w:line="149" w:lineRule="exact"/>
        <w:rPr>
          <w:rFonts w:ascii="Arial" w:cs="Arial" w:eastAsia="Arial" w:hAnsi="Arial"/>
          <w:sz w:val="16"/>
          <w:szCs w:val="16"/>
          <w:color w:val="auto"/>
        </w:rPr>
      </w:pPr>
    </w:p>
    <w:p>
      <w:pPr>
        <w:ind w:left="880" w:hanging="286"/>
        <w:spacing w:after="0" w:line="286" w:lineRule="auto"/>
        <w:tabs>
          <w:tab w:leader="none" w:pos="102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 adversely affect the registrant's ability to record, process, summarize and report financial information; and</w:t>
      </w:r>
    </w:p>
    <w:p>
      <w:pPr>
        <w:spacing w:after="0" w:line="149" w:lineRule="exact"/>
        <w:rPr>
          <w:rFonts w:ascii="Arial" w:cs="Arial" w:eastAsia="Arial" w:hAnsi="Arial"/>
          <w:sz w:val="16"/>
          <w:szCs w:val="16"/>
          <w:color w:val="auto"/>
        </w:rPr>
      </w:pPr>
    </w:p>
    <w:p>
      <w:pPr>
        <w:ind w:left="880" w:hanging="286"/>
        <w:spacing w:after="0" w:line="286" w:lineRule="auto"/>
        <w:tabs>
          <w:tab w:leader="none" w:pos="944"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 reporting.</w:t>
      </w:r>
    </w:p>
    <w:p>
      <w:pPr>
        <w:spacing w:after="0" w:line="34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Date: February 25, 2015</w:t>
      </w:r>
    </w:p>
    <w:p>
      <w:pPr>
        <w:spacing w:after="0" w:line="200" w:lineRule="exact"/>
        <w:rPr>
          <w:sz w:val="20"/>
          <w:szCs w:val="20"/>
          <w:color w:val="auto"/>
        </w:rPr>
      </w:pPr>
    </w:p>
    <w:p>
      <w:pPr>
        <w:spacing w:after="0" w:line="204" w:lineRule="exact"/>
        <w:rPr>
          <w:sz w:val="20"/>
          <w:szCs w:val="20"/>
          <w:color w:val="auto"/>
        </w:rPr>
      </w:pPr>
    </w:p>
    <w:p>
      <w:pPr>
        <w:ind w:left="8500"/>
        <w:spacing w:after="0"/>
        <w:rPr>
          <w:sz w:val="20"/>
          <w:szCs w:val="20"/>
          <w:color w:val="auto"/>
        </w:rPr>
      </w:pPr>
      <w:r>
        <w:rPr>
          <w:rFonts w:ascii="Arial" w:cs="Arial" w:eastAsia="Arial" w:hAnsi="Arial"/>
          <w:sz w:val="16"/>
          <w:szCs w:val="16"/>
          <w:color w:val="auto"/>
        </w:rPr>
        <w:t>/s/ ANDREW P. SWIGER</w:t>
      </w:r>
    </w:p>
    <w:p>
      <w:pPr>
        <w:spacing w:after="0" w:line="24" w:lineRule="exact"/>
        <w:rPr>
          <w:sz w:val="20"/>
          <w:szCs w:val="20"/>
          <w:color w:val="auto"/>
        </w:rPr>
      </w:pPr>
    </w:p>
    <w:p>
      <w:pPr>
        <w:ind w:left="8800"/>
        <w:spacing w:after="0"/>
        <w:rPr>
          <w:sz w:val="20"/>
          <w:szCs w:val="20"/>
          <w:color w:val="auto"/>
        </w:rPr>
      </w:pPr>
      <w:r>
        <w:rPr>
          <w:rFonts w:ascii="Arial" w:cs="Arial" w:eastAsia="Arial" w:hAnsi="Arial"/>
          <w:sz w:val="16"/>
          <w:szCs w:val="16"/>
          <w:color w:val="auto"/>
        </w:rPr>
        <w:t>Andrew P. Swiger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4656455</wp:posOffset>
            </wp:positionH>
            <wp:positionV relativeFrom="paragraph">
              <wp:posOffset>-116205</wp:posOffset>
            </wp:positionV>
            <wp:extent cx="2290445"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290445" cy="7620"/>
                    </a:xfrm>
                    <a:prstGeom prst="rect">
                      <a:avLst/>
                    </a:prstGeom>
                    <a:noFill/>
                  </pic:spPr>
                </pic:pic>
              </a:graphicData>
            </a:graphic>
          </wp:anchor>
        </w:drawing>
      </w:r>
    </w:p>
    <w:p>
      <w:pPr>
        <w:spacing w:after="0" w:line="4" w:lineRule="exact"/>
        <w:rPr>
          <w:sz w:val="20"/>
          <w:szCs w:val="20"/>
          <w:color w:val="auto"/>
        </w:rPr>
      </w:pPr>
    </w:p>
    <w:p>
      <w:pPr>
        <w:jc w:val="center"/>
        <w:ind w:left="8520"/>
        <w:spacing w:after="0"/>
        <w:rPr>
          <w:sz w:val="20"/>
          <w:szCs w:val="20"/>
          <w:color w:val="auto"/>
        </w:rPr>
      </w:pPr>
      <w:r>
        <w:rPr>
          <w:rFonts w:ascii="Arial" w:cs="Arial" w:eastAsia="Arial" w:hAnsi="Arial"/>
          <w:sz w:val="16"/>
          <w:szCs w:val="16"/>
          <w:color w:val="auto"/>
        </w:rPr>
        <w:t>Senior Vice President</w:t>
      </w:r>
    </w:p>
    <w:p>
      <w:pPr>
        <w:spacing w:after="0" w:line="12" w:lineRule="exact"/>
        <w:rPr>
          <w:sz w:val="20"/>
          <w:szCs w:val="20"/>
          <w:color w:val="auto"/>
        </w:rPr>
      </w:pPr>
    </w:p>
    <w:p>
      <w:pPr>
        <w:jc w:val="center"/>
        <w:ind w:left="8520"/>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791845</wp:posOffset>
            </wp:positionV>
            <wp:extent cx="7279640" cy="203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1103" w:right="139" w:bottom="1440" w:gutter="0" w:footer="0" w:header="0"/>
        </w:sectPr>
      </w:pPr>
    </w:p>
    <w:bookmarkStart w:id="143" w:name="page144"/>
    <w:bookmarkEnd w:id="143"/>
    <w:p>
      <w:pPr>
        <w:ind w:left="10420"/>
        <w:spacing w:after="0"/>
        <w:rPr>
          <w:sz w:val="20"/>
          <w:szCs w:val="20"/>
          <w:color w:val="auto"/>
        </w:rPr>
      </w:pPr>
      <w:r>
        <w:rPr>
          <w:rFonts w:ascii="Arial" w:cs="Arial" w:eastAsia="Arial" w:hAnsi="Arial"/>
          <w:sz w:val="16"/>
          <w:szCs w:val="16"/>
          <w:b w:val="1"/>
          <w:bCs w:val="1"/>
          <w:color w:val="auto"/>
        </w:rPr>
        <w:t>EXHIB</w:t>
      </w:r>
    </w:p>
    <w:p>
      <w:pPr>
        <w:spacing w:after="0" w:line="208" w:lineRule="exact"/>
        <w:rPr>
          <w:sz w:val="20"/>
          <w:szCs w:val="20"/>
          <w:color w:val="auto"/>
        </w:rPr>
      </w:pPr>
    </w:p>
    <w:p>
      <w:pPr>
        <w:jc w:val="center"/>
        <w:ind w:left="1180"/>
        <w:spacing w:after="0"/>
        <w:rPr>
          <w:sz w:val="20"/>
          <w:szCs w:val="20"/>
          <w:color w:val="auto"/>
        </w:rPr>
      </w:pPr>
      <w:r>
        <w:rPr>
          <w:rFonts w:ascii="Arial" w:cs="Arial" w:eastAsia="Arial" w:hAnsi="Arial"/>
          <w:sz w:val="16"/>
          <w:szCs w:val="16"/>
          <w:b w:val="1"/>
          <w:bCs w:val="1"/>
          <w:color w:val="auto"/>
        </w:rPr>
        <w:t>Certification by David S. Rosenthal</w:t>
      </w:r>
    </w:p>
    <w:p>
      <w:pPr>
        <w:spacing w:after="0" w:line="28" w:lineRule="exact"/>
        <w:rPr>
          <w:sz w:val="20"/>
          <w:szCs w:val="20"/>
          <w:color w:val="auto"/>
        </w:rPr>
      </w:pPr>
    </w:p>
    <w:p>
      <w:pPr>
        <w:jc w:val="center"/>
        <w:ind w:left="1140"/>
        <w:spacing w:after="0"/>
        <w:rPr>
          <w:sz w:val="20"/>
          <w:szCs w:val="20"/>
          <w:color w:val="auto"/>
        </w:rPr>
      </w:pPr>
      <w:r>
        <w:rPr>
          <w:rFonts w:ascii="Arial" w:cs="Arial" w:eastAsia="Arial" w:hAnsi="Arial"/>
          <w:sz w:val="16"/>
          <w:szCs w:val="16"/>
          <w:b w:val="1"/>
          <w:bCs w:val="1"/>
          <w:color w:val="auto"/>
        </w:rPr>
        <w:t>Pursuant to Securities Exchange Act Rule 13a-14(a)</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I, David S. Rosenthal, certify that:</w:t>
      </w:r>
    </w:p>
    <w:p>
      <w:pPr>
        <w:spacing w:after="0" w:line="208" w:lineRule="exact"/>
        <w:rPr>
          <w:sz w:val="20"/>
          <w:szCs w:val="20"/>
          <w:color w:val="auto"/>
        </w:rPr>
      </w:pPr>
    </w:p>
    <w:p>
      <w:pPr>
        <w:ind w:left="620" w:hanging="320"/>
        <w:spacing w:after="0"/>
        <w:tabs>
          <w:tab w:leader="none" w:pos="6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Exxon Mobil Corporation;</w:t>
      </w:r>
    </w:p>
    <w:p>
      <w:pPr>
        <w:spacing w:after="0" w:line="208" w:lineRule="exact"/>
        <w:rPr>
          <w:rFonts w:ascii="Arial" w:cs="Arial" w:eastAsia="Arial" w:hAnsi="Arial"/>
          <w:sz w:val="16"/>
          <w:szCs w:val="16"/>
          <w:color w:val="auto"/>
        </w:rPr>
      </w:pPr>
    </w:p>
    <w:p>
      <w:pPr>
        <w:ind w:left="600" w:hanging="300"/>
        <w:spacing w:after="0" w:line="321" w:lineRule="auto"/>
        <w:tabs>
          <w:tab w:leader="none" w:pos="653" w:val="left"/>
        </w:tabs>
        <w:numPr>
          <w:ilvl w:val="0"/>
          <w:numId w:val="1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 in light of the circumstances under which such statements were made, not misleading with respect to the period covered by this report;</w:t>
      </w:r>
    </w:p>
    <w:p>
      <w:pPr>
        <w:spacing w:after="0" w:line="126" w:lineRule="exact"/>
        <w:rPr>
          <w:rFonts w:ascii="Arial" w:cs="Arial" w:eastAsia="Arial" w:hAnsi="Arial"/>
          <w:sz w:val="15"/>
          <w:szCs w:val="15"/>
          <w:color w:val="auto"/>
        </w:rPr>
      </w:pPr>
    </w:p>
    <w:p>
      <w:pPr>
        <w:ind w:left="600" w:hanging="300"/>
        <w:spacing w:after="0" w:line="286" w:lineRule="auto"/>
        <w:tabs>
          <w:tab w:leader="none" w:pos="78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 condition, results of operations and cash flows of the registrant as of, and for, the periods presented in this report;</w:t>
      </w:r>
    </w:p>
    <w:p>
      <w:pPr>
        <w:spacing w:after="0" w:line="149" w:lineRule="exact"/>
        <w:rPr>
          <w:rFonts w:ascii="Arial" w:cs="Arial" w:eastAsia="Arial" w:hAnsi="Arial"/>
          <w:sz w:val="16"/>
          <w:szCs w:val="16"/>
          <w:color w:val="auto"/>
        </w:rPr>
      </w:pPr>
    </w:p>
    <w:p>
      <w:pPr>
        <w:ind w:left="640" w:hanging="340"/>
        <w:spacing w:after="0"/>
        <w:tabs>
          <w:tab w:leader="none" w:pos="6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w:t>
      </w:r>
    </w:p>
    <w:p>
      <w:pPr>
        <w:spacing w:after="0" w:line="46" w:lineRule="exact"/>
        <w:rPr>
          <w:rFonts w:ascii="Arial" w:cs="Arial" w:eastAsia="Arial" w:hAnsi="Arial"/>
          <w:sz w:val="14"/>
          <w:szCs w:val="14"/>
          <w:color w:val="auto"/>
        </w:rPr>
      </w:pPr>
    </w:p>
    <w:p>
      <w:pPr>
        <w:ind w:left="600"/>
        <w:spacing w:after="0"/>
        <w:rPr>
          <w:rFonts w:ascii="Arial" w:cs="Arial" w:eastAsia="Arial" w:hAnsi="Arial"/>
          <w:sz w:val="14"/>
          <w:szCs w:val="14"/>
          <w:color w:val="auto"/>
        </w:rPr>
      </w:pPr>
      <w:r>
        <w:rPr>
          <w:rFonts w:ascii="Arial" w:cs="Arial" w:eastAsia="Arial" w:hAnsi="Arial"/>
          <w:sz w:val="14"/>
          <w:szCs w:val="14"/>
          <w:color w:val="auto"/>
        </w:rPr>
        <w:t>13a-15(e) and 15d-15(e)) and internal control over financial reporting (as defined in Exchange Act Rules 13a-15(f) and 15d-15(f)) for the registrant and have:</w:t>
      </w:r>
    </w:p>
    <w:p>
      <w:pPr>
        <w:spacing w:after="0" w:line="219" w:lineRule="exact"/>
        <w:rPr>
          <w:rFonts w:ascii="Arial" w:cs="Arial" w:eastAsia="Arial" w:hAnsi="Arial"/>
          <w:sz w:val="14"/>
          <w:szCs w:val="14"/>
          <w:color w:val="auto"/>
        </w:rPr>
      </w:pPr>
    </w:p>
    <w:p>
      <w:pPr>
        <w:jc w:val="both"/>
        <w:ind w:left="880" w:right="20" w:hanging="286"/>
        <w:spacing w:after="0" w:line="271" w:lineRule="auto"/>
        <w:tabs>
          <w:tab w:leader="none" w:pos="996" w:val="left"/>
        </w:tabs>
        <w:numPr>
          <w:ilvl w:val="1"/>
          <w:numId w:val="1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 material information relating to the registrant, including its consolidated subsidiaries, is made known to us by others within those entities, particularly du period in which this report is being prepared;</w:t>
      </w:r>
    </w:p>
    <w:p>
      <w:pPr>
        <w:spacing w:after="0" w:line="160" w:lineRule="exact"/>
        <w:rPr>
          <w:rFonts w:ascii="Arial" w:cs="Arial" w:eastAsia="Arial" w:hAnsi="Arial"/>
          <w:sz w:val="16"/>
          <w:szCs w:val="16"/>
          <w:color w:val="auto"/>
        </w:rPr>
      </w:pPr>
    </w:p>
    <w:p>
      <w:pPr>
        <w:jc w:val="both"/>
        <w:ind w:left="880" w:right="40" w:hanging="286"/>
        <w:spacing w:after="0" w:line="271" w:lineRule="auto"/>
        <w:tabs>
          <w:tab w:leader="none" w:pos="919" w:val="left"/>
        </w:tabs>
        <w:numPr>
          <w:ilvl w:val="1"/>
          <w:numId w:val="1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reasonable assurance regarding the reliability of financial reporting and the preparation of financial statements for external purposes in accordance with g accepted accounting principles;</w:t>
      </w:r>
    </w:p>
    <w:p>
      <w:pPr>
        <w:spacing w:after="0" w:line="160" w:lineRule="exact"/>
        <w:rPr>
          <w:rFonts w:ascii="Arial" w:cs="Arial" w:eastAsia="Arial" w:hAnsi="Arial"/>
          <w:sz w:val="16"/>
          <w:szCs w:val="16"/>
          <w:color w:val="auto"/>
        </w:rPr>
      </w:pPr>
    </w:p>
    <w:p>
      <w:pPr>
        <w:ind w:left="880" w:right="20" w:hanging="286"/>
        <w:spacing w:after="0" w:line="286" w:lineRule="auto"/>
        <w:tabs>
          <w:tab w:leader="none" w:pos="983" w:val="left"/>
        </w:tabs>
        <w:numPr>
          <w:ilvl w:val="1"/>
          <w:numId w:val="1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 disclosure controls and procedures, as of the end of the period covered by this report based on such evaluation; and</w:t>
      </w:r>
    </w:p>
    <w:p>
      <w:pPr>
        <w:spacing w:after="0" w:line="149" w:lineRule="exact"/>
        <w:rPr>
          <w:rFonts w:ascii="Arial" w:cs="Arial" w:eastAsia="Arial" w:hAnsi="Arial"/>
          <w:sz w:val="16"/>
          <w:szCs w:val="16"/>
          <w:color w:val="auto"/>
        </w:rPr>
      </w:pPr>
    </w:p>
    <w:p>
      <w:pPr>
        <w:jc w:val="both"/>
        <w:ind w:left="880" w:hanging="286"/>
        <w:spacing w:after="0" w:line="271" w:lineRule="auto"/>
        <w:tabs>
          <w:tab w:leader="none" w:pos="931" w:val="left"/>
        </w:tabs>
        <w:numPr>
          <w:ilvl w:val="1"/>
          <w:numId w:val="1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 registrant's fourth fiscal quarter in the case of an annual report) that has materially affected, or is reasonably likely to materially affect, the registrant's control over financial reporting; and</w:t>
      </w:r>
    </w:p>
    <w:p>
      <w:pPr>
        <w:spacing w:after="0" w:line="160" w:lineRule="exact"/>
        <w:rPr>
          <w:rFonts w:ascii="Arial" w:cs="Arial" w:eastAsia="Arial" w:hAnsi="Arial"/>
          <w:sz w:val="16"/>
          <w:szCs w:val="16"/>
          <w:color w:val="auto"/>
        </w:rPr>
      </w:pPr>
    </w:p>
    <w:p>
      <w:pPr>
        <w:ind w:left="600" w:right="20" w:hanging="300"/>
        <w:spacing w:after="0" w:line="286" w:lineRule="auto"/>
        <w:tabs>
          <w:tab w:leader="none" w:pos="714"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 auditors and the audit committee of the registrant's board of directors (or persons performing the equivalent functions):</w:t>
      </w:r>
    </w:p>
    <w:p>
      <w:pPr>
        <w:spacing w:after="0" w:line="149" w:lineRule="exact"/>
        <w:rPr>
          <w:rFonts w:ascii="Arial" w:cs="Arial" w:eastAsia="Arial" w:hAnsi="Arial"/>
          <w:sz w:val="16"/>
          <w:szCs w:val="16"/>
          <w:color w:val="auto"/>
        </w:rPr>
      </w:pPr>
    </w:p>
    <w:p>
      <w:pPr>
        <w:ind w:left="880" w:hanging="286"/>
        <w:spacing w:after="0" w:line="286" w:lineRule="auto"/>
        <w:tabs>
          <w:tab w:leader="none" w:pos="102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 adversely affect the registrant's ability to record, process, summarize and report financial information; and</w:t>
      </w:r>
    </w:p>
    <w:p>
      <w:pPr>
        <w:spacing w:after="0" w:line="149" w:lineRule="exact"/>
        <w:rPr>
          <w:rFonts w:ascii="Arial" w:cs="Arial" w:eastAsia="Arial" w:hAnsi="Arial"/>
          <w:sz w:val="16"/>
          <w:szCs w:val="16"/>
          <w:color w:val="auto"/>
        </w:rPr>
      </w:pPr>
    </w:p>
    <w:p>
      <w:pPr>
        <w:ind w:left="880" w:hanging="286"/>
        <w:spacing w:after="0" w:line="286" w:lineRule="auto"/>
        <w:tabs>
          <w:tab w:leader="none" w:pos="944"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 reporting.</w:t>
      </w:r>
    </w:p>
    <w:p>
      <w:pPr>
        <w:spacing w:after="0" w:line="34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Date: February 25, 2015</w:t>
      </w:r>
    </w:p>
    <w:p>
      <w:pPr>
        <w:spacing w:after="0" w:line="184"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/s/ DAVID S. ROSENTHAL</w:t>
      </w:r>
    </w:p>
    <w:p>
      <w:pPr>
        <w:spacing w:after="0" w:line="110" w:lineRule="exact"/>
        <w:rPr>
          <w:sz w:val="20"/>
          <w:szCs w:val="20"/>
          <w:color w:val="auto"/>
        </w:rPr>
      </w:pPr>
    </w:p>
    <w:p>
      <w:pPr>
        <w:ind w:left="8760"/>
        <w:spacing w:after="0"/>
        <w:rPr>
          <w:sz w:val="20"/>
          <w:szCs w:val="20"/>
          <w:color w:val="auto"/>
        </w:rPr>
      </w:pPr>
      <w:r>
        <w:rPr>
          <w:rFonts w:ascii="Arial" w:cs="Arial" w:eastAsia="Arial" w:hAnsi="Arial"/>
          <w:sz w:val="16"/>
          <w:szCs w:val="16"/>
          <w:color w:val="auto"/>
        </w:rPr>
        <w:t>David S.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4656455</wp:posOffset>
            </wp:positionH>
            <wp:positionV relativeFrom="paragraph">
              <wp:posOffset>-116205</wp:posOffset>
            </wp:positionV>
            <wp:extent cx="2290445"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290445" cy="7620"/>
                    </a:xfrm>
                    <a:prstGeom prst="rect">
                      <a:avLst/>
                    </a:prstGeom>
                    <a:noFill/>
                  </pic:spPr>
                </pic:pic>
              </a:graphicData>
            </a:graphic>
          </wp:anchor>
        </w:drawing>
      </w:r>
    </w:p>
    <w:p>
      <w:pPr>
        <w:spacing w:after="0" w:line="4"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Vice President and Controller</w:t>
      </w:r>
    </w:p>
    <w:p>
      <w:pPr>
        <w:spacing w:after="0" w:line="24" w:lineRule="exact"/>
        <w:rPr>
          <w:sz w:val="20"/>
          <w:szCs w:val="20"/>
          <w:color w:val="auto"/>
        </w:rPr>
      </w:pPr>
    </w:p>
    <w:p>
      <w:pPr>
        <w:ind w:left="8380"/>
        <w:spacing w:after="0"/>
        <w:rPr>
          <w:sz w:val="20"/>
          <w:szCs w:val="20"/>
          <w:color w:val="auto"/>
        </w:rPr>
      </w:pPr>
      <w:r>
        <w:rPr>
          <w:rFonts w:ascii="Arial" w:cs="Arial" w:eastAsia="Arial" w:hAnsi="Arial"/>
          <w:sz w:val="16"/>
          <w:szCs w:val="16"/>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814705</wp:posOffset>
            </wp:positionV>
            <wp:extent cx="7279640" cy="203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1103" w:right="139" w:bottom="1440" w:gutter="0" w:footer="0" w:header="0"/>
        </w:sectPr>
      </w:pPr>
    </w:p>
    <w:bookmarkStart w:id="144" w:name="page145"/>
    <w:bookmarkEnd w:id="144"/>
    <w:p>
      <w:pPr>
        <w:ind w:left="10420"/>
        <w:spacing w:after="0"/>
        <w:rPr>
          <w:sz w:val="20"/>
          <w:szCs w:val="20"/>
          <w:color w:val="auto"/>
        </w:rPr>
      </w:pPr>
      <w:r>
        <w:rPr>
          <w:rFonts w:ascii="Arial" w:cs="Arial" w:eastAsia="Arial" w:hAnsi="Arial"/>
          <w:sz w:val="16"/>
          <w:szCs w:val="16"/>
          <w:b w:val="1"/>
          <w:bCs w:val="1"/>
          <w:color w:val="auto"/>
        </w:rPr>
        <w:t>EXHIB</w:t>
      </w:r>
    </w:p>
    <w:p>
      <w:pPr>
        <w:spacing w:after="0" w:line="200" w:lineRule="exact"/>
        <w:rPr>
          <w:sz w:val="20"/>
          <w:szCs w:val="20"/>
          <w:color w:val="auto"/>
        </w:rPr>
      </w:pPr>
    </w:p>
    <w:p>
      <w:pPr>
        <w:spacing w:after="0" w:line="204" w:lineRule="exact"/>
        <w:rPr>
          <w:sz w:val="20"/>
          <w:szCs w:val="20"/>
          <w:color w:val="auto"/>
        </w:rPr>
      </w:pPr>
    </w:p>
    <w:p>
      <w:pPr>
        <w:jc w:val="center"/>
        <w:ind w:left="1180"/>
        <w:spacing w:after="0"/>
        <w:rPr>
          <w:sz w:val="20"/>
          <w:szCs w:val="20"/>
          <w:color w:val="auto"/>
        </w:rPr>
      </w:pPr>
      <w:r>
        <w:rPr>
          <w:rFonts w:ascii="Arial" w:cs="Arial" w:eastAsia="Arial" w:hAnsi="Arial"/>
          <w:sz w:val="16"/>
          <w:szCs w:val="16"/>
          <w:b w:val="1"/>
          <w:bCs w:val="1"/>
          <w:color w:val="auto"/>
        </w:rPr>
        <w:t>Certification of Periodic Financial Report</w:t>
      </w:r>
    </w:p>
    <w:p>
      <w:pPr>
        <w:spacing w:after="0" w:line="28" w:lineRule="exact"/>
        <w:rPr>
          <w:sz w:val="20"/>
          <w:szCs w:val="20"/>
          <w:color w:val="auto"/>
        </w:rPr>
      </w:pPr>
    </w:p>
    <w:p>
      <w:pPr>
        <w:jc w:val="center"/>
        <w:ind w:left="1180"/>
        <w:spacing w:after="0"/>
        <w:rPr>
          <w:sz w:val="20"/>
          <w:szCs w:val="20"/>
          <w:color w:val="auto"/>
        </w:rPr>
      </w:pPr>
      <w:r>
        <w:rPr>
          <w:rFonts w:ascii="Arial" w:cs="Arial" w:eastAsia="Arial" w:hAnsi="Arial"/>
          <w:sz w:val="16"/>
          <w:szCs w:val="16"/>
          <w:b w:val="1"/>
          <w:bCs w:val="1"/>
          <w:color w:val="auto"/>
        </w:rPr>
        <w:t>Pursuant to 18 U.S.C. Section 1350</w:t>
      </w:r>
    </w:p>
    <w:p>
      <w:pPr>
        <w:spacing w:after="0" w:line="197" w:lineRule="exact"/>
        <w:rPr>
          <w:sz w:val="20"/>
          <w:szCs w:val="20"/>
          <w:color w:val="auto"/>
        </w:rPr>
      </w:pPr>
    </w:p>
    <w:p>
      <w:pPr>
        <w:ind w:firstLine="370"/>
        <w:spacing w:after="0" w:line="286"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Rex W. Tillerson, the chief ex officer of Exxon Mobil Corporation (the “Company”), hereby certifies that, to his knowledge:</w:t>
      </w:r>
    </w:p>
    <w:p>
      <w:pPr>
        <w:spacing w:after="0" w:line="150" w:lineRule="exact"/>
        <w:rPr>
          <w:sz w:val="20"/>
          <w:szCs w:val="20"/>
          <w:color w:val="auto"/>
        </w:rPr>
      </w:pPr>
    </w:p>
    <w:p>
      <w:pPr>
        <w:ind w:left="300" w:right="20" w:hanging="294"/>
        <w:spacing w:after="0" w:line="286" w:lineRule="auto"/>
        <w:tabs>
          <w:tab w:leader="none" w:pos="37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2014, as filed with the Securities and Exchange Commission on the date her “Report”) fully complies with the requirements of section 13(a) or 15(d) of the Securities Exchange Act of 1934; and</w:t>
      </w:r>
    </w:p>
    <w:p>
      <w:pPr>
        <w:spacing w:after="0" w:line="149" w:lineRule="exact"/>
        <w:rPr>
          <w:rFonts w:ascii="Arial" w:cs="Arial" w:eastAsia="Arial" w:hAnsi="Arial"/>
          <w:sz w:val="16"/>
          <w:szCs w:val="16"/>
          <w:color w:val="auto"/>
        </w:rPr>
      </w:pPr>
    </w:p>
    <w:p>
      <w:pPr>
        <w:ind w:left="340" w:hanging="334"/>
        <w:spacing w:after="0"/>
        <w:tabs>
          <w:tab w:leader="none" w:pos="3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40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Date: February 25, 2015</w:t>
      </w:r>
    </w:p>
    <w:p>
      <w:pPr>
        <w:spacing w:after="0" w:line="200" w:lineRule="exact"/>
        <w:rPr>
          <w:sz w:val="20"/>
          <w:szCs w:val="20"/>
          <w:color w:val="auto"/>
        </w:rPr>
      </w:pPr>
    </w:p>
    <w:p>
      <w:pPr>
        <w:spacing w:after="0" w:line="204" w:lineRule="exact"/>
        <w:rPr>
          <w:sz w:val="20"/>
          <w:szCs w:val="20"/>
          <w:color w:val="auto"/>
        </w:rPr>
      </w:pPr>
    </w:p>
    <w:p>
      <w:pPr>
        <w:jc w:val="center"/>
        <w:ind w:left="8160"/>
        <w:spacing w:after="0"/>
        <w:rPr>
          <w:sz w:val="20"/>
          <w:szCs w:val="20"/>
          <w:color w:val="auto"/>
        </w:rPr>
      </w:pPr>
      <w:r>
        <w:rPr>
          <w:rFonts w:ascii="Arial" w:cs="Arial" w:eastAsia="Arial" w:hAnsi="Arial"/>
          <w:sz w:val="16"/>
          <w:szCs w:val="16"/>
          <w:color w:val="auto"/>
        </w:rPr>
        <w:t>/s/ REX W. TILLERSON</w:t>
      </w:r>
    </w:p>
    <w:p>
      <w:pPr>
        <w:spacing w:after="0" w:line="24" w:lineRule="exact"/>
        <w:rPr>
          <w:sz w:val="20"/>
          <w:szCs w:val="20"/>
          <w:color w:val="auto"/>
        </w:rPr>
      </w:pPr>
    </w:p>
    <w:p>
      <w:pPr>
        <w:jc w:val="center"/>
        <w:ind w:left="8160"/>
        <w:spacing w:after="0"/>
        <w:rPr>
          <w:sz w:val="20"/>
          <w:szCs w:val="20"/>
          <w:color w:val="auto"/>
        </w:rPr>
      </w:pPr>
      <w:r>
        <w:rPr>
          <w:rFonts w:ascii="Arial" w:cs="Arial" w:eastAsia="Arial" w:hAnsi="Arial"/>
          <w:sz w:val="16"/>
          <w:szCs w:val="16"/>
          <w:color w:val="auto"/>
        </w:rPr>
        <w:t>Rex W. Tillerson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-116205</wp:posOffset>
            </wp:positionV>
            <wp:extent cx="236791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367915" cy="7620"/>
                    </a:xfrm>
                    <a:prstGeom prst="rect">
                      <a:avLst/>
                    </a:prstGeom>
                    <a:noFill/>
                  </pic:spPr>
                </pic:pic>
              </a:graphicData>
            </a:graphic>
          </wp:anchor>
        </w:drawing>
      </w:r>
    </w:p>
    <w:p>
      <w:pPr>
        <w:spacing w:after="0" w:line="139" w:lineRule="exact"/>
        <w:rPr>
          <w:sz w:val="20"/>
          <w:szCs w:val="20"/>
          <w:color w:val="auto"/>
        </w:rPr>
      </w:pPr>
    </w:p>
    <w:p>
      <w:pPr>
        <w:ind w:left="8440"/>
        <w:spacing w:after="0"/>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Exxon Mobil Corporation and will be retained by Exxon Mobil Corporat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535940</wp:posOffset>
            </wp:positionV>
            <wp:extent cx="7279640" cy="203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1103" w:right="139" w:bottom="1440" w:gutter="0" w:footer="0" w:header="0"/>
        </w:sectPr>
      </w:pPr>
    </w:p>
    <w:bookmarkStart w:id="145" w:name="page146"/>
    <w:bookmarkEnd w:id="145"/>
    <w:p>
      <w:pPr>
        <w:ind w:left="10420"/>
        <w:spacing w:after="0"/>
        <w:rPr>
          <w:sz w:val="20"/>
          <w:szCs w:val="20"/>
          <w:color w:val="auto"/>
        </w:rPr>
      </w:pPr>
      <w:r>
        <w:rPr>
          <w:rFonts w:ascii="Arial" w:cs="Arial" w:eastAsia="Arial" w:hAnsi="Arial"/>
          <w:sz w:val="16"/>
          <w:szCs w:val="16"/>
          <w:b w:val="1"/>
          <w:bCs w:val="1"/>
          <w:color w:val="auto"/>
        </w:rPr>
        <w:t>EXHIB</w:t>
      </w:r>
    </w:p>
    <w:p>
      <w:pPr>
        <w:spacing w:after="0" w:line="200" w:lineRule="exact"/>
        <w:rPr>
          <w:sz w:val="20"/>
          <w:szCs w:val="20"/>
          <w:color w:val="auto"/>
        </w:rPr>
      </w:pPr>
    </w:p>
    <w:p>
      <w:pPr>
        <w:spacing w:after="0" w:line="204" w:lineRule="exact"/>
        <w:rPr>
          <w:sz w:val="20"/>
          <w:szCs w:val="20"/>
          <w:color w:val="auto"/>
        </w:rPr>
      </w:pPr>
    </w:p>
    <w:p>
      <w:pPr>
        <w:jc w:val="center"/>
        <w:ind w:left="1180"/>
        <w:spacing w:after="0"/>
        <w:rPr>
          <w:sz w:val="20"/>
          <w:szCs w:val="20"/>
          <w:color w:val="auto"/>
        </w:rPr>
      </w:pPr>
      <w:r>
        <w:rPr>
          <w:rFonts w:ascii="Arial" w:cs="Arial" w:eastAsia="Arial" w:hAnsi="Arial"/>
          <w:sz w:val="16"/>
          <w:szCs w:val="16"/>
          <w:b w:val="1"/>
          <w:bCs w:val="1"/>
          <w:color w:val="auto"/>
        </w:rPr>
        <w:t>Certification of Periodic Financial Report</w:t>
      </w:r>
    </w:p>
    <w:p>
      <w:pPr>
        <w:spacing w:after="0" w:line="28" w:lineRule="exact"/>
        <w:rPr>
          <w:sz w:val="20"/>
          <w:szCs w:val="20"/>
          <w:color w:val="auto"/>
        </w:rPr>
      </w:pPr>
    </w:p>
    <w:p>
      <w:pPr>
        <w:jc w:val="center"/>
        <w:ind w:left="1180"/>
        <w:spacing w:after="0"/>
        <w:rPr>
          <w:sz w:val="20"/>
          <w:szCs w:val="20"/>
          <w:color w:val="auto"/>
        </w:rPr>
      </w:pPr>
      <w:r>
        <w:rPr>
          <w:rFonts w:ascii="Arial" w:cs="Arial" w:eastAsia="Arial" w:hAnsi="Arial"/>
          <w:sz w:val="16"/>
          <w:szCs w:val="16"/>
          <w:b w:val="1"/>
          <w:bCs w:val="1"/>
          <w:color w:val="auto"/>
        </w:rPr>
        <w:t>Pursuant to 18 U.S.C. Section 1350</w:t>
      </w:r>
    </w:p>
    <w:p>
      <w:pPr>
        <w:spacing w:after="0" w:line="197" w:lineRule="exact"/>
        <w:rPr>
          <w:sz w:val="20"/>
          <w:szCs w:val="20"/>
          <w:color w:val="auto"/>
        </w:rPr>
      </w:pPr>
    </w:p>
    <w:p>
      <w:pPr>
        <w:ind w:firstLine="457"/>
        <w:spacing w:after="0" w:line="286"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Andrew P. Swiger, the p financial officer of Exxon Mobil Corporation (the “Company”), hereby certifies that, to his knowledge:</w:t>
      </w:r>
    </w:p>
    <w:p>
      <w:pPr>
        <w:spacing w:after="0" w:line="150" w:lineRule="exact"/>
        <w:rPr>
          <w:sz w:val="20"/>
          <w:szCs w:val="20"/>
          <w:color w:val="auto"/>
        </w:rPr>
      </w:pPr>
    </w:p>
    <w:p>
      <w:pPr>
        <w:ind w:left="300" w:right="20" w:hanging="294"/>
        <w:spacing w:after="0" w:line="286" w:lineRule="auto"/>
        <w:tabs>
          <w:tab w:leader="none" w:pos="372"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2014, as filed with the Securities and Exchange Commission on the date her “Report”) fully complies with the requirements of section 13(a) or 15(d) of the Securities Exchange Act of 1934; and</w:t>
      </w:r>
    </w:p>
    <w:p>
      <w:pPr>
        <w:spacing w:after="0" w:line="149" w:lineRule="exact"/>
        <w:rPr>
          <w:rFonts w:ascii="Arial" w:cs="Arial" w:eastAsia="Arial" w:hAnsi="Arial"/>
          <w:sz w:val="16"/>
          <w:szCs w:val="16"/>
          <w:color w:val="auto"/>
        </w:rPr>
      </w:pPr>
    </w:p>
    <w:p>
      <w:pPr>
        <w:ind w:left="340" w:hanging="334"/>
        <w:spacing w:after="0"/>
        <w:tabs>
          <w:tab w:leader="none" w:pos="3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40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Date: February 25, 2015</w:t>
      </w:r>
    </w:p>
    <w:p>
      <w:pPr>
        <w:spacing w:after="0" w:line="367" w:lineRule="exact"/>
        <w:rPr>
          <w:sz w:val="20"/>
          <w:szCs w:val="20"/>
          <w:color w:val="auto"/>
        </w:rPr>
      </w:pPr>
    </w:p>
    <w:p>
      <w:pPr>
        <w:ind w:left="8500"/>
        <w:spacing w:after="0"/>
        <w:rPr>
          <w:sz w:val="20"/>
          <w:szCs w:val="20"/>
          <w:color w:val="auto"/>
        </w:rPr>
      </w:pPr>
      <w:r>
        <w:rPr>
          <w:rFonts w:ascii="Arial" w:cs="Arial" w:eastAsia="Arial" w:hAnsi="Arial"/>
          <w:sz w:val="16"/>
          <w:szCs w:val="16"/>
          <w:color w:val="auto"/>
        </w:rPr>
        <w:t>/s/ ANDREW P. SWIGER</w:t>
      </w:r>
    </w:p>
    <w:p>
      <w:pPr>
        <w:spacing w:after="0" w:line="147" w:lineRule="exact"/>
        <w:rPr>
          <w:sz w:val="20"/>
          <w:szCs w:val="20"/>
          <w:color w:val="auto"/>
        </w:rPr>
      </w:pPr>
    </w:p>
    <w:p>
      <w:pPr>
        <w:ind w:left="8800"/>
        <w:spacing w:after="0"/>
        <w:rPr>
          <w:sz w:val="20"/>
          <w:szCs w:val="20"/>
          <w:color w:val="auto"/>
        </w:rPr>
      </w:pPr>
      <w:r>
        <w:rPr>
          <w:rFonts w:ascii="Arial" w:cs="Arial" w:eastAsia="Arial" w:hAnsi="Arial"/>
          <w:sz w:val="16"/>
          <w:szCs w:val="16"/>
          <w:color w:val="auto"/>
        </w:rPr>
        <w:t>Andrew P. Swiger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4656455</wp:posOffset>
            </wp:positionH>
            <wp:positionV relativeFrom="paragraph">
              <wp:posOffset>-116205</wp:posOffset>
            </wp:positionV>
            <wp:extent cx="229044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290445" cy="7620"/>
                    </a:xfrm>
                    <a:prstGeom prst="rect">
                      <a:avLst/>
                    </a:prstGeom>
                    <a:noFill/>
                  </pic:spPr>
                </pic:pic>
              </a:graphicData>
            </a:graphic>
          </wp:anchor>
        </w:drawing>
      </w:r>
    </w:p>
    <w:p>
      <w:pPr>
        <w:spacing w:after="0" w:line="4" w:lineRule="exact"/>
        <w:rPr>
          <w:sz w:val="20"/>
          <w:szCs w:val="20"/>
          <w:color w:val="auto"/>
        </w:rPr>
      </w:pPr>
    </w:p>
    <w:p>
      <w:pPr>
        <w:jc w:val="center"/>
        <w:ind w:left="8520"/>
        <w:spacing w:after="0"/>
        <w:rPr>
          <w:sz w:val="20"/>
          <w:szCs w:val="20"/>
          <w:color w:val="auto"/>
        </w:rPr>
      </w:pPr>
      <w:r>
        <w:rPr>
          <w:rFonts w:ascii="Arial" w:cs="Arial" w:eastAsia="Arial" w:hAnsi="Arial"/>
          <w:sz w:val="16"/>
          <w:szCs w:val="16"/>
          <w:color w:val="auto"/>
        </w:rPr>
        <w:t>Senior Vice President</w:t>
      </w:r>
    </w:p>
    <w:p>
      <w:pPr>
        <w:spacing w:after="0" w:line="25" w:lineRule="exact"/>
        <w:rPr>
          <w:sz w:val="20"/>
          <w:szCs w:val="20"/>
          <w:color w:val="auto"/>
        </w:rPr>
      </w:pPr>
    </w:p>
    <w:p>
      <w:pPr>
        <w:jc w:val="center"/>
        <w:ind w:left="852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Exxon Mobil Corporation and will be retained by Exxon Mobil Corporat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535940</wp:posOffset>
            </wp:positionV>
            <wp:extent cx="7279640" cy="203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0940"/>
          </w:cols>
          <w:pgMar w:left="820" w:top="1103" w:right="1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6"/>
          <w:szCs w:val="16"/>
          <w:b w:val="1"/>
          <w:bCs w:val="1"/>
          <w:color w:val="auto"/>
        </w:rPr>
        <w:t>EXHIB</w:t>
      </w:r>
    </w:p>
    <w:p>
      <w:pPr>
        <w:spacing w:after="0" w:line="200" w:lineRule="exact"/>
        <w:rPr>
          <w:sz w:val="20"/>
          <w:szCs w:val="20"/>
          <w:color w:val="auto"/>
        </w:rPr>
      </w:pPr>
    </w:p>
    <w:p>
      <w:pPr>
        <w:spacing w:after="0" w:line="204" w:lineRule="exact"/>
        <w:rPr>
          <w:sz w:val="20"/>
          <w:szCs w:val="20"/>
          <w:color w:val="auto"/>
        </w:rPr>
      </w:pPr>
    </w:p>
    <w:p>
      <w:pPr>
        <w:jc w:val="center"/>
        <w:ind w:left="1180"/>
        <w:spacing w:after="0"/>
        <w:rPr>
          <w:sz w:val="20"/>
          <w:szCs w:val="20"/>
          <w:color w:val="auto"/>
        </w:rPr>
      </w:pPr>
      <w:r>
        <w:rPr>
          <w:rFonts w:ascii="Arial" w:cs="Arial" w:eastAsia="Arial" w:hAnsi="Arial"/>
          <w:sz w:val="16"/>
          <w:szCs w:val="16"/>
          <w:b w:val="1"/>
          <w:bCs w:val="1"/>
          <w:color w:val="auto"/>
        </w:rPr>
        <w:t>Certification of Periodic Financial Report</w:t>
      </w:r>
    </w:p>
    <w:p>
      <w:pPr>
        <w:spacing w:after="0" w:line="28" w:lineRule="exact"/>
        <w:rPr>
          <w:sz w:val="20"/>
          <w:szCs w:val="20"/>
          <w:color w:val="auto"/>
        </w:rPr>
      </w:pPr>
    </w:p>
    <w:p>
      <w:pPr>
        <w:jc w:val="center"/>
        <w:ind w:left="1180"/>
        <w:spacing w:after="0"/>
        <w:rPr>
          <w:sz w:val="20"/>
          <w:szCs w:val="20"/>
          <w:color w:val="auto"/>
        </w:rPr>
      </w:pPr>
      <w:r>
        <w:rPr>
          <w:rFonts w:ascii="Arial" w:cs="Arial" w:eastAsia="Arial" w:hAnsi="Arial"/>
          <w:sz w:val="16"/>
          <w:szCs w:val="16"/>
          <w:b w:val="1"/>
          <w:bCs w:val="1"/>
          <w:color w:val="auto"/>
        </w:rPr>
        <w:t>Pursuant to 18 U.S.C. Section 1350</w:t>
      </w:r>
    </w:p>
    <w:p>
      <w:pPr>
        <w:spacing w:after="0" w:line="197" w:lineRule="exact"/>
        <w:rPr>
          <w:sz w:val="20"/>
          <w:szCs w:val="20"/>
          <w:color w:val="auto"/>
        </w:rPr>
      </w:pPr>
    </w:p>
    <w:p>
      <w:pPr>
        <w:ind w:right="20" w:firstLine="425"/>
        <w:spacing w:after="0" w:line="286"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David S. Rosenthal, the p accounting officer of Exxon Mobil Corporation (the “Company”), hereby certifies that, to his knowledge:</w:t>
      </w:r>
    </w:p>
    <w:p>
      <w:pPr>
        <w:spacing w:after="0" w:line="150" w:lineRule="exact"/>
        <w:rPr>
          <w:sz w:val="20"/>
          <w:szCs w:val="20"/>
          <w:color w:val="auto"/>
        </w:rPr>
      </w:pPr>
    </w:p>
    <w:p>
      <w:pPr>
        <w:ind w:left="300" w:right="20" w:hanging="294"/>
        <w:spacing w:after="0" w:line="286" w:lineRule="auto"/>
        <w:tabs>
          <w:tab w:leader="none" w:pos="37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2014, as filed with the Securities and Exchange Commission on the date her “Report”) fully complies with the requirements of section 13(a) or 15(d) of the Securities Exchange Act of 1934; and</w:t>
      </w:r>
    </w:p>
    <w:p>
      <w:pPr>
        <w:spacing w:after="0" w:line="149" w:lineRule="exact"/>
        <w:rPr>
          <w:rFonts w:ascii="Arial" w:cs="Arial" w:eastAsia="Arial" w:hAnsi="Arial"/>
          <w:sz w:val="16"/>
          <w:szCs w:val="16"/>
          <w:color w:val="auto"/>
        </w:rPr>
      </w:pPr>
    </w:p>
    <w:p>
      <w:pPr>
        <w:ind w:left="340" w:hanging="334"/>
        <w:spacing w:after="0"/>
        <w:tabs>
          <w:tab w:leader="none" w:pos="3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40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Date: February 25, 2015</w:t>
      </w:r>
    </w:p>
    <w:p>
      <w:pPr>
        <w:spacing w:after="0" w:line="367"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/s/ DAVID S. ROSENTHAL</w:t>
      </w:r>
    </w:p>
    <w:p>
      <w:pPr>
        <w:spacing w:after="0" w:line="159" w:lineRule="exact"/>
        <w:rPr>
          <w:sz w:val="20"/>
          <w:szCs w:val="20"/>
          <w:color w:val="auto"/>
        </w:rPr>
      </w:pPr>
    </w:p>
    <w:p>
      <w:pPr>
        <w:ind w:left="8760"/>
        <w:spacing w:after="0"/>
        <w:rPr>
          <w:sz w:val="20"/>
          <w:szCs w:val="20"/>
          <w:color w:val="auto"/>
        </w:rPr>
      </w:pPr>
      <w:r>
        <w:rPr>
          <w:rFonts w:ascii="Arial" w:cs="Arial" w:eastAsia="Arial" w:hAnsi="Arial"/>
          <w:sz w:val="16"/>
          <w:szCs w:val="16"/>
          <w:color w:val="auto"/>
        </w:rPr>
        <w:t>David S.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4656455</wp:posOffset>
            </wp:positionH>
            <wp:positionV relativeFrom="paragraph">
              <wp:posOffset>-116205</wp:posOffset>
            </wp:positionV>
            <wp:extent cx="2290445"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290445" cy="7620"/>
                    </a:xfrm>
                    <a:prstGeom prst="rect">
                      <a:avLst/>
                    </a:prstGeom>
                    <a:noFill/>
                  </pic:spPr>
                </pic:pic>
              </a:graphicData>
            </a:graphic>
          </wp:anchor>
        </w:drawing>
      </w:r>
    </w:p>
    <w:p>
      <w:pPr>
        <w:spacing w:after="0" w:line="4"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Vice President and Controller</w:t>
      </w:r>
    </w:p>
    <w:p>
      <w:pPr>
        <w:spacing w:after="0" w:line="25" w:lineRule="exact"/>
        <w:rPr>
          <w:sz w:val="20"/>
          <w:szCs w:val="20"/>
          <w:color w:val="auto"/>
        </w:rPr>
      </w:pPr>
    </w:p>
    <w:p>
      <w:pPr>
        <w:ind w:left="838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Exxon Mobil Corporation and will be retained by Exxon Mobil Corporat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535940</wp:posOffset>
            </wp:positionV>
            <wp:extent cx="7279640" cy="203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sectPr>
      <w:pgSz w:w="11900" w:h="16838" w:orient="portrait"/>
      <w:cols w:equalWidth="0" w:num="1">
        <w:col w:w="10940"/>
      </w:cols>
      <w:pgMar w:left="820" w:top="1103"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1)"/>
      <w:numFmt w:val="decimal"/>
      <w:start w:val="1"/>
    </w:lvl>
  </w:abstractNum>
  <w:abstractNum w:abstractNumId="4">
    <w:nsid w:val="77AE35EB"/>
    <w:multiLevelType w:val="hybridMultilevel"/>
    <w:lvl w:ilvl="0">
      <w:lvlJc w:val="left"/>
      <w:lvlText w:val="%1."/>
      <w:numFmt w:val="decimal"/>
      <w:start w:val="3"/>
    </w:lvl>
  </w:abstractNum>
  <w:abstractNum w:abstractNumId="5">
    <w:nsid w:val="579BE4F1"/>
    <w:multiLevelType w:val="hybridMultilevel"/>
    <w:lvl w:ilvl="0">
      <w:lvlJc w:val="left"/>
      <w:lvlText w:val="(%1)"/>
      <w:numFmt w:val="decimal"/>
      <w:start w:val="1"/>
    </w:lvl>
  </w:abstractNum>
  <w:abstractNum w:abstractNumId="6">
    <w:nsid w:val="310C50B3"/>
    <w:multiLevelType w:val="hybridMultilevel"/>
    <w:lvl w:ilvl="0">
      <w:lvlJc w:val="left"/>
      <w:lvlText w:val="%1."/>
      <w:numFmt w:val="decimal"/>
      <w:start w:val="4"/>
    </w:lvl>
  </w:abstractNum>
  <w:abstractNum w:abstractNumId="7">
    <w:nsid w:val="5FF87E05"/>
    <w:multiLevelType w:val="hybridMultilevel"/>
    <w:lvl w:ilvl="0">
      <w:lvlJc w:val="left"/>
      <w:lvlText w:val="%1."/>
      <w:numFmt w:val="decimal"/>
      <w:start w:val="7"/>
    </w:lvl>
  </w:abstractNum>
  <w:abstractNum w:abstractNumId="8">
    <w:nsid w:val="2F305DEF"/>
    <w:multiLevelType w:val="hybridMultilevel"/>
    <w:lvl w:ilvl="0">
      <w:lvlJc w:val="left"/>
      <w:lvlText w:val="(%1)"/>
      <w:numFmt w:val="decimal"/>
      <w:start w:val="1"/>
    </w:lvl>
  </w:abstractNum>
  <w:abstractNum w:abstractNumId="9">
    <w:nsid w:val="25A70BF7"/>
    <w:multiLevelType w:val="hybridMultilevel"/>
    <w:lvl w:ilvl="0">
      <w:lvlJc w:val="left"/>
      <w:lvlText w:val="(%1)"/>
      <w:numFmt w:val="decimal"/>
      <w:start w:val="1"/>
    </w:lvl>
  </w:abstractNum>
  <w:abstractNum w:abstractNumId="10">
    <w:nsid w:val="1DBABF00"/>
    <w:multiLevelType w:val="hybridMultilevel"/>
    <w:lvl w:ilvl="0">
      <w:lvlJc w:val="left"/>
      <w:lvlText w:val="(%1)"/>
      <w:numFmt w:val="decimal"/>
      <w:start w:val="1"/>
    </w:lvl>
  </w:abstractNum>
  <w:abstractNum w:abstractNumId="11">
    <w:nsid w:val="4AD084E9"/>
    <w:multiLevelType w:val="hybridMultilevel"/>
    <w:lvl w:ilvl="0">
      <w:lvlJc w:val="left"/>
      <w:lvlText w:val="(%1)"/>
      <w:numFmt w:val="decimal"/>
      <w:start w:val="1"/>
    </w:lvl>
  </w:abstractNum>
  <w:abstractNum w:abstractNumId="12">
    <w:nsid w:val="1F48EAA1"/>
    <w:multiLevelType w:val="hybridMultilevel"/>
    <w:lvl w:ilvl="0">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1)"/>
      <w:numFmt w:val="decimal"/>
      <w:start w:val="1"/>
    </w:lvl>
  </w:abstractNum>
  <w:abstractNum w:abstractNumId="15">
    <w:nsid w:val="100F8FCA"/>
    <w:multiLevelType w:val="hybridMultilevel"/>
    <w:lvl w:ilvl="0">
      <w:lvlJc w:val="left"/>
      <w:lvlText w:val="(%1)"/>
      <w:numFmt w:val="lowerLetter"/>
      <w:start w:val="1"/>
    </w:lvl>
  </w:abstractNum>
  <w:abstractNum w:abstractNumId="16">
    <w:nsid w:val="6590700B"/>
    <w:multiLevelType w:val="hybridMultilevel"/>
    <w:lvl w:ilvl="0">
      <w:lvlJc w:val="left"/>
      <w:lvlText w:val="(%1)"/>
      <w:numFmt w:val="lowerLetter"/>
      <w:start w:val="1"/>
    </w:lvl>
  </w:abstractNum>
  <w:abstractNum w:abstractNumId="17">
    <w:nsid w:val="15014ACB"/>
    <w:multiLevelType w:val="hybridMultilevel"/>
    <w:lvl w:ilvl="0">
      <w:lvlJc w:val="left"/>
      <w:lvlText w:val="(%1)"/>
      <w:numFmt w:val="decimal"/>
      <w:start w:val="1"/>
    </w:lvl>
  </w:abstractNum>
  <w:abstractNum w:abstractNumId="18">
    <w:nsid w:val="5F5E7FD0"/>
    <w:multiLevelType w:val="hybridMultilevel"/>
    <w:lvl w:ilvl="0">
      <w:lvlJc w:val="left"/>
      <w:lvlText w:val="(%1)"/>
      <w:numFmt w:val="decimal"/>
      <w:start w:val="1"/>
    </w:lvl>
  </w:abstractNum>
  <w:abstractNum w:abstractNumId="19">
    <w:nsid w:val="98A3148"/>
    <w:multiLevelType w:val="hybridMultilevel"/>
    <w:lvl w:ilvl="0">
      <w:lvlJc w:val="left"/>
      <w:lvlText w:val="(%1)"/>
      <w:numFmt w:val="decimal"/>
      <w:start w:val="1"/>
    </w:lvl>
  </w:abstractNum>
  <w:abstractNum w:abstractNumId="20">
    <w:nsid w:val="799D0247"/>
    <w:multiLevelType w:val="hybridMultilevel"/>
    <w:lvl w:ilvl="0">
      <w:lvlJc w:val="left"/>
      <w:lvlText w:val="\endash "/>
      <w:numFmt w:val="bullet"/>
      <w:start w:val="1"/>
    </w:lvl>
  </w:abstractNum>
  <w:abstractNum w:abstractNumId="21">
    <w:nsid w:val="6B94764"/>
    <w:multiLevelType w:val="hybridMultilevel"/>
    <w:lvl w:ilvl="0">
      <w:lvlJc w:val="left"/>
      <w:lvlText w:val="(%1)"/>
      <w:numFmt w:val="decimal"/>
      <w:start w:val="1"/>
    </w:lvl>
  </w:abstractNum>
  <w:abstractNum w:abstractNumId="22">
    <w:nsid w:val="42C296BD"/>
    <w:multiLevelType w:val="hybridMultilevel"/>
    <w:lvl w:ilvl="0">
      <w:lvlJc w:val="left"/>
      <w:lvlText w:val="(%1)"/>
      <w:numFmt w:val="decimal"/>
      <w:start w:val="1"/>
    </w:lvl>
  </w:abstractNum>
  <w:abstractNum w:abstractNumId="23">
    <w:nsid w:val="168E121F"/>
    <w:multiLevelType w:val="hybridMultilevel"/>
    <w:lvl w:ilvl="0">
      <w:lvlJc w:val="left"/>
      <w:lvlText w:val="(%1)"/>
      <w:numFmt w:val="decimal"/>
      <w:start w:val="1"/>
    </w:lvl>
  </w:abstractNum>
  <w:abstractNum w:abstractNumId="24">
    <w:nsid w:val="1EBA5D23"/>
    <w:multiLevelType w:val="hybridMultilevel"/>
    <w:lvl w:ilvl="0">
      <w:lvlJc w:val="left"/>
      <w:lvlText w:val="\endash "/>
      <w:numFmt w:val="bullet"/>
      <w:start w:val="1"/>
    </w:lvl>
  </w:abstractNum>
  <w:abstractNum w:abstractNumId="25">
    <w:nsid w:val="661E3F1E"/>
    <w:multiLevelType w:val="hybridMultilevel"/>
    <w:lvl w:ilvl="0">
      <w:lvlJc w:val="left"/>
      <w:lvlText w:val="(%1)"/>
      <w:numFmt w:val="decimal"/>
      <w:start w:val="1"/>
    </w:lvl>
  </w:abstractNum>
  <w:abstractNum w:abstractNumId="26">
    <w:nsid w:val="5DC79EA8"/>
    <w:multiLevelType w:val="hybridMultilevel"/>
    <w:lvl w:ilvl="0">
      <w:lvlJc w:val="left"/>
      <w:lvlText w:val="(%1)"/>
      <w:numFmt w:val="decimal"/>
      <w:start w:val="1"/>
    </w:lvl>
  </w:abstractNum>
  <w:abstractNum w:abstractNumId="27">
    <w:nsid w:val="540A471C"/>
    <w:multiLevelType w:val="hybridMultilevel"/>
    <w:lvl w:ilvl="0">
      <w:lvlJc w:val="left"/>
      <w:lvlText w:val="(%1)"/>
      <w:numFmt w:val="decimal"/>
      <w:start w:val="1"/>
    </w:lvl>
  </w:abstractNum>
  <w:abstractNum w:abstractNumId="28">
    <w:nsid w:val="7BD3EE7B"/>
    <w:multiLevelType w:val="hybridMultilevel"/>
    <w:lvl w:ilvl="0">
      <w:lvlJc w:val="left"/>
      <w:lvlText w:val="(%1)"/>
      <w:numFmt w:val="decimal"/>
      <w:start w:val="1"/>
    </w:lvl>
  </w:abstractNum>
  <w:abstractNum w:abstractNumId="29">
    <w:nsid w:val="51D9C564"/>
    <w:multiLevelType w:val="hybridMultilevel"/>
    <w:lvl w:ilvl="0">
      <w:lvlJc w:val="left"/>
      <w:lvlText w:val="(%1)"/>
      <w:numFmt w:val="decimal"/>
      <w:start w:val="1"/>
    </w:lvl>
  </w:abstractNum>
  <w:abstractNum w:abstractNumId="30">
    <w:nsid w:val="613EFDC5"/>
    <w:multiLevelType w:val="hybridMultilevel"/>
    <w:lvl w:ilvl="0">
      <w:lvlJc w:val="left"/>
      <w:lvlText w:val="(%1)"/>
      <w:numFmt w:val="decimal"/>
      <w:start w:val="1"/>
    </w:lvl>
  </w:abstractNum>
  <w:abstractNum w:abstractNumId="31">
    <w:nsid w:val="BF72B14"/>
    <w:multiLevelType w:val="hybridMultilevel"/>
    <w:lvl w:ilvl="0">
      <w:lvlJc w:val="left"/>
      <w:lvlText w:val="(%1)"/>
      <w:numFmt w:val="decimal"/>
      <w:start w:val="1"/>
    </w:lvl>
  </w:abstractNum>
  <w:abstractNum w:abstractNumId="32">
    <w:nsid w:val="11447B73"/>
    <w:multiLevelType w:val="hybridMultilevel"/>
    <w:lvl w:ilvl="0">
      <w:lvlJc w:val="left"/>
      <w:lvlText w:val="(%1)"/>
      <w:numFmt w:val="decimal"/>
      <w:start w:val="1"/>
    </w:lvl>
  </w:abstractNum>
  <w:abstractNum w:abstractNumId="33">
    <w:nsid w:val="42963E5A"/>
    <w:multiLevelType w:val="hybridMultilevel"/>
    <w:lvl w:ilvl="0">
      <w:lvlJc w:val="left"/>
      <w:lvlText w:val="(%1)"/>
      <w:numFmt w:val="decimal"/>
      <w:start w:val="1"/>
    </w:lvl>
  </w:abstractNum>
  <w:abstractNum w:abstractNumId="34">
    <w:nsid w:val="A0382C5"/>
    <w:multiLevelType w:val="hybridMultilevel"/>
    <w:lvl w:ilvl="0">
      <w:lvlJc w:val="left"/>
      <w:lvlText w:val="(%1)"/>
      <w:numFmt w:val="decimal"/>
      <w:start w:val="1"/>
    </w:lvl>
  </w:abstractNum>
  <w:abstractNum w:abstractNumId="35">
    <w:nsid w:val="8F2B15E"/>
    <w:multiLevelType w:val="hybridMultilevel"/>
    <w:lvl w:ilvl="0">
      <w:lvlJc w:val="left"/>
      <w:lvlText w:val="(%1)"/>
      <w:numFmt w:val="decimal"/>
      <w:start w:val="1"/>
    </w:lvl>
  </w:abstractNum>
  <w:abstractNum w:abstractNumId="36">
    <w:nsid w:val="1A32234B"/>
    <w:multiLevelType w:val="hybridMultilevel"/>
    <w:lvl w:ilvl="0">
      <w:lvlJc w:val="left"/>
      <w:lvlText w:val="(%1)"/>
      <w:numFmt w:val="decimal"/>
      <w:start w:val="1"/>
    </w:lvl>
  </w:abstractNum>
  <w:abstractNum w:abstractNumId="37">
    <w:nsid w:val="3B0FD379"/>
    <w:multiLevelType w:val="hybridMultilevel"/>
    <w:lvl w:ilvl="0">
      <w:lvlJc w:val="left"/>
      <w:lvlText w:val="(%1)"/>
      <w:numFmt w:val="decimal"/>
      <w:start w:val="1"/>
    </w:lvl>
  </w:abstractNum>
  <w:abstractNum w:abstractNumId="38">
    <w:nsid w:val="68EB2F63"/>
    <w:multiLevelType w:val="hybridMultilevel"/>
    <w:lvl w:ilvl="0">
      <w:lvlJc w:val="left"/>
      <w:lvlText w:val="(%1)"/>
      <w:numFmt w:val="decimal"/>
      <w:start w:val="1"/>
    </w:lvl>
  </w:abstractNum>
  <w:abstractNum w:abstractNumId="39">
    <w:nsid w:val="4962813B"/>
    <w:multiLevelType w:val="hybridMultilevel"/>
    <w:lvl w:ilvl="0">
      <w:lvlJc w:val="left"/>
      <w:lvlText w:val="(%1)"/>
      <w:numFmt w:val="decimal"/>
      <w:start w:val="1"/>
    </w:lvl>
  </w:abstractNum>
  <w:abstractNum w:abstractNumId="40">
    <w:nsid w:val="60B6DF70"/>
    <w:multiLevelType w:val="hybridMultilevel"/>
    <w:lvl w:ilvl="0">
      <w:lvlJc w:val="left"/>
      <w:lvlText w:val="(%1)"/>
      <w:numFmt w:val="decimal"/>
      <w:start w:val="1"/>
    </w:lvl>
  </w:abstractNum>
  <w:abstractNum w:abstractNumId="41">
    <w:nsid w:val="6A5EE64"/>
    <w:multiLevelType w:val="hybridMultilevel"/>
    <w:lvl w:ilvl="0">
      <w:lvlJc w:val="left"/>
      <w:lvlText w:val="(%1)"/>
      <w:numFmt w:val="decimal"/>
      <w:start w:val="1"/>
    </w:lvl>
  </w:abstractNum>
  <w:abstractNum w:abstractNumId="42">
    <w:nsid w:val="14330624"/>
    <w:multiLevelType w:val="hybridMultilevel"/>
    <w:lvl w:ilvl="0">
      <w:lvlJc w:val="left"/>
      <w:lvlText w:val="(%1)"/>
      <w:numFmt w:val="decimal"/>
      <w:start w:val="1"/>
    </w:lvl>
  </w:abstractNum>
  <w:abstractNum w:abstractNumId="43">
    <w:nsid w:val="7FFFCA11"/>
    <w:multiLevelType w:val="hybridMultilevel"/>
    <w:lvl w:ilvl="0">
      <w:lvlJc w:val="left"/>
      <w:lvlText w:val="(%1)"/>
      <w:numFmt w:val="decimal"/>
      <w:start w:val="1"/>
    </w:lvl>
  </w:abstractNum>
  <w:abstractNum w:abstractNumId="44">
    <w:nsid w:val="1A27709E"/>
    <w:multiLevelType w:val="hybridMultilevel"/>
    <w:lvl w:ilvl="0">
      <w:lvlJc w:val="left"/>
      <w:lvlText w:val="*"/>
      <w:numFmt w:val="bullet"/>
      <w:start w:val="1"/>
    </w:lvl>
    <w:lvl w:ilvl="1">
      <w:lvlJc w:val="left"/>
      <w:lvlText w:val="%2"/>
      <w:numFmt w:val="decimal"/>
      <w:start w:val="101"/>
    </w:lvl>
  </w:abstractNum>
  <w:abstractNum w:abstractNumId="45">
    <w:nsid w:val="71EA110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6">
    <w:nsid w:val="100F59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2"/>
    </w:lvl>
  </w:abstractNum>
  <w:abstractNum w:abstractNumId="47">
    <w:nsid w:val="7FB7E0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Roman"/>
      <w:start w:val="1"/>
    </w:lvl>
  </w:abstractNum>
  <w:abstractNum w:abstractNumId="48">
    <w:nsid w:val="6EB5BD4"/>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49">
    <w:nsid w:val="6F6DD9AC"/>
    <w:multiLevelType w:val="hybridMultilevel"/>
    <w:lvl w:ilvl="0">
      <w:lvlJc w:val="left"/>
      <w:lvlText w:val="%1."/>
      <w:numFmt w:val="decimal"/>
      <w:start w:val="6"/>
    </w:lvl>
  </w:abstractNum>
  <w:abstractNum w:abstractNumId="50">
    <w:nsid w:val="94211F2"/>
    <w:multiLevelType w:val="hybridMultilevel"/>
    <w:lvl w:ilvl="0">
      <w:lvlJc w:val="left"/>
      <w:lvlText w:val="%1."/>
      <w:numFmt w:val="decimal"/>
      <w:start w:val="7"/>
    </w:lvl>
  </w:abstractNum>
  <w:abstractNum w:abstractNumId="51">
    <w:nsid w:val="885E1B"/>
    <w:multiLevelType w:val="hybridMultilevel"/>
    <w:lvl w:ilvl="0">
      <w:lvlJc w:val="left"/>
      <w:lvlText w:val="%1."/>
      <w:numFmt w:val="decimal"/>
      <w:start w:val="11"/>
    </w:lvl>
  </w:abstractNum>
  <w:abstractNum w:abstractNumId="52">
    <w:nsid w:val="76272110"/>
    <w:multiLevelType w:val="hybridMultilevel"/>
    <w:lvl w:ilvl="0">
      <w:lvlJc w:val="left"/>
      <w:lvlText w:val="%1."/>
      <w:numFmt w:val="decimal"/>
      <w:start w:val="1"/>
    </w:lvl>
    <w:lvl w:ilvl="1">
      <w:lvlJc w:val="left"/>
      <w:lvlText w:val="(%2)"/>
      <w:numFmt w:val="lowerLetter"/>
      <w:start w:val="1"/>
    </w:lvl>
  </w:abstractNum>
  <w:abstractNum w:abstractNumId="53">
    <w:nsid w:val="4C04A8AF"/>
    <w:multiLevelType w:val="hybridMultilevel"/>
    <w:lvl w:ilvl="0">
      <w:lvlJc w:val="left"/>
      <w:lvlText w:val="%1."/>
      <w:numFmt w:val="decimal"/>
      <w:start w:val="5"/>
    </w:lvl>
  </w:abstractNum>
  <w:abstractNum w:abstractNumId="54">
    <w:nsid w:val="1716703B"/>
    <w:multiLevelType w:val="hybridMultilevel"/>
    <w:lvl w:ilvl="0">
      <w:lvlJc w:val="left"/>
      <w:lvlText w:val="%1."/>
      <w:numFmt w:val="decimal"/>
      <w:start w:val="1"/>
    </w:lvl>
  </w:abstractNum>
  <w:abstractNum w:abstractNumId="55">
    <w:nsid w:val="14E17E33"/>
    <w:multiLevelType w:val="hybridMultilevel"/>
    <w:lvl w:ilvl="0">
      <w:lvlJc w:val="left"/>
      <w:lvlText w:val="%1."/>
      <w:numFmt w:val="decimal"/>
      <w:start w:val="2"/>
    </w:lvl>
  </w:abstractNum>
  <w:abstractNum w:abstractNumId="56">
    <w:nsid w:val="3222E7CD"/>
    <w:multiLevelType w:val="hybridMultilevel"/>
    <w:lvl w:ilvl="0">
      <w:lvlJc w:val="left"/>
      <w:lvlText w:val="(%1)"/>
      <w:numFmt w:val="upperLetter"/>
      <w:start w:val="1"/>
    </w:lvl>
  </w:abstractNum>
  <w:abstractNum w:abstractNumId="57">
    <w:nsid w:val="74DE0EE3"/>
    <w:multiLevelType w:val="hybridMultilevel"/>
    <w:lvl w:ilvl="0">
      <w:lvlJc w:val="left"/>
      <w:lvlText w:val="(%1)"/>
      <w:numFmt w:val="upperLetter"/>
      <w:start w:val="1"/>
    </w:lvl>
  </w:abstractNum>
  <w:abstractNum w:abstractNumId="58">
    <w:nsid w:val="68EBC550"/>
    <w:multiLevelType w:val="hybridMultilevel"/>
    <w:lvl w:ilvl="0">
      <w:lvlJc w:val="left"/>
      <w:lvlText w:val="(%1)"/>
      <w:numFmt w:val="upperLetter"/>
      <w:start w:val="2"/>
    </w:lvl>
  </w:abstractNum>
  <w:abstractNum w:abstractNumId="59">
    <w:nsid w:val="2DF6D648"/>
    <w:multiLevelType w:val="hybridMultilevel"/>
    <w:lvl w:ilvl="0">
      <w:lvlJc w:val="left"/>
      <w:lvlText w:val="(%1)"/>
      <w:numFmt w:val="upperLetter"/>
      <w:start w:val="1"/>
    </w:lvl>
  </w:abstractNum>
  <w:abstractNum w:abstractNumId="60">
    <w:nsid w:val="46B7D447"/>
    <w:multiLevelType w:val="hybridMultilevel"/>
    <w:lvl w:ilvl="0">
      <w:lvlJc w:val="left"/>
      <w:lvlText w:val="(%1)"/>
      <w:numFmt w:val="upperLetter"/>
      <w:start w:val="2"/>
    </w:lvl>
  </w:abstractNum>
  <w:abstractNum w:abstractNumId="61">
    <w:nsid w:val="4A2AC315"/>
    <w:multiLevelType w:val="hybridMultilevel"/>
    <w:lvl w:ilvl="0">
      <w:lvlJc w:val="left"/>
      <w:lvlText w:val="%1."/>
      <w:numFmt w:val="decimal"/>
      <w:start w:val="3"/>
    </w:lvl>
  </w:abstractNum>
  <w:abstractNum w:abstractNumId="62">
    <w:nsid w:val="39EE015C"/>
    <w:multiLevelType w:val="hybridMultilevel"/>
    <w:lvl w:ilvl="0">
      <w:lvlJc w:val="left"/>
      <w:lvlText w:val="(%1)"/>
      <w:numFmt w:val="upperLetter"/>
      <w:start w:val="1"/>
    </w:lvl>
  </w:abstractNum>
  <w:abstractNum w:abstractNumId="63">
    <w:nsid w:val="57FC4FBB"/>
    <w:multiLevelType w:val="hybridMultilevel"/>
    <w:lvl w:ilvl="0">
      <w:lvlJc w:val="left"/>
      <w:lvlText w:val="%1."/>
      <w:numFmt w:val="decimal"/>
      <w:start w:val="4"/>
    </w:lvl>
  </w:abstractNum>
  <w:abstractNum w:abstractNumId="64">
    <w:nsid w:val="CC1016F"/>
    <w:multiLevelType w:val="hybridMultilevel"/>
    <w:lvl w:ilvl="0">
      <w:lvlJc w:val="left"/>
      <w:lvlText w:val="(%1)"/>
      <w:numFmt w:val="upperLetter"/>
      <w:start w:val="1"/>
    </w:lvl>
  </w:abstractNum>
  <w:abstractNum w:abstractNumId="65">
    <w:nsid w:val="43F18422"/>
    <w:multiLevelType w:val="hybridMultilevel"/>
    <w:lvl w:ilvl="0">
      <w:lvlJc w:val="left"/>
      <w:lvlText w:val="(%1)"/>
      <w:numFmt w:val="upperLetter"/>
      <w:start w:val="2"/>
    </w:lvl>
    <w:lvl w:ilvl="1">
      <w:lvlJc w:val="left"/>
      <w:lvlText w:val="(%2)"/>
      <w:numFmt w:val="decimal"/>
      <w:start w:val="1"/>
    </w:lvl>
  </w:abstractNum>
  <w:abstractNum w:abstractNumId="66">
    <w:nsid w:val="60EF0119"/>
    <w:multiLevelType w:val="hybridMultilevel"/>
    <w:lvl w:ilvl="0">
      <w:lvlJc w:val="left"/>
      <w:lvlText w:val="(%1)"/>
      <w:numFmt w:val="lowerLetter"/>
      <w:start w:val="1"/>
    </w:lvl>
  </w:abstractNum>
  <w:abstractNum w:abstractNumId="67">
    <w:nsid w:val="26F324BA"/>
    <w:multiLevelType w:val="hybridMultilevel"/>
    <w:lvl w:ilvl="0">
      <w:lvlJc w:val="left"/>
      <w:lvlText w:val="(%1)"/>
      <w:numFmt w:val="decimal"/>
      <w:start w:val="2"/>
    </w:lvl>
  </w:abstractNum>
  <w:abstractNum w:abstractNumId="68">
    <w:nsid w:val="7F01579B"/>
    <w:multiLevelType w:val="hybridMultilevel"/>
    <w:lvl w:ilvl="0">
      <w:lvlJc w:val="left"/>
      <w:lvlText w:val="(%1)"/>
      <w:numFmt w:val="decimal"/>
      <w:start w:val="3"/>
    </w:lvl>
  </w:abstractNum>
  <w:abstractNum w:abstractNumId="69">
    <w:nsid w:val="49DA307D"/>
    <w:multiLevelType w:val="hybridMultilevel"/>
    <w:lvl w:ilvl="0">
      <w:lvlJc w:val="left"/>
      <w:lvlText w:val="%1."/>
      <w:numFmt w:val="decimal"/>
      <w:start w:val="5"/>
    </w:lvl>
  </w:abstractNum>
  <w:abstractNum w:abstractNumId="70">
    <w:nsid w:val="7055A5F5"/>
    <w:multiLevelType w:val="hybridMultilevel"/>
    <w:lvl w:ilvl="0">
      <w:lvlJc w:val="left"/>
      <w:lvlText w:val="(%1)"/>
      <w:numFmt w:val="upperLetter"/>
      <w:start w:val="1"/>
    </w:lvl>
  </w:abstractNum>
  <w:abstractNum w:abstractNumId="71">
    <w:nsid w:val="5FB8370B"/>
    <w:multiLevelType w:val="hybridMultilevel"/>
    <w:lvl w:ilvl="0">
      <w:lvlJc w:val="left"/>
      <w:lvlText w:val="(%1)"/>
      <w:numFmt w:val="upperLetter"/>
      <w:start w:val="1"/>
    </w:lvl>
  </w:abstractNum>
  <w:abstractNum w:abstractNumId="72">
    <w:nsid w:val="50801EE1"/>
    <w:multiLevelType w:val="hybridMultilevel"/>
    <w:lvl w:ilvl="0">
      <w:lvlJc w:val="left"/>
      <w:lvlText w:val="(%1)"/>
      <w:numFmt w:val="upperLetter"/>
      <w:start w:val="1"/>
    </w:lvl>
  </w:abstractNum>
  <w:abstractNum w:abstractNumId="73">
    <w:nsid w:val="488AC1A"/>
    <w:multiLevelType w:val="hybridMultilevel"/>
    <w:lvl w:ilvl="0">
      <w:lvlJc w:val="left"/>
      <w:lvlText w:val="(%1)"/>
      <w:numFmt w:val="upperLetter"/>
      <w:start w:val="2"/>
    </w:lvl>
  </w:abstractNum>
  <w:abstractNum w:abstractNumId="74">
    <w:nsid w:val="5FB8011C"/>
    <w:multiLevelType w:val="hybridMultilevel"/>
    <w:lvl w:ilvl="0">
      <w:lvlJc w:val="left"/>
      <w:lvlText w:val="(%1)"/>
      <w:numFmt w:val="upperLetter"/>
      <w:start w:val="1"/>
    </w:lvl>
  </w:abstractNum>
  <w:abstractNum w:abstractNumId="75">
    <w:nsid w:val="6AA78F7F"/>
    <w:multiLevelType w:val="hybridMultilevel"/>
    <w:lvl w:ilvl="0">
      <w:lvlJc w:val="left"/>
      <w:lvlText w:val="%1"/>
      <w:numFmt w:val="upperLetter"/>
      <w:start w:val="1"/>
    </w:lvl>
    <w:lvl w:ilvl="1">
      <w:lvlJc w:val="left"/>
      <w:lvlText w:val="(%2)"/>
      <w:numFmt w:val="decimal"/>
      <w:start w:val="1"/>
    </w:lvl>
  </w:abstractNum>
  <w:abstractNum w:abstractNumId="76">
    <w:nsid w:val="7672BD23"/>
    <w:multiLevelType w:val="hybridMultilevel"/>
    <w:lvl w:ilvl="0">
      <w:lvlJc w:val="left"/>
      <w:lvlText w:val="(%1)"/>
      <w:numFmt w:val="upperLetter"/>
      <w:start w:val="2"/>
    </w:lvl>
    <w:lvl w:ilvl="1">
      <w:lvlJc w:val="left"/>
      <w:lvlText w:val="%2"/>
      <w:numFmt w:val="decimal"/>
      <w:start w:val="1"/>
    </w:lvl>
  </w:abstractNum>
  <w:abstractNum w:abstractNumId="77">
    <w:nsid w:val="6FC75AF8"/>
    <w:multiLevelType w:val="hybridMultilevel"/>
    <w:lvl w:ilvl="0">
      <w:lvlJc w:val="left"/>
      <w:lvlText w:val="(%1)"/>
      <w:numFmt w:val="upperLetter"/>
      <w:start w:val="3"/>
    </w:lvl>
  </w:abstractNum>
  <w:abstractNum w:abstractNumId="78">
    <w:nsid w:val="6A5F7029"/>
    <w:multiLevelType w:val="hybridMultilevel"/>
    <w:lvl w:ilvl="0">
      <w:lvlJc w:val="left"/>
      <w:lvlText w:val="%1."/>
      <w:numFmt w:val="decimal"/>
      <w:start w:val="1"/>
    </w:lvl>
  </w:abstractNum>
  <w:abstractNum w:abstractNumId="79">
    <w:nsid w:val="7D5E18F8"/>
    <w:multiLevelType w:val="hybridMultilevel"/>
    <w:lvl w:ilvl="0">
      <w:lvlJc w:val="left"/>
      <w:lvlText w:val="%1."/>
      <w:numFmt w:val="decimal"/>
      <w:start w:val="2"/>
    </w:lvl>
  </w:abstractNum>
  <w:abstractNum w:abstractNumId="80">
    <w:nsid w:val="5F3534A4"/>
    <w:multiLevelType w:val="hybridMultilevel"/>
    <w:lvl w:ilvl="0">
      <w:lvlJc w:val="left"/>
      <w:lvlText w:val="(%1)"/>
      <w:numFmt w:val="upperLetter"/>
      <w:start w:val="1"/>
    </w:lvl>
  </w:abstractNum>
  <w:abstractNum w:abstractNumId="81">
    <w:nsid w:val="73A1821B"/>
    <w:multiLevelType w:val="hybridMultilevel"/>
    <w:lvl w:ilvl="0">
      <w:lvlJc w:val="left"/>
      <w:lvlText w:val="(%1)"/>
      <w:numFmt w:val="upperLetter"/>
      <w:start w:val="1"/>
    </w:lvl>
  </w:abstractNum>
  <w:abstractNum w:abstractNumId="82">
    <w:nsid w:val="7DE67713"/>
    <w:multiLevelType w:val="hybridMultilevel"/>
    <w:lvl w:ilvl="0">
      <w:lvlJc w:val="left"/>
      <w:lvlText w:val="(%1)"/>
      <w:numFmt w:val="decimal"/>
      <w:start w:val="1"/>
    </w:lvl>
  </w:abstractNum>
  <w:abstractNum w:abstractNumId="83">
    <w:nsid w:val="555C55B5"/>
    <w:multiLevelType w:val="hybridMultilevel"/>
    <w:lvl w:ilvl="0">
      <w:lvlJc w:val="left"/>
      <w:lvlText w:val="(%1)"/>
      <w:numFmt w:val="upperLetter"/>
      <w:start w:val="2"/>
    </w:lvl>
  </w:abstractNum>
  <w:abstractNum w:abstractNumId="84">
    <w:nsid w:val="3FA62ACA"/>
    <w:multiLevelType w:val="hybridMultilevel"/>
    <w:lvl w:ilvl="0">
      <w:lvlJc w:val="left"/>
      <w:lvlText w:val="(%1)"/>
      <w:numFmt w:val="decimal"/>
      <w:start w:val="1"/>
    </w:lvl>
  </w:abstractNum>
  <w:abstractNum w:abstractNumId="85">
    <w:nsid w:val="14FCE74E"/>
    <w:multiLevelType w:val="hybridMultilevel"/>
    <w:lvl w:ilvl="0">
      <w:lvlJc w:val="left"/>
      <w:lvlText w:val="(%1)"/>
      <w:numFmt w:val="lowerLetter"/>
      <w:start w:val="1"/>
    </w:lvl>
  </w:abstractNum>
  <w:abstractNum w:abstractNumId="86">
    <w:nsid w:val="6A3DD3E8"/>
    <w:multiLevelType w:val="hybridMultilevel"/>
    <w:lvl w:ilvl="0">
      <w:lvlJc w:val="left"/>
      <w:lvlText w:val="(%1)"/>
      <w:numFmt w:val="decimal"/>
      <w:start w:val="2"/>
    </w:lvl>
  </w:abstractNum>
  <w:abstractNum w:abstractNumId="87">
    <w:nsid w:val="71C91298"/>
    <w:multiLevelType w:val="hybridMultilevel"/>
    <w:lvl w:ilvl="0">
      <w:lvlJc w:val="left"/>
      <w:lvlText w:val="%1."/>
      <w:numFmt w:val="decimal"/>
      <w:start w:val="3"/>
    </w:lvl>
  </w:abstractNum>
  <w:abstractNum w:abstractNumId="88">
    <w:nsid w:val="9DAF632"/>
    <w:multiLevelType w:val="hybridMultilevel"/>
    <w:lvl w:ilvl="0">
      <w:lvlJc w:val="left"/>
      <w:lvlText w:val="(%1)"/>
      <w:numFmt w:val="upperLetter"/>
      <w:start w:val="1"/>
    </w:lvl>
  </w:abstractNum>
  <w:abstractNum w:abstractNumId="89">
    <w:nsid w:val="53299938"/>
    <w:multiLevelType w:val="hybridMultilevel"/>
    <w:lvl w:ilvl="0">
      <w:lvlJc w:val="left"/>
      <w:lvlText w:val="%1"/>
      <w:numFmt w:val="upperLetter"/>
      <w:start w:val="1"/>
    </w:lvl>
    <w:lvl w:ilvl="1">
      <w:lvlJc w:val="left"/>
      <w:lvlText w:val="(%2)"/>
      <w:numFmt w:val="decimal"/>
      <w:start w:val="1"/>
    </w:lvl>
  </w:abstractNum>
  <w:abstractNum w:abstractNumId="90">
    <w:nsid w:val="1FBFE8E0"/>
    <w:multiLevelType w:val="hybridMultilevel"/>
    <w:lvl w:ilvl="0">
      <w:lvlJc w:val="left"/>
      <w:lvlText w:val="(%1)"/>
      <w:numFmt w:val="upperLetter"/>
      <w:start w:val="2"/>
    </w:lvl>
    <w:lvl w:ilvl="1">
      <w:lvlJc w:val="left"/>
      <w:lvlText w:val="%2"/>
      <w:numFmt w:val="decimal"/>
      <w:start w:val="1"/>
    </w:lvl>
  </w:abstractNum>
  <w:abstractNum w:abstractNumId="91">
    <w:nsid w:val="5092CA79"/>
    <w:multiLevelType w:val="hybridMultilevel"/>
    <w:lvl w:ilvl="0">
      <w:lvlJc w:val="left"/>
      <w:lvlText w:val="(%1)"/>
      <w:numFmt w:val="upperLetter"/>
      <w:start w:val="1"/>
    </w:lvl>
  </w:abstractNum>
  <w:abstractNum w:abstractNumId="92">
    <w:nsid w:val="1D545C4D"/>
    <w:multiLevelType w:val="hybridMultilevel"/>
    <w:lvl w:ilvl="0">
      <w:lvlJc w:val="left"/>
      <w:lvlText w:val="%1."/>
      <w:numFmt w:val="decimal"/>
      <w:start w:val="4"/>
    </w:lvl>
  </w:abstractNum>
  <w:abstractNum w:abstractNumId="93">
    <w:nsid w:val="59ADEA3D"/>
    <w:multiLevelType w:val="hybridMultilevel"/>
    <w:lvl w:ilvl="0">
      <w:lvlJc w:val="left"/>
      <w:lvlText w:val="(%1)"/>
      <w:numFmt w:val="upperLetter"/>
      <w:start w:val="1"/>
    </w:lvl>
  </w:abstractNum>
  <w:abstractNum w:abstractNumId="94">
    <w:nsid w:val="288F1A34"/>
    <w:multiLevelType w:val="hybridMultilevel"/>
    <w:lvl w:ilvl="0">
      <w:lvlJc w:val="left"/>
      <w:lvlText w:val="(%1)"/>
      <w:numFmt w:val="upperLetter"/>
      <w:start w:val="2"/>
    </w:lvl>
  </w:abstractNum>
  <w:abstractNum w:abstractNumId="95">
    <w:nsid w:val="2A155DBC"/>
    <w:multiLevelType w:val="hybridMultilevel"/>
    <w:lvl w:ilvl="0">
      <w:lvlJc w:val="left"/>
      <w:lvlText w:val="(%1)"/>
      <w:numFmt w:val="upperLetter"/>
      <w:start w:val="1"/>
    </w:lvl>
  </w:abstractNum>
  <w:abstractNum w:abstractNumId="96">
    <w:nsid w:val="1D9F6E5F"/>
    <w:multiLevelType w:val="hybridMultilevel"/>
    <w:lvl w:ilvl="0">
      <w:lvlJc w:val="left"/>
      <w:lvlText w:val="(%1)"/>
      <w:numFmt w:val="upperLetter"/>
      <w:start w:val="2"/>
    </w:lvl>
    <w:lvl w:ilvl="1">
      <w:lvlJc w:val="left"/>
      <w:lvlText w:val="(%2)"/>
      <w:numFmt w:val="decimal"/>
      <w:start w:val="1"/>
    </w:lvl>
  </w:abstractNum>
  <w:abstractNum w:abstractNumId="97">
    <w:nsid w:val="97E1B4E"/>
    <w:multiLevelType w:val="hybridMultilevel"/>
    <w:lvl w:ilvl="0">
      <w:lvlJc w:val="left"/>
      <w:lvlText w:val="(%1)"/>
      <w:numFmt w:val="lowerLetter"/>
      <w:start w:val="1"/>
    </w:lvl>
  </w:abstractNum>
  <w:abstractNum w:abstractNumId="98">
    <w:nsid w:val="51088277"/>
    <w:multiLevelType w:val="hybridMultilevel"/>
    <w:lvl w:ilvl="0">
      <w:lvlJc w:val="left"/>
      <w:lvlText w:val="(%1)"/>
      <w:numFmt w:val="decimal"/>
      <w:start w:val="2"/>
    </w:lvl>
  </w:abstractNum>
  <w:abstractNum w:abstractNumId="99">
    <w:nsid w:val="1CA0C5FA"/>
    <w:multiLevelType w:val="hybridMultilevel"/>
    <w:lvl w:ilvl="0">
      <w:lvlJc w:val="left"/>
      <w:lvlText w:val="(%1)"/>
      <w:numFmt w:val="decimal"/>
      <w:start w:val="3"/>
    </w:lvl>
  </w:abstractNum>
  <w:abstractNum w:abstractNumId="100">
    <w:nsid w:val="53584BCB"/>
    <w:multiLevelType w:val="hybridMultilevel"/>
    <w:lvl w:ilvl="0">
      <w:lvlJc w:val="left"/>
      <w:lvlText w:val="%1."/>
      <w:numFmt w:val="decimal"/>
      <w:start w:val="5"/>
    </w:lvl>
  </w:abstractNum>
  <w:abstractNum w:abstractNumId="101">
    <w:nsid w:val="415E286C"/>
    <w:multiLevelType w:val="hybridMultilevel"/>
    <w:lvl w:ilvl="0">
      <w:lvlJc w:val="left"/>
      <w:lvlText w:val="(%1)"/>
      <w:numFmt w:val="upperLetter"/>
      <w:start w:val="1"/>
    </w:lvl>
  </w:abstractNum>
  <w:abstractNum w:abstractNumId="102">
    <w:nsid w:val="7C58FD05"/>
    <w:multiLevelType w:val="hybridMultilevel"/>
    <w:lvl w:ilvl="0">
      <w:lvlJc w:val="left"/>
      <w:lvlText w:val="(%1)"/>
      <w:numFmt w:val="upperLetter"/>
      <w:start w:val="1"/>
    </w:lvl>
  </w:abstractNum>
  <w:abstractNum w:abstractNumId="103">
    <w:nsid w:val="23D86AAC"/>
    <w:multiLevelType w:val="hybridMultilevel"/>
    <w:lvl w:ilvl="0">
      <w:lvlJc w:val="left"/>
      <w:lvlText w:val="(%1)"/>
      <w:numFmt w:val="upperLetter"/>
      <w:start w:val="1"/>
    </w:lvl>
  </w:abstractNum>
  <w:abstractNum w:abstractNumId="104">
    <w:nsid w:val="45E6D486"/>
    <w:multiLevelType w:val="hybridMultilevel"/>
    <w:lvl w:ilvl="0">
      <w:lvlJc w:val="left"/>
      <w:lvlText w:val="(%1)"/>
      <w:numFmt w:val="upperLetter"/>
      <w:start w:val="2"/>
    </w:lvl>
  </w:abstractNum>
  <w:abstractNum w:abstractNumId="105">
    <w:nsid w:val="5C10FE21"/>
    <w:multiLevelType w:val="hybridMultilevel"/>
    <w:lvl w:ilvl="0">
      <w:lvlJc w:val="left"/>
      <w:lvlText w:val="(%1)"/>
      <w:numFmt w:val="upperLetter"/>
      <w:start w:val="3"/>
    </w:lvl>
  </w:abstractNum>
  <w:abstractNum w:abstractNumId="106">
    <w:nsid w:val="E7FFA2B"/>
    <w:multiLevelType w:val="hybridMultilevel"/>
    <w:lvl w:ilvl="0">
      <w:lvlJc w:val="left"/>
      <w:lvlText w:val="(%1)"/>
      <w:numFmt w:val="upperLetter"/>
      <w:start w:val="4"/>
    </w:lvl>
  </w:abstractNum>
  <w:abstractNum w:abstractNumId="107">
    <w:nsid w:val="3C5991AA"/>
    <w:multiLevelType w:val="hybridMultilevel"/>
    <w:lvl w:ilvl="0">
      <w:lvlJc w:val="left"/>
      <w:lvlText w:val="(%1)"/>
      <w:numFmt w:val="decimal"/>
      <w:start w:val="1"/>
    </w:lvl>
  </w:abstractNum>
  <w:abstractNum w:abstractNumId="108">
    <w:nsid w:val="4BD8591A"/>
    <w:multiLevelType w:val="hybridMultilevel"/>
    <w:lvl w:ilvl="0">
      <w:lvlJc w:val="left"/>
      <w:lvlText w:val="(%1)"/>
      <w:numFmt w:val="upperLetter"/>
      <w:start w:val="1"/>
    </w:lvl>
  </w:abstractNum>
  <w:abstractNum w:abstractNumId="109">
    <w:nsid w:val="78DF6A55"/>
    <w:multiLevelType w:val="hybridMultilevel"/>
    <w:lvl w:ilvl="0">
      <w:lvlJc w:val="left"/>
      <w:lvlText w:val="%1"/>
      <w:numFmt w:val="upperLetter"/>
      <w:start w:val="1"/>
    </w:lvl>
    <w:lvl w:ilvl="1">
      <w:lvlJc w:val="left"/>
      <w:lvlText w:val="(%2)"/>
      <w:numFmt w:val="decimal"/>
      <w:start w:val="1"/>
    </w:lvl>
  </w:abstractNum>
  <w:abstractNum w:abstractNumId="110">
    <w:nsid w:val="39B7AAA2"/>
    <w:multiLevelType w:val="hybridMultilevel"/>
    <w:lvl w:ilvl="0">
      <w:lvlJc w:val="left"/>
      <w:lvlText w:val="(%1)"/>
      <w:numFmt w:val="upperLetter"/>
      <w:start w:val="2"/>
    </w:lvl>
    <w:lvl w:ilvl="1">
      <w:lvlJc w:val="left"/>
      <w:lvlText w:val="%2"/>
      <w:numFmt w:val="decimal"/>
      <w:start w:val="1"/>
    </w:lvl>
  </w:abstractNum>
  <w:abstractNum w:abstractNumId="111">
    <w:nsid w:val="2B0D8DBE"/>
    <w:multiLevelType w:val="hybridMultilevel"/>
    <w:lvl w:ilvl="0">
      <w:lvlJc w:val="left"/>
      <w:lvlText w:val="(%1)"/>
      <w:numFmt w:val="upperLetter"/>
      <w:start w:val="3"/>
    </w:lvl>
  </w:abstractNum>
  <w:abstractNum w:abstractNumId="112">
    <w:nsid w:val="6C80EC70"/>
    <w:multiLevelType w:val="hybridMultilevel"/>
    <w:lvl w:ilvl="0">
      <w:lvlJc w:val="left"/>
      <w:lvlText w:val="(%1)"/>
      <w:numFmt w:val="upperLetter"/>
      <w:start w:val="1"/>
    </w:lvl>
  </w:abstractNum>
  <w:abstractNum w:abstractNumId="113">
    <w:nsid w:val="379E21B5"/>
    <w:multiLevelType w:val="hybridMultilevel"/>
    <w:lvl w:ilvl="0">
      <w:lvlJc w:val="left"/>
      <w:lvlText w:val="(%1)"/>
      <w:numFmt w:val="upperLetter"/>
      <w:start w:val="2"/>
    </w:lvl>
  </w:abstractNum>
  <w:abstractNum w:abstractNumId="114">
    <w:nsid w:val="69E373"/>
    <w:multiLevelType w:val="hybridMultilevel"/>
    <w:lvl w:ilvl="0">
      <w:lvlJc w:val="left"/>
      <w:lvlText w:val="(%1)"/>
      <w:numFmt w:val="decimal"/>
      <w:start w:val="1"/>
    </w:lvl>
  </w:abstractNum>
  <w:abstractNum w:abstractNumId="115">
    <w:nsid w:val="2C27173B"/>
    <w:multiLevelType w:val="hybridMultilevel"/>
    <w:lvl w:ilvl="0">
      <w:lvlJc w:val="left"/>
      <w:lvlText w:val="%1."/>
      <w:numFmt w:val="decimal"/>
      <w:start w:val="1"/>
    </w:lvl>
    <w:lvl w:ilvl="1">
      <w:lvlJc w:val="left"/>
      <w:lvlText w:val="(%2)"/>
      <w:numFmt w:val="lowerLetter"/>
      <w:start w:val="1"/>
    </w:lvl>
  </w:abstractNum>
  <w:abstractNum w:abstractNumId="116">
    <w:nsid w:val="4C9B0904"/>
    <w:multiLevelType w:val="hybridMultilevel"/>
    <w:lvl w:ilvl="0">
      <w:lvlJc w:val="left"/>
      <w:lvlText w:val="%1."/>
      <w:numFmt w:val="decimal"/>
      <w:start w:val="1"/>
    </w:lvl>
    <w:lvl w:ilvl="1">
      <w:lvlJc w:val="left"/>
      <w:lvlText w:val="(%2)"/>
      <w:numFmt w:val="lowerLetter"/>
      <w:start w:val="1"/>
    </w:lvl>
  </w:abstractNum>
  <w:abstractNum w:abstractNumId="117">
    <w:nsid w:val="6AA7B75C"/>
    <w:multiLevelType w:val="hybridMultilevel"/>
    <w:lvl w:ilvl="0">
      <w:lvlJc w:val="left"/>
      <w:lvlText w:val="%1."/>
      <w:numFmt w:val="decimal"/>
      <w:start w:val="1"/>
    </w:lvl>
    <w:lvl w:ilvl="1">
      <w:lvlJc w:val="left"/>
      <w:lvlText w:val="(%2)"/>
      <w:numFmt w:val="lowerLetter"/>
      <w:start w:val="1"/>
    </w:lvl>
  </w:abstractNum>
  <w:abstractNum w:abstractNumId="118">
    <w:nsid w:val="1DF029D3"/>
    <w:multiLevelType w:val="hybridMultilevel"/>
    <w:lvl w:ilvl="0">
      <w:lvlJc w:val="left"/>
      <w:lvlText w:val="(%1)"/>
      <w:numFmt w:val="lowerRoman"/>
      <w:start w:val="1"/>
    </w:lvl>
  </w:abstractNum>
  <w:abstractNum w:abstractNumId="119">
    <w:nsid w:val="5675FF36"/>
    <w:multiLevelType w:val="hybridMultilevel"/>
    <w:lvl w:ilvl="0">
      <w:lvlJc w:val="left"/>
      <w:lvlText w:val="(%1)"/>
      <w:numFmt w:val="lowerRoman"/>
      <w:start w:val="1"/>
    </w:lvl>
  </w:abstractNum>
  <w:abstractNum w:abstractNumId="120">
    <w:nsid w:val="3DD1509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2019-12-05T09:56:05Z</dcterms:created>
  <dcterms:modified xsi:type="dcterms:W3CDTF">2019-12-05T09:56:05Z</dcterms:modified>
</cp:coreProperties>
</file>