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right="3419" w:hanging="4478"/>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April 5, 1999 Registration No. 333-</w:t>
      </w:r>
    </w:p>
    <w:p>
      <w:pPr>
        <w:spacing w:after="0" w:line="1"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New Jersey</w:t>
            </w:r>
          </w:p>
        </w:tc>
        <w:tc>
          <w:tcPr>
            <w:tcW w:w="30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2911</w:t>
            </w:r>
          </w:p>
        </w:tc>
        <w:tc>
          <w:tcPr>
            <w:tcW w:w="20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13-5409005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(State or Other</w:t>
            </w: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(Primary Standard Industrial</w:t>
            </w:r>
          </w:p>
        </w:tc>
        <w:tc>
          <w:tcPr>
            <w:tcW w:w="20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Jurisdiction of</w:t>
            </w: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Classification Code Number)</w:t>
            </w:r>
          </w:p>
        </w:tc>
        <w:tc>
          <w:tcPr>
            <w:tcW w:w="20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Identification Number)</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Incorporation or</w:t>
            </w:r>
          </w:p>
        </w:tc>
        <w:tc>
          <w:tcPr>
            <w:tcW w:w="30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1860" w:type="dxa"/>
            <w:vAlign w:val="bottom"/>
          </w:tcPr>
          <w:p>
            <w:pPr>
              <w:ind w:left="100"/>
              <w:spacing w:after="0"/>
              <w:rPr>
                <w:sz w:val="20"/>
                <w:szCs w:val="20"/>
                <w:color w:val="auto"/>
              </w:rPr>
            </w:pPr>
            <w:r>
              <w:rPr>
                <w:rFonts w:ascii="Courier New" w:cs="Courier New" w:eastAsia="Courier New" w:hAnsi="Courier New"/>
                <w:sz w:val="14"/>
                <w:szCs w:val="14"/>
                <w:color w:val="auto"/>
              </w:rPr>
              <w:t>Organization)</w:t>
            </w:r>
          </w:p>
        </w:tc>
        <w:tc>
          <w:tcPr>
            <w:tcW w:w="30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17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(972) 444-1000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Charles W. Matthews</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(972) 444-1000</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700" w:type="dxa"/>
            <w:vAlign w:val="bottom"/>
          </w:tcPr>
          <w:p>
            <w:pPr>
              <w:ind w:left="680"/>
              <w:spacing w:after="0"/>
              <w:rPr>
                <w:sz w:val="20"/>
                <w:szCs w:val="20"/>
                <w:color w:val="auto"/>
              </w:rPr>
            </w:pPr>
            <w:r>
              <w:rPr>
                <w:rFonts w:ascii="Courier New" w:cs="Courier New" w:eastAsia="Courier New" w:hAnsi="Courier New"/>
                <w:sz w:val="14"/>
                <w:szCs w:val="14"/>
                <w:color w:val="auto"/>
              </w:rPr>
              <w:t>copies to:</w:t>
            </w:r>
          </w:p>
        </w:tc>
        <w:tc>
          <w:tcPr>
            <w:tcW w:w="3580" w:type="dxa"/>
            <w:vAlign w:val="bottom"/>
          </w:tcPr>
          <w:p>
            <w:pPr>
              <w:spacing w:after="0"/>
              <w:rPr>
                <w:sz w:val="14"/>
                <w:szCs w:val="14"/>
                <w:color w:val="auto"/>
              </w:rPr>
            </w:pPr>
          </w:p>
        </w:tc>
      </w:tr>
      <w:tr>
        <w:trPr>
          <w:trHeight w:val="663"/>
        </w:trPr>
        <w:tc>
          <w:tcPr>
            <w:tcW w:w="22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George R. Bason, Jr.</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Samuel H. Gillespie III</w:t>
            </w:r>
          </w:p>
        </w:tc>
        <w:tc>
          <w:tcPr>
            <w:tcW w:w="3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Roger S. Aaron</w:t>
            </w:r>
          </w:p>
        </w:tc>
      </w:tr>
      <w:tr>
        <w:trPr>
          <w:trHeight w:val="166"/>
        </w:trPr>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Davis Polk &amp; Wardwell</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Mobil Corporation</w:t>
            </w:r>
          </w:p>
        </w:tc>
        <w:tc>
          <w:tcPr>
            <w:tcW w:w="3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Skadden, Arps, Slate, Meagher &amp; Flom LLP</w:t>
            </w:r>
          </w:p>
        </w:tc>
      </w:tr>
      <w:tr>
        <w:trPr>
          <w:trHeight w:val="166"/>
        </w:trPr>
        <w:tc>
          <w:tcPr>
            <w:tcW w:w="22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450 Lexington Avenue</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3225 Gallows Road</w:t>
            </w:r>
          </w:p>
        </w:tc>
        <w:tc>
          <w:tcPr>
            <w:tcW w:w="3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919 Third Avenue</w:t>
            </w:r>
          </w:p>
        </w:tc>
      </w:tr>
      <w:tr>
        <w:trPr>
          <w:trHeight w:val="166"/>
        </w:trPr>
        <w:tc>
          <w:tcPr>
            <w:tcW w:w="22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New York, New York 10017</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Fairfax, Virginia 22037-0001</w:t>
            </w:r>
          </w:p>
        </w:tc>
        <w:tc>
          <w:tcPr>
            <w:tcW w:w="3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New York, NY 10022</w:t>
            </w:r>
          </w:p>
        </w:tc>
      </w:tr>
      <w:tr>
        <w:trPr>
          <w:trHeight w:val="166"/>
        </w:trPr>
        <w:tc>
          <w:tcPr>
            <w:tcW w:w="22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(212) 450-4000</w:t>
            </w:r>
          </w:p>
        </w:tc>
        <w:tc>
          <w:tcPr>
            <w:tcW w:w="27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(703) 846-3000</w:t>
            </w:r>
          </w:p>
        </w:tc>
        <w:tc>
          <w:tcPr>
            <w:tcW w:w="3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(212) 735-3000</w:t>
            </w:r>
          </w:p>
        </w:tc>
      </w:tr>
    </w:tbl>
    <w:p>
      <w:pPr>
        <w:spacing w:after="0" w:line="335"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the effectiveness of this Registration Statement and the effective time of the merger of a wholly-owned subsidiary of the Registrant with and into Mobil Corporation as described in the Agreement and Plan of Merger dated as of December 1, 1998.</w:t>
      </w:r>
    </w:p>
    <w:p>
      <w:pPr>
        <w:spacing w:after="0" w:line="165" w:lineRule="exact"/>
        <w:rPr>
          <w:sz w:val="24"/>
          <w:szCs w:val="24"/>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w:t>
      </w:r>
    </w:p>
    <w:p>
      <w:pPr>
        <w:spacing w:after="0" w:line="163" w:lineRule="exact"/>
        <w:rPr>
          <w:sz w:val="24"/>
          <w:szCs w:val="24"/>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spacing w:after="0" w:line="162" w:lineRule="exact"/>
        <w:rPr>
          <w:sz w:val="24"/>
          <w:szCs w:val="24"/>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162"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ectPr>
          <w:pgSz w:w="11900" w:h="16838" w:orient="portrait"/>
          <w:cols w:equalWidth="0" w:num="1">
            <w:col w:w="10239"/>
          </w:cols>
          <w:pgMar w:left="220" w:top="727" w:right="1440" w:bottom="0" w:gutter="0" w:footer="0" w:header="0"/>
        </w:sectPr>
      </w:pPr>
    </w:p>
    <w:p>
      <w:pPr>
        <w:spacing w:after="0" w:line="200" w:lineRule="exact"/>
        <w:rPr>
          <w:sz w:val="24"/>
          <w:szCs w:val="24"/>
          <w:color w:val="auto"/>
        </w:rPr>
      </w:pPr>
    </w:p>
    <w:p>
      <w:pPr>
        <w:spacing w:after="0" w:line="30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Title of each Class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to be Registered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to be</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Proposed Maximum</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Offering Price Per</w:t>
      </w:r>
    </w:p>
    <w:p>
      <w:pPr>
        <w:spacing w:after="0" w:line="7"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Unit</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Proposed Maximum</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 Offering</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Price (2)</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Fee(3)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5">
            <w:col w:w="3000" w:space="720"/>
            <w:col w:w="1120" w:space="260"/>
            <w:col w:w="1720" w:space="80"/>
            <w:col w:w="1720" w:space="260"/>
            <w:col w:w="1359"/>
          </w:cols>
          <w:pgMar w:left="220" w:top="727" w:right="1440" w:bottom="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$72,757,343,750</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$20,226,541.56</w:t>
      </w:r>
    </w:p>
    <w:p>
      <w:pPr>
        <w:spacing w:after="0" w:line="173" w:lineRule="exact"/>
        <w:rPr>
          <w:sz w:val="24"/>
          <w:szCs w:val="24"/>
          <w:color w:val="auto"/>
        </w:rPr>
      </w:pPr>
    </w:p>
    <w:p>
      <w:pPr>
        <w:sectPr>
          <w:pgSz w:w="11900" w:h="16838" w:orient="portrait"/>
          <w:cols w:equalWidth="0" w:num="5">
            <w:col w:w="3540" w:space="440"/>
            <w:col w:w="900" w:space="720"/>
            <w:col w:w="660" w:space="720"/>
            <w:col w:w="1300" w:space="520"/>
            <w:col w:w="1439"/>
          </w:cols>
          <w:pgMar w:left="220" w:top="72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27" w:right="1440" w:bottom="0" w:gutter="0" w:footer="0" w:header="0"/>
          <w:type w:val="continuous"/>
        </w:sectPr>
      </w:pPr>
    </w:p>
    <w:p>
      <w:pPr>
        <w:spacing w:after="0" w:line="7" w:lineRule="exact"/>
        <w:rPr>
          <w:sz w:val="24"/>
          <w:szCs w:val="24"/>
          <w:color w:val="auto"/>
        </w:rPr>
      </w:pPr>
    </w:p>
    <w:p>
      <w:pPr>
        <w:ind w:left="520" w:right="3339" w:hanging="512"/>
        <w:spacing w:after="0" w:line="251"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Exxon common stock issuable in connection with the merger in exchange for shares of Mobil common stock, based on (i) the maximum number of shares of Mobil common stock exchangeable in the merger (833,000,000 shares) and (ii) the exchange ratio applicable in the merger (1.32015 shares of Exxon common stock for each share of Mobil common stock).</w:t>
      </w:r>
    </w:p>
    <w:p>
      <w:pPr>
        <w:sectPr>
          <w:pgSz w:w="11900" w:h="16838" w:orient="portrait"/>
          <w:cols w:equalWidth="0" w:num="1">
            <w:col w:w="10239"/>
          </w:cols>
          <w:pgMar w:left="220" w:top="727" w:right="1440" w:bottom="0" w:gutter="0" w:footer="0" w:header="0"/>
          <w:type w:val="continuous"/>
        </w:sectPr>
      </w:pPr>
    </w:p>
    <w:bookmarkStart w:id="1" w:name="page2"/>
    <w:bookmarkEnd w:id="1"/>
    <w:p>
      <w:pPr>
        <w:ind w:left="520" w:right="3339"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457(f)(1) and Rule 457(c) of the Securities Act, based on the market value of the Mobil shares to be received by Exxon in the merger, as established by the average of the high and low sales prices of Mobil common stock on April 1, 1999 on the consolidated tape, which was $87.34375.</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fee has been calculated pursuant to Section 6(b) of the Securities Act, as .0278 of one percent of $72,757,343,750. In accordance with Rule 457 under the Securities Act, the fee of $14,003,550 paid by the Registrant and Mobil pursuant to Rule 14a-6(i)(1) under the Securities Exchange Act upon the filing of their preliminary proxy material relating to the merger has been credited against the registration fee payable in connection with this filing. The balance of the fee payable with this filing is therefore $6,222,991.56.</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CROSS REFERENCE SHEET</w:t>
      </w:r>
    </w:p>
    <w:p>
      <w:pPr>
        <w:spacing w:after="0" w:line="338" w:lineRule="exact"/>
        <w:rPr>
          <w:sz w:val="20"/>
          <w:szCs w:val="20"/>
          <w:color w:val="auto"/>
        </w:rPr>
      </w:pPr>
    </w:p>
    <w:p>
      <w:pPr>
        <w:ind w:left="1900" w:right="1799"/>
        <w:spacing w:after="0" w:line="247" w:lineRule="auto"/>
        <w:rPr>
          <w:sz w:val="20"/>
          <w:szCs w:val="20"/>
          <w:color w:val="auto"/>
        </w:rPr>
      </w:pPr>
      <w:r>
        <w:rPr>
          <w:rFonts w:ascii="Courier New" w:cs="Courier New" w:eastAsia="Courier New" w:hAnsi="Courier New"/>
          <w:sz w:val="14"/>
          <w:szCs w:val="14"/>
          <w:color w:val="auto"/>
        </w:rPr>
        <w:t>ITEM NUMBER LOCATION IN JOINT PROXY IN FORM S-4 STATEMENT/PROSPECTUS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INFORMATION ABOUT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TRANSACTION</w:t>
      </w:r>
    </w:p>
    <w:p>
      <w:pPr>
        <w:sectPr>
          <w:pgSz w:w="11900" w:h="16838" w:orient="portrait"/>
          <w:cols w:equalWidth="0" w:num="1">
            <w:col w:w="10239"/>
          </w:cols>
          <w:pgMar w:left="220" w:top="948" w:right="1440" w:bottom="1440" w:gutter="0" w:footer="0" w:header="0"/>
        </w:sectPr>
      </w:pP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Forepart of Registration Statement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Outside Front Cover Page of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419"/>
        <w:spacing w:after="0" w:line="255" w:lineRule="auto"/>
        <w:rPr>
          <w:sz w:val="20"/>
          <w:szCs w:val="20"/>
          <w:color w:val="auto"/>
        </w:rPr>
      </w:pPr>
      <w:r>
        <w:rPr>
          <w:rFonts w:ascii="Courier New" w:cs="Courier New" w:eastAsia="Courier New" w:hAnsi="Courier New"/>
          <w:sz w:val="14"/>
          <w:szCs w:val="14"/>
          <w:color w:val="auto"/>
        </w:rPr>
        <w:t>Facing Page of the Registration Statement; Outside Front Cover Page of Joint Proxy Statement/Prospectus</w:t>
      </w:r>
    </w:p>
    <w:p>
      <w:pPr>
        <w:spacing w:after="0" w:line="160" w:lineRule="exact"/>
        <w:rPr>
          <w:sz w:val="20"/>
          <w:szCs w:val="20"/>
          <w:color w:val="auto"/>
        </w:rPr>
      </w:pPr>
    </w:p>
    <w:p>
      <w:pPr>
        <w:sectPr>
          <w:pgSz w:w="11900" w:h="16838" w:orient="portrait"/>
          <w:cols w:equalWidth="0" w:num="2">
            <w:col w:w="4580" w:space="420"/>
            <w:col w:w="5239"/>
          </w:cols>
          <w:pgMar w:left="220" w:top="948" w:right="1440" w:bottom="1440" w:gutter="0" w:footer="0" w:header="0"/>
          <w:type w:val="continuous"/>
        </w:sect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 Front and Outside Back Cover Pages</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Prospectus...................................</w:t>
      </w:r>
    </w:p>
    <w:p>
      <w:pPr>
        <w:spacing w:after="0" w:line="20" w:lineRule="exact"/>
        <w:rPr>
          <w:sz w:val="20"/>
          <w:szCs w:val="20"/>
          <w:color w:val="auto"/>
        </w:rPr>
      </w:pPr>
      <w:r>
        <w:rPr>
          <w:sz w:val="20"/>
          <w:szCs w:val="20"/>
          <w:color w:val="auto"/>
        </w:rPr>
        <w:br w:type="column"/>
      </w:r>
    </w:p>
    <w:p>
      <w:pPr>
        <w:ind w:right="499"/>
        <w:spacing w:after="0" w:line="252" w:lineRule="auto"/>
        <w:rPr>
          <w:sz w:val="20"/>
          <w:szCs w:val="20"/>
          <w:color w:val="auto"/>
        </w:rPr>
      </w:pPr>
      <w:r>
        <w:rPr>
          <w:rFonts w:ascii="Courier New" w:cs="Courier New" w:eastAsia="Courier New" w:hAnsi="Courier New"/>
          <w:sz w:val="14"/>
          <w:szCs w:val="14"/>
          <w:color w:val="auto"/>
        </w:rPr>
        <w:t>Where You Can Find More Information; Table of Contents; Comparative Per Share Data; Where You Can Find More Information</w:t>
      </w:r>
    </w:p>
    <w:p>
      <w:pPr>
        <w:spacing w:after="0" w:line="163" w:lineRule="exact"/>
        <w:rPr>
          <w:sz w:val="20"/>
          <w:szCs w:val="20"/>
          <w:color w:val="auto"/>
        </w:rPr>
      </w:pPr>
    </w:p>
    <w:p>
      <w:pPr>
        <w:sectPr>
          <w:pgSz w:w="11900" w:h="16838" w:orient="portrait"/>
          <w:cols w:equalWidth="0" w:num="2">
            <w:col w:w="4580" w:space="420"/>
            <w:col w:w="5239"/>
          </w:cols>
          <w:pgMar w:left="220" w:top="948" w:right="1440" w:bottom="1440" w:gutter="0" w:footer="0" w:header="0"/>
          <w:type w:val="continuous"/>
        </w:sect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 Ratio of Earnings to Fixed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Charges and Other Information...................</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Outside Front Cover Page of Prospectus; Summary;</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Interests of Certain Persons in the Merger; Selected</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Historical Financial Data; Selected Historical and Pro</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Forma Financial Data; The Merger Transaction;</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Comparative Per Share Market Price and Dividend</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Information; Chapter Two - Information About the</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Meetings and Voting</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Terms of the Transaction........................</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Outside Front Cover Page of Prospectus; Summary; The</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Merger Transaction; Opinions of Financial Advisors; The</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Merger Agreement; Chapter Two - Information About the</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Meetings and Voting; Chapter Three - Certain Legal</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Information.</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Pro Forma Financial Information.................</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Unaudited Pro Forma Condensed Combined Financial</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Statements; Notes to Unaudited Pro Forma Condensed</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Combined Financial Statements.</w:t>
            </w:r>
          </w:p>
        </w:tc>
      </w:tr>
    </w:tbl>
    <w:p>
      <w:pPr>
        <w:spacing w:after="0" w:line="170"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Contacts with the Company Being</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Acquired........................................</w:t>
      </w:r>
    </w:p>
    <w:p>
      <w:pPr>
        <w:spacing w:after="0" w:line="20" w:lineRule="exact"/>
        <w:rPr>
          <w:sz w:val="20"/>
          <w:szCs w:val="20"/>
          <w:color w:val="auto"/>
        </w:rPr>
      </w:pPr>
      <w:r>
        <w:rPr>
          <w:sz w:val="20"/>
          <w:szCs w:val="20"/>
          <w:color w:val="auto"/>
        </w:rPr>
        <w:br w:type="column"/>
      </w:r>
    </w:p>
    <w:p>
      <w:pPr>
        <w:ind w:right="1539"/>
        <w:spacing w:after="0" w:line="255" w:lineRule="auto"/>
        <w:rPr>
          <w:sz w:val="20"/>
          <w:szCs w:val="20"/>
          <w:color w:val="auto"/>
        </w:rPr>
      </w:pPr>
      <w:r>
        <w:rPr>
          <w:rFonts w:ascii="Courier New" w:cs="Courier New" w:eastAsia="Courier New" w:hAnsi="Courier New"/>
          <w:sz w:val="14"/>
          <w:szCs w:val="14"/>
          <w:color w:val="auto"/>
        </w:rPr>
        <w:t>Summary; The Merger Transaction; The Merger Agreement.</w:t>
      </w:r>
    </w:p>
    <w:p>
      <w:pPr>
        <w:spacing w:after="0" w:line="160" w:lineRule="exact"/>
        <w:rPr>
          <w:sz w:val="20"/>
          <w:szCs w:val="20"/>
          <w:color w:val="auto"/>
        </w:rPr>
      </w:pPr>
    </w:p>
    <w:p>
      <w:pPr>
        <w:sectPr>
          <w:pgSz w:w="11900" w:h="16838" w:orient="portrait"/>
          <w:cols w:equalWidth="0" w:num="2">
            <w:col w:w="4580" w:space="420"/>
            <w:col w:w="5239"/>
          </w:cols>
          <w:pgMar w:left="220" w:top="948" w:right="1440" w:bottom="1440" w:gutter="0" w:footer="0" w:header="0"/>
          <w:type w:val="continuous"/>
        </w:sectPr>
      </w:pPr>
    </w:p>
    <w:p>
      <w:pPr>
        <w:ind w:left="440" w:right="6359" w:hanging="432"/>
        <w:spacing w:after="0" w:line="250"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to be Underwriters</w:t>
            </w:r>
          </w:p>
        </w:tc>
        <w:tc>
          <w:tcPr>
            <w:tcW w:w="2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8.</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Interests of Named</w:t>
            </w:r>
          </w:p>
        </w:tc>
        <w:tc>
          <w:tcPr>
            <w:tcW w:w="2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Experts and Counsel..........</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Commission Position on</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Indemnification for Securities 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Liabilities.....................................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580" w:space="420"/>
            <w:col w:w="5239"/>
          </w:cols>
          <w:pgMar w:left="220" w:top="948" w:right="1440" w:bottom="1440" w:gutter="0" w:footer="0" w:header="0"/>
          <w:type w:val="continuous"/>
        </w:sectPr>
      </w:pPr>
    </w:p>
    <w:bookmarkStart w:id="3" w:name="page4"/>
    <w:bookmarkEnd w:id="3"/>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THE REGISTRANT</w:t>
      </w:r>
    </w:p>
    <w:p>
      <w:pPr>
        <w:spacing w:after="0" w:line="173" w:lineRule="exact"/>
        <w:rPr>
          <w:sz w:val="20"/>
          <w:szCs w:val="20"/>
          <w:color w:val="auto"/>
        </w:rPr>
      </w:pPr>
    </w:p>
    <w:p>
      <w:pPr>
        <w:spacing w:after="0"/>
        <w:tabs>
          <w:tab w:leader="none" w:pos="420" w:val="left"/>
          <w:tab w:leader="none" w:pos="4980" w:val="left"/>
        </w:tabs>
        <w:rPr>
          <w:sz w:val="20"/>
          <w:szCs w:val="20"/>
          <w:color w:val="auto"/>
        </w:rPr>
      </w:pPr>
      <w:r>
        <w:rPr>
          <w:rFonts w:ascii="Courier New" w:cs="Courier New" w:eastAsia="Courier New" w:hAnsi="Courier New"/>
          <w:sz w:val="14"/>
          <w:szCs w:val="14"/>
          <w:color w:val="auto"/>
        </w:rPr>
        <w:t>10.</w:t>
        <w:tab/>
        <w:t>Information with Respect to S-3 Registrants.....</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Certain Information by</w:t>
      </w:r>
    </w:p>
    <w:p>
      <w:pPr>
        <w:spacing w:after="0" w:line="173" w:lineRule="exact"/>
        <w:rPr>
          <w:sz w:val="20"/>
          <w:szCs w:val="20"/>
          <w:color w:val="auto"/>
        </w:rPr>
      </w:pPr>
    </w:p>
    <w:p>
      <w:pPr>
        <w:ind w:left="440"/>
        <w:spacing w:after="0"/>
        <w:tabs>
          <w:tab w:leader="none" w:pos="4980" w:val="left"/>
        </w:tabs>
        <w:rPr>
          <w:sz w:val="20"/>
          <w:szCs w:val="20"/>
          <w:color w:val="auto"/>
        </w:rPr>
      </w:pPr>
      <w:r>
        <w:rPr>
          <w:rFonts w:ascii="Courier New" w:cs="Courier New" w:eastAsia="Courier New" w:hAnsi="Courier New"/>
          <w:sz w:val="14"/>
          <w:szCs w:val="14"/>
          <w:color w:val="auto"/>
        </w:rPr>
        <w:t>Reference.......................................</w:t>
      </w:r>
      <w:r>
        <w:rPr>
          <w:sz w:val="20"/>
          <w:szCs w:val="20"/>
          <w:color w:val="auto"/>
        </w:rPr>
        <w:tab/>
      </w: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S-2 and S-3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Registrants.....................................</w:t>
            </w:r>
          </w:p>
        </w:tc>
        <w:tc>
          <w:tcPr>
            <w:tcW w:w="4620" w:type="dxa"/>
            <w:vAlign w:val="bottom"/>
          </w:tcPr>
          <w:p>
            <w:pPr>
              <w:ind w:left="220"/>
              <w:spacing w:after="0"/>
              <w:rPr>
                <w:sz w:val="20"/>
                <w:szCs w:val="20"/>
                <w:color w:val="auto"/>
              </w:rPr>
            </w:pPr>
            <w:r>
              <w:rPr>
                <w:rFonts w:ascii="Courier New" w:cs="Courier New" w:eastAsia="Courier New" w:hAnsi="Courier New"/>
                <w:sz w:val="14"/>
                <w:szCs w:val="14"/>
                <w:color w:val="auto"/>
              </w:rPr>
              <w:t>Summary; The Merger Transaction; Where You Can Find</w:t>
            </w:r>
          </w:p>
        </w:tc>
      </w:tr>
      <w:tr>
        <w:trPr>
          <w:trHeight w:val="166"/>
        </w:trPr>
        <w:tc>
          <w:tcPr>
            <w:tcW w:w="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620" w:type="dxa"/>
            <w:vAlign w:val="bottom"/>
          </w:tcPr>
          <w:p>
            <w:pPr>
              <w:ind w:left="220"/>
              <w:spacing w:after="0"/>
              <w:rPr>
                <w:sz w:val="20"/>
                <w:szCs w:val="20"/>
                <w:color w:val="auto"/>
              </w:rPr>
            </w:pPr>
            <w:r>
              <w:rPr>
                <w:rFonts w:ascii="Courier New" w:cs="Courier New" w:eastAsia="Courier New" w:hAnsi="Courier New"/>
                <w:sz w:val="14"/>
                <w:szCs w:val="14"/>
                <w:color w:val="auto"/>
              </w:rPr>
              <w:t>More Information</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13.</w:t>
            </w: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Incorporation of Certain Information by</w:t>
            </w:r>
          </w:p>
        </w:tc>
        <w:tc>
          <w:tcPr>
            <w:tcW w:w="462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Reference.......................................</w:t>
            </w:r>
          </w:p>
        </w:tc>
        <w:tc>
          <w:tcPr>
            <w:tcW w:w="46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14.</w:t>
            </w: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Information with Respect to Registrants</w:t>
            </w:r>
          </w:p>
        </w:tc>
        <w:tc>
          <w:tcPr>
            <w:tcW w:w="462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Other Than S-3 or S-2 Registrants...............</w:t>
            </w:r>
          </w:p>
        </w:tc>
        <w:tc>
          <w:tcPr>
            <w:tcW w:w="46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7299" w:hanging="432"/>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THE COMPANY BEING ACQUIRED</w:t>
      </w:r>
    </w:p>
    <w:p>
      <w:pPr>
        <w:spacing w:after="0" w:line="160"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Companies.......................................</w:t>
            </w: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16. Information with Respect to S-2 or S-3</w:t>
            </w:r>
          </w:p>
        </w:tc>
        <w:tc>
          <w:tcPr>
            <w:tcW w:w="48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Companies........................................</w:t>
            </w: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Summary; The Merger Transaction; Where You Can Find</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More Information</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Information with Respect to Companies</w:t>
            </w:r>
          </w:p>
        </w:tc>
        <w:tc>
          <w:tcPr>
            <w:tcW w:w="48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Other Than S-2 or S-3 Companies.................</w:t>
            </w: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VOTING AND MANAGEMENT</w:t>
            </w:r>
          </w:p>
        </w:tc>
        <w:tc>
          <w:tcPr>
            <w:tcW w:w="48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INFORMATION</w:t>
            </w:r>
          </w:p>
        </w:tc>
        <w:tc>
          <w:tcPr>
            <w:tcW w:w="4880" w:type="dxa"/>
            <w:vAlign w:val="bottom"/>
          </w:tcPr>
          <w:p>
            <w:pPr>
              <w:spacing w:after="0"/>
              <w:rPr>
                <w:sz w:val="14"/>
                <w:szCs w:val="14"/>
                <w:color w:val="auto"/>
              </w:rPr>
            </w:pP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Information if Proxies, Consents or</w:t>
            </w:r>
          </w:p>
        </w:tc>
        <w:tc>
          <w:tcPr>
            <w:tcW w:w="48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Courier New" w:cs="Courier New" w:eastAsia="Courier New" w:hAnsi="Courier New"/>
                <w:sz w:val="14"/>
                <w:szCs w:val="14"/>
                <w:color w:val="auto"/>
              </w:rPr>
              <w:t>Authorizations are to be Solicited..............</w:t>
            </w: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Outside Front Cover Page of Joint Proxy</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Statement/Prospectus; Summary; Interests of Certain</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Persons in the Merger; The Merger Agreement; The Stock</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Option Agreement; Chapter Two - Information About the</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Meetings and Voting; Chapter Three - Certain Legal</w:t>
            </w:r>
          </w:p>
        </w:tc>
      </w:tr>
      <w:tr>
        <w:trPr>
          <w:trHeight w:val="166"/>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Courier New" w:cs="Courier New" w:eastAsia="Courier New" w:hAnsi="Courier New"/>
                <w:sz w:val="14"/>
                <w:szCs w:val="14"/>
                <w:color w:val="auto"/>
              </w:rPr>
              <w:t>Information;  Where You Can Find More Information</w:t>
            </w:r>
          </w:p>
        </w:tc>
      </w:tr>
    </w:tbl>
    <w:p>
      <w:pPr>
        <w:spacing w:after="0" w:line="170" w:lineRule="exact"/>
        <w:rPr>
          <w:sz w:val="20"/>
          <w:szCs w:val="20"/>
          <w:color w:val="auto"/>
        </w:rPr>
      </w:pPr>
    </w:p>
    <w:p>
      <w:pPr>
        <w:ind w:left="440" w:right="6519" w:hanging="432"/>
        <w:spacing w:after="0" w:line="250"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Authorizations are not to be Solicited</w:t>
      </w:r>
    </w:p>
    <w:p>
      <w:pPr>
        <w:sectPr>
          <w:pgSz w:w="11900" w:h="16838" w:orient="portrait"/>
          <w:cols w:equalWidth="0" w:num="1">
            <w:col w:w="10239"/>
          </w:cols>
          <w:pgMar w:left="220" w:top="948" w:right="1440" w:bottom="1440" w:gutter="0" w:footer="0" w:header="0"/>
        </w:sectPr>
      </w:pP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 in an Exchange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580" w:space="420"/>
            <w:col w:w="5239"/>
          </w:cols>
          <w:pgMar w:left="220" w:top="948"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jc w:val="center"/>
        <w:ind w:left="3360" w:right="4019" w:hanging="3352"/>
        <w:spacing w:after="0" w:line="505"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Omitted because the Item is inapplicable or the answer is negative. ii</w:t>
      </w:r>
    </w:p>
    <w:p>
      <w:pPr>
        <w:sectPr>
          <w:pgSz w:w="11900" w:h="16838" w:orient="portrait"/>
          <w:cols w:equalWidth="0" w:num="1">
            <w:col w:w="10239"/>
          </w:cols>
          <w:pgMar w:left="220" w:top="948" w:right="1440" w:bottom="1440" w:gutter="0" w:footer="0" w:header="0"/>
          <w:type w:val="continuous"/>
        </w:sectPr>
      </w:pPr>
    </w:p>
    <w:bookmarkStart w:id="4" w:name="page5"/>
    <w:bookmarkEnd w:id="4"/>
    <w:p>
      <w:pPr>
        <w:ind w:left="520"/>
        <w:spacing w:after="0"/>
        <w:rPr>
          <w:sz w:val="20"/>
          <w:szCs w:val="20"/>
          <w:color w:val="auto"/>
        </w:rPr>
      </w:pPr>
      <w:r>
        <w:rPr>
          <w:rFonts w:ascii="Courier New" w:cs="Courier New" w:eastAsia="Courier New" w:hAnsi="Courier New"/>
          <w:sz w:val="14"/>
          <w:szCs w:val="14"/>
          <w:color w:val="auto"/>
        </w:rPr>
        <w:t>[PRELIMINARY DRAFT DATED APRIL 5, 1999, SUBJECT TO COMPLETION]</w:t>
      </w:r>
    </w:p>
    <w:p>
      <w:pPr>
        <w:sectPr>
          <w:pgSz w:w="11900" w:h="16838" w:orient="portrait"/>
          <w:cols w:equalWidth="0" w:num="1">
            <w:col w:w="10239"/>
          </w:cols>
          <w:pgMar w:left="220" w:top="45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logo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logo</w:t>
      </w:r>
    </w:p>
    <w:p>
      <w:pPr>
        <w:spacing w:after="0" w:line="173" w:lineRule="exact"/>
        <w:rPr>
          <w:sz w:val="20"/>
          <w:szCs w:val="20"/>
          <w:color w:val="auto"/>
        </w:rPr>
      </w:pPr>
    </w:p>
    <w:p>
      <w:pPr>
        <w:sectPr>
          <w:pgSz w:w="11900" w:h="16838" w:orient="portrait"/>
          <w:cols w:equalWidth="0" w:num="2">
            <w:col w:w="5140" w:space="720"/>
            <w:col w:w="4379"/>
          </w:cols>
          <w:pgMar w:left="220" w:top="451"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MERGER PROPOSED -- YOUR VOTE IS VERY IMPORTANT</w:t>
      </w:r>
    </w:p>
    <w:p>
      <w:pPr>
        <w:sectPr>
          <w:pgSz w:w="11900" w:h="16838" w:orient="portrait"/>
          <w:cols w:equalWidth="0" w:num="1">
            <w:col w:w="10239"/>
          </w:cols>
          <w:pgMar w:left="220" w:top="451" w:right="1440" w:bottom="1440" w:gutter="0" w:footer="0" w:header="0"/>
          <w:type w:val="continuous"/>
        </w:sectPr>
      </w:pP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Boards of Directors of Exxon Corporation and Mobil Corporation have approved a merger agreement which provides for the combination of the two companies. We believe the combined company will be able to create substantially more shareholder value than could be achieved by the companies individually.</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Our combined company would be named Exxon Mobil Corporation, with its headquarters in Irving, Texas. Sometimes in this booklet we will refer to the combined company as "Exxon Mobil".</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If the merger is completed, holders of Mobil common stock will receive, for each Mobil share, 1.32015 shares of Exxon Mobil common stock, and each share of Mobil ESOP preferred stock will be converted into an equivalent share of a newly created class of Exxon Mobil preferred stock. Exxon shareholders will continue to own their existing shares after the merger. Sometimes in this booklet we refer to Exxon stock after the closing of the merger as "Exxon Mobil stock".</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Exxon Mobil will issue approximately 1.03 billion shares of Exxon Mobil common stock to Mobil shareholders in the merger, based on outstanding shares on March 1, 1999. These shares will represent approximately 30% of the outstanding Exxon Mobil common stock after the merger. Exxon shares held by Exxon shareholders before the merger will represent approximately 70% of the outstanding Exxon Mobil shares after the merger.</w:t>
      </w:r>
    </w:p>
    <w:p>
      <w:pPr>
        <w:spacing w:after="0" w:line="164"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We are asking shareholders of Exxon to approve the merger and related matters and to vote on the election of Exxon directors and other Exxon annual meeting matters described in this booklet.</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are asking shareholders of Mobil to approve the merger agreement and the merger and to vote on the election of Mobil directors and other Mobil annual meeting matters described in this booklet. If the merger is completed, these Mobil annual meeting matters will, as a result, be superseded.</w:t>
      </w:r>
    </w:p>
    <w:p>
      <w:pPr>
        <w:spacing w:after="0" w:line="162"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We cannot complete the merger unless shareholders of both companies approve it. Approval of the other annual meeting matters is not a condition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dates, times and places of the meetings are: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Exxon shareholders: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Thursday, May 27, 1999</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10:00 a.m., Central Time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Trinity Conference Center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Wyndham Anatole Hotel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2201 Stemmons Freeway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Mobil shareholders: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Thursday, May 27, 1999</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10:00 a.m., Central Time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Regency Ballroom of the Fairmont Hotel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1717 North Akard Street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Dallas, Texas</w:t>
      </w:r>
    </w:p>
    <w:p>
      <w:pPr>
        <w:sectPr>
          <w:pgSz w:w="11900" w:h="16838" w:orient="portrait"/>
          <w:cols w:equalWidth="0" w:num="1">
            <w:col w:w="10239"/>
          </w:cols>
          <w:pgMar w:left="220" w:top="451"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Lee R. Raymond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Lucio A. Noto</w:t>
      </w:r>
    </w:p>
    <w:p>
      <w:pPr>
        <w:spacing w:after="0" w:line="173" w:lineRule="exact"/>
        <w:rPr>
          <w:sz w:val="20"/>
          <w:szCs w:val="20"/>
          <w:color w:val="auto"/>
        </w:rPr>
      </w:pPr>
    </w:p>
    <w:p>
      <w:pPr>
        <w:sectPr>
          <w:pgSz w:w="11900" w:h="16838" w:orient="portrait"/>
          <w:cols w:equalWidth="0" w:num="2">
            <w:col w:w="1620" w:space="720"/>
            <w:col w:w="78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Lee R. Raymond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Exxon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Lucio A. Noto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Chairman of the Board and Chief Executive Officer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Mobil Corporation</w:t>
      </w:r>
    </w:p>
    <w:p>
      <w:pPr>
        <w:spacing w:after="0" w:line="173" w:lineRule="exact"/>
        <w:rPr>
          <w:sz w:val="20"/>
          <w:szCs w:val="20"/>
          <w:color w:val="auto"/>
        </w:rPr>
      </w:pPr>
    </w:p>
    <w:p>
      <w:pPr>
        <w:sectPr>
          <w:pgSz w:w="11900" w:h="16838" w:orient="portrait"/>
          <w:cols w:equalWidth="0" w:num="2">
            <w:col w:w="1900" w:space="440"/>
            <w:col w:w="7899"/>
          </w:cols>
          <w:pgMar w:left="220" w:top="451" w:right="1440" w:bottom="1440" w:gutter="0" w:footer="0" w:header="0"/>
          <w:type w:val="continuous"/>
        </w:sect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0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regulators have approved the Exxon Mobil stock to be issued under this Joint Proxy Statement/Prospectus or determined if this Joint Proxy Statement/Prospectus is accurate or adequate. Any representation to the contrary is a criminal offense.</w:t>
      </w:r>
    </w:p>
    <w:p>
      <w:pPr>
        <w:spacing w:after="0" w:line="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Proxy Statement/Prospectus dated _____ __, 1999, and first mailed to</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shareholders on April 9, 1999.</w:t>
      </w:r>
    </w:p>
    <w:p>
      <w:pPr>
        <w:sectPr>
          <w:pgSz w:w="11900" w:h="16838" w:orient="portrait"/>
          <w:cols w:equalWidth="0" w:num="1">
            <w:col w:w="10239"/>
          </w:cols>
          <w:pgMar w:left="220" w:top="451"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[Note: Page for Exxon Booklet only.]</w:t>
      </w:r>
    </w:p>
    <w:p>
      <w:pPr>
        <w:spacing w:after="0" w:line="17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EXXON 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ANNUAL MEETING OF SHAREHOLDERS OF EXXON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10:00 a.m., Central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27,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Trinity Conference Center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Wyndham Anatole Hotel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2201 Stemmons Freeway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7" w:lineRule="exact"/>
        <w:rPr>
          <w:sz w:val="20"/>
          <w:szCs w:val="20"/>
          <w:color w:val="auto"/>
        </w:rPr>
      </w:pPr>
    </w:p>
    <w:p>
      <w:pPr>
        <w:ind w:left="520" w:right="3859"/>
        <w:spacing w:after="0" w:line="250" w:lineRule="auto"/>
        <w:rPr>
          <w:sz w:val="20"/>
          <w:szCs w:val="20"/>
          <w:color w:val="auto"/>
        </w:rPr>
      </w:pPr>
      <w:r>
        <w:rPr>
          <w:rFonts w:ascii="Courier New" w:cs="Courier New" w:eastAsia="Courier New" w:hAnsi="Courier New"/>
          <w:sz w:val="14"/>
          <w:szCs w:val="14"/>
          <w:color w:val="auto"/>
        </w:rPr>
        <w:t>o Vote on the proposed merger of Exxon and Mobil and related matters o Elect directors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Ratify appointment of independent accountants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Vote on four shareholder proposals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Conduct other business if properly raised</w:t>
      </w:r>
    </w:p>
    <w:p>
      <w:pPr>
        <w:spacing w:after="0" w:line="173" w:lineRule="exact"/>
        <w:rPr>
          <w:sz w:val="20"/>
          <w:szCs w:val="20"/>
          <w:color w:val="auto"/>
        </w:rPr>
      </w:pPr>
    </w:p>
    <w:p>
      <w:pPr>
        <w:ind w:left="520" w:right="3939"/>
        <w:spacing w:after="0" w:line="252" w:lineRule="auto"/>
        <w:rPr>
          <w:sz w:val="20"/>
          <w:szCs w:val="20"/>
          <w:color w:val="auto"/>
        </w:rPr>
      </w:pPr>
      <w:r>
        <w:rPr>
          <w:rFonts w:ascii="Courier New" w:cs="Courier New" w:eastAsia="Courier New" w:hAnsi="Courier New"/>
          <w:sz w:val="14"/>
          <w:szCs w:val="14"/>
          <w:color w:val="auto"/>
        </w:rPr>
        <w:t>Only shareholders of record on March 29, 1999 may vote at the meeting. Only shareholders or their proxy holders and Exxon guests may attend the meeting.</w:t>
      </w:r>
    </w:p>
    <w:p>
      <w:pPr>
        <w:spacing w:after="0" w:line="163" w:lineRule="exact"/>
        <w:rPr>
          <w:sz w:val="20"/>
          <w:szCs w:val="20"/>
          <w:color w:val="auto"/>
        </w:rPr>
      </w:pPr>
    </w:p>
    <w:p>
      <w:pPr>
        <w:ind w:left="520" w:right="3859"/>
        <w:spacing w:after="0" w:line="251" w:lineRule="auto"/>
        <w:rPr>
          <w:sz w:val="20"/>
          <w:szCs w:val="20"/>
          <w:color w:val="auto"/>
        </w:rPr>
      </w:pPr>
      <w:r>
        <w:rPr>
          <w:rFonts w:ascii="Courier New" w:cs="Courier New" w:eastAsia="Courier New" w:hAnsi="Courier New"/>
          <w:sz w:val="14"/>
          <w:szCs w:val="14"/>
          <w:color w:val="auto"/>
        </w:rPr>
        <w:t>Your vote is important. Please complete, sign, date and return your proxy card in the enclosed envelope promptly, or authorize the individuals named on your proxy card to vote your shares by calling the toll-free telephone number or using the internet as described in the instructions included with your proxy card.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T.P. Townsend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T.P. Townsend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9, 1999</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[Note: Page for Mobil Booklet only.]</w:t>
      </w:r>
    </w:p>
    <w:p>
      <w:pPr>
        <w:spacing w:after="0" w:line="17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Mobil 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ANNUAL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ON MAY 27,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Mobil Corporation: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annual meeting of shareholders of Mobil Corporation will be held on Thursday, May 27, 1999, at 10:00 a.m., at the Regency Ballroom of the Fairmont Hotel, 1717 North Akard Street, Dallas, Texas, for the following purposes:</w:t>
      </w:r>
    </w:p>
    <w:p>
      <w:pPr>
        <w:spacing w:after="0" w:line="163" w:lineRule="exact"/>
        <w:rPr>
          <w:sz w:val="20"/>
          <w:szCs w:val="20"/>
          <w:color w:val="auto"/>
        </w:rPr>
      </w:pPr>
    </w:p>
    <w:p>
      <w:pPr>
        <w:ind w:left="520" w:right="3599" w:hanging="253"/>
        <w:spacing w:after="0" w:line="252"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and adopt the Agreement and Plan of Merger, dated as of December 1, 1998, among Mobil, Exxon Corporation and a subsidiary of Exxon, and the merger, as described in the attached joint proxy statement/prospectus;</w:t>
      </w:r>
    </w:p>
    <w:p>
      <w:pPr>
        <w:spacing w:after="0" w:line="16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four members to the Board of Directors of Mobil;</w:t>
      </w:r>
    </w:p>
    <w:p>
      <w:pPr>
        <w:spacing w:after="0" w:line="172"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and ratify the appointment of Ernst &amp; Young LLP as Mobil's independent auditors for 1999;</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two shareholder proposals; and</w:t>
      </w:r>
    </w:p>
    <w:p>
      <w:pPr>
        <w:spacing w:after="0" w:line="172"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Holders of record of Mobil common stock and of Mobil ESOP preferred stock at the close of business on March 29, 1999, will be entitled to vote at the Mobil meeting or any adjournment or postponement. A list of shareholders entitled to vote will be kept at Mobil Place at 3000 Pegasus Park Drive, Dallas, Texas 75247, for ten days before the meeting.</w:t>
      </w:r>
    </w:p>
    <w:p>
      <w:pPr>
        <w:spacing w:after="0" w:line="16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If you attend the meeting, you must register before entering. We will give priority seating to shareholders of record, beneficial owners who have evidence of ownership, or their authorized representatives, and guests of management. You may bring one guest.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do not send any certificates for your stock at this time.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Carole J. Yaley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Carole J. Yaley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9, 1999</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Your vote is important. Whether or not you plan to attend the Mobil meeting, please complete, date and return your proxy card in the enclosed envelope promptly or authorize the individuals named on your proxy card to vote your shares by calling the toll-free telephone number or using the internet by following the instructions included with your proxy card.</w:t>
      </w:r>
    </w:p>
    <w:p>
      <w:pPr>
        <w:sectPr>
          <w:pgSz w:w="11900" w:h="16838" w:orient="portrait"/>
          <w:cols w:equalWidth="0" w:num="1">
            <w:col w:w="10239"/>
          </w:cols>
          <w:pgMar w:left="220" w:top="61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596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CHAPTER ONE - THE MERGER</w:t>
            </w:r>
          </w:p>
        </w:tc>
        <w:tc>
          <w:tcPr>
            <w:tcW w:w="340" w:type="dxa"/>
            <w:vAlign w:val="bottom"/>
          </w:tcPr>
          <w:p>
            <w:pPr>
              <w:spacing w:after="0"/>
              <w:rPr>
                <w:sz w:val="24"/>
                <w:szCs w:val="24"/>
                <w:color w:val="auto"/>
              </w:rPr>
            </w:pP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QUESTIONS AND ANSWERS ABOUT THE</w:t>
            </w:r>
          </w:p>
        </w:tc>
        <w:tc>
          <w:tcPr>
            <w:tcW w:w="340" w:type="dxa"/>
            <w:vAlign w:val="bottom"/>
          </w:tcPr>
          <w:p>
            <w:pPr>
              <w:spacing w:after="0"/>
              <w:rPr>
                <w:sz w:val="24"/>
                <w:szCs w:val="2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I-1</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SUMMARY..............................................................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The Companies......................................................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Reasons for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Merger Recommendations to Shareholders.............................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Other Exxon Annual Meeting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I-6</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Other Mobil Annual Meeting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I-6</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SELECTED HISTORICAL AND PRO FORMA FINANCIAL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I-7</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SELECTED HISTORICAL FINANCIAL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Selected Historical Financial Data of Exxon........................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Selected Historical Financial Data of Mobil........................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Selected Unaudited Pro Forma Combined Financial</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I-10</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Comparative Per Share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I-11</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CAUTIONARY STATEMENT CONCERNING FORWARD-LOOKING</w:t>
            </w:r>
          </w:p>
        </w:tc>
        <w:tc>
          <w:tcPr>
            <w:tcW w:w="340" w:type="dxa"/>
            <w:vAlign w:val="bottom"/>
          </w:tcPr>
          <w:p>
            <w:pPr>
              <w:spacing w:after="0"/>
              <w:rPr>
                <w:sz w:val="24"/>
                <w:szCs w:val="2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I-12</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YEAR 2000 ISSUE.....................................................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I-13</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MERGER TRANSACTION..............................................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Background of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Our Reasons for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Exxon Mobil's Senior Management Team..............................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Factors Considered by, and Recommendation of,</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Exxon Board.................................................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Factors Considered by, and Recommendation of, the Mobil</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Board..........................................................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Accounting Treatment..............................................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I-26</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Material Federal Income Tax Consequences of the</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I-27</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Regulatory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I-28</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Appraisal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Federal Securities Laws Consequences; Stock Transfer Restriction</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Agreements.....................................................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I-29</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COMPARATIVE PER SHARE MARKET PRICE</w:t>
            </w:r>
          </w:p>
        </w:tc>
        <w:tc>
          <w:tcPr>
            <w:tcW w:w="340" w:type="dxa"/>
            <w:vAlign w:val="bottom"/>
          </w:tcPr>
          <w:p>
            <w:pPr>
              <w:spacing w:after="0"/>
              <w:rPr>
                <w:sz w:val="24"/>
                <w:szCs w:val="2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AND DIVIDEND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I-30</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Effect of Merger on Mobil Dividend Reinvestment Plan..............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I-31</w:t>
            </w:r>
          </w:p>
        </w:tc>
      </w:tr>
      <w:tr>
        <w:trPr>
          <w:trHeight w:val="166"/>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UNAUDITED PRO FORMA CONDENSED COMBINED FINANCIAL</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I-32</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NOTES TO UNAUDITED PRO FORMA CONDENSED COMBINED FINANCIAL</w:t>
            </w:r>
          </w:p>
        </w:tc>
        <w:tc>
          <w:tcPr>
            <w:tcW w:w="340" w:type="dxa"/>
            <w:vAlign w:val="bottom"/>
          </w:tcPr>
          <w:p>
            <w:pPr>
              <w:spacing w:after="0"/>
              <w:rPr>
                <w:sz w:val="24"/>
                <w:szCs w:val="2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I-37</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OPINIONS OF FINANCIAL ADVISORS.....................................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Opinion of Exxon Financial Advisor...............................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Opinion of Mobil Financial Advisor...............................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I-44</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Board of Directors................................................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Directors' and</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Officers' Insurance............................................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Employee Severance Plan...........................................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Incentive Compensation and Stock</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Ownership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I-51</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Management Retention Plan.........................................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I-52</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Rabbi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I-52</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Application of Past Practices.....................................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I-52</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MERGER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Structure of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Timing of Closing.................................................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Merger Consideration..............................................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Treatment of Mobil Stock Options;</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Other Mobil Stock-Based Awards..................................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Exchange of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Exxon Mobil Board and Related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I-55</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Certain Covenants.................................................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I-55</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Conditions to the Completion of</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Termination of the Merger</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Other Expenses....................................................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I-60</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Amendments; Waivers...............................................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I-61</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Stock Option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I-61</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CHAPTER TWO- INFORMATION ABOUT THE MEETINGS AND VOTING</w:t>
            </w:r>
          </w:p>
        </w:tc>
        <w:tc>
          <w:tcPr>
            <w:tcW w:w="340" w:type="dxa"/>
            <w:vAlign w:val="bottom"/>
          </w:tcPr>
          <w:p>
            <w:pPr>
              <w:spacing w:after="0"/>
              <w:rPr>
                <w:sz w:val="24"/>
                <w:szCs w:val="24"/>
                <w:color w:val="auto"/>
              </w:rPr>
            </w:pP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Matters Relating to the Meetings..................................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II-1</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Vote Necessary to Approve Exxon and</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Mobil Proposals.................................................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Proxies.........................................................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II-5</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Other Business; Adjournments....................................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II-7</w:t>
            </w:r>
          </w:p>
        </w:tc>
      </w:tr>
    </w:tbl>
    <w:p>
      <w:pPr>
        <w:sectPr>
          <w:pgSz w:w="11900" w:h="16838" w:orient="portrait"/>
          <w:cols w:equalWidth="0" w:num="1">
            <w:col w:w="10239"/>
          </w:cols>
          <w:pgMar w:left="220" w:top="616"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THREE - CERTAIN LEGAL INFORMATION</w:t>
            </w:r>
          </w:p>
        </w:tc>
        <w:tc>
          <w:tcPr>
            <w:tcW w:w="520" w:type="dxa"/>
            <w:vAlign w:val="bottom"/>
          </w:tcPr>
          <w:p>
            <w:pPr>
              <w:spacing w:after="0"/>
              <w:rPr>
                <w:sz w:val="14"/>
                <w:szCs w:val="14"/>
                <w:color w:val="auto"/>
              </w:rPr>
            </w:pP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COMPARISON OF SHAREHOLDER RIGHTS...................................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III-1</w:t>
            </w:r>
          </w:p>
        </w:tc>
      </w:tr>
      <w:tr>
        <w:trPr>
          <w:trHeight w:val="166"/>
        </w:trPr>
        <w:tc>
          <w:tcPr>
            <w:tcW w:w="57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Summary of Material Differences Between Current</w:t>
            </w:r>
          </w:p>
        </w:tc>
        <w:tc>
          <w:tcPr>
            <w:tcW w:w="520" w:type="dxa"/>
            <w:vAlign w:val="bottom"/>
          </w:tcPr>
          <w:p>
            <w:pPr>
              <w:spacing w:after="0"/>
              <w:rPr>
                <w:sz w:val="14"/>
                <w:szCs w:val="14"/>
                <w:color w:val="auto"/>
              </w:rPr>
            </w:pPr>
          </w:p>
        </w:tc>
      </w:tr>
      <w:tr>
        <w:trPr>
          <w:trHeight w:val="166"/>
        </w:trPr>
        <w:tc>
          <w:tcPr>
            <w:tcW w:w="57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Rights of Mobil Shareholders and Rights Those</w:t>
            </w:r>
          </w:p>
        </w:tc>
        <w:tc>
          <w:tcPr>
            <w:tcW w:w="520" w:type="dxa"/>
            <w:vAlign w:val="bottom"/>
          </w:tcPr>
          <w:p>
            <w:pPr>
              <w:spacing w:after="0"/>
              <w:rPr>
                <w:sz w:val="14"/>
                <w:szCs w:val="14"/>
                <w:color w:val="auto"/>
              </w:rPr>
            </w:pPr>
          </w:p>
        </w:tc>
      </w:tr>
      <w:tr>
        <w:trPr>
          <w:trHeight w:val="166"/>
        </w:trPr>
        <w:tc>
          <w:tcPr>
            <w:tcW w:w="5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Shareholders Will Have as Exxon Mobil Shareholders</w:t>
            </w:r>
          </w:p>
        </w:tc>
        <w:tc>
          <w:tcPr>
            <w:tcW w:w="520" w:type="dxa"/>
            <w:vAlign w:val="bottom"/>
          </w:tcPr>
          <w:p>
            <w:pPr>
              <w:spacing w:after="0"/>
              <w:rPr>
                <w:sz w:val="14"/>
                <w:szCs w:val="14"/>
                <w:color w:val="auto"/>
              </w:rPr>
            </w:pP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Following the Merger...........................................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III-1</w:t>
            </w: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DESCRIPTION OF EXXON CAPITAL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Authorized Capital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Exxon Common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Exxon Preferred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Amendment of Exxon Charter......................................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III-10</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Transfer Agent and Registrar....................................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166"/>
        </w:trPr>
        <w:tc>
          <w:tcPr>
            <w:tcW w:w="578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Stock Exchange Listing; Delisting and</w:t>
            </w:r>
          </w:p>
        </w:tc>
        <w:tc>
          <w:tcPr>
            <w:tcW w:w="520" w:type="dxa"/>
            <w:vAlign w:val="bottom"/>
          </w:tcPr>
          <w:p>
            <w:pPr>
              <w:spacing w:after="0"/>
              <w:rPr>
                <w:sz w:val="14"/>
                <w:szCs w:val="14"/>
                <w:color w:val="auto"/>
              </w:rPr>
            </w:pP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Deregistration of Mobil Common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LEGAL MATTERS.....................................................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EXPERTS...........................................................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FOUR - OTHER EXXON ANNUAL MEETING PROPOSALS</w:t>
            </w:r>
          </w:p>
        </w:tc>
        <w:tc>
          <w:tcPr>
            <w:tcW w:w="520" w:type="dxa"/>
            <w:vAlign w:val="bottom"/>
          </w:tcPr>
          <w:p>
            <w:pPr>
              <w:spacing w:after="0"/>
              <w:rPr>
                <w:sz w:val="24"/>
                <w:szCs w:val="24"/>
                <w:color w:val="auto"/>
              </w:rPr>
            </w:pP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FIVE - OTHER MOBIL ANNUAL MEETING PROPOSALS</w:t>
            </w:r>
          </w:p>
        </w:tc>
        <w:tc>
          <w:tcPr>
            <w:tcW w:w="520" w:type="dxa"/>
            <w:vAlign w:val="bottom"/>
          </w:tcPr>
          <w:p>
            <w:pPr>
              <w:spacing w:after="0"/>
              <w:rPr>
                <w:sz w:val="24"/>
                <w:szCs w:val="24"/>
                <w:color w:val="auto"/>
              </w:rPr>
            </w:pP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SIX - ADDITIONAL INFORMATION FOR SHAREHOLDERS</w:t>
            </w:r>
          </w:p>
        </w:tc>
        <w:tc>
          <w:tcPr>
            <w:tcW w:w="520" w:type="dxa"/>
            <w:vAlign w:val="bottom"/>
          </w:tcPr>
          <w:p>
            <w:pPr>
              <w:spacing w:after="0"/>
              <w:rPr>
                <w:sz w:val="24"/>
                <w:szCs w:val="24"/>
                <w:color w:val="auto"/>
              </w:rPr>
            </w:pP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FUTURE SHAREHOLDER PROPOSALS........................................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VI-1</w:t>
            </w: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WHERE YOU CAN FIND MORE INFORMATION.................................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VI-1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A..................Agreement and Plan of Merger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B..................Stock Option Agreement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C..................Opinion of J.P. Morgan Securities Inc.</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D..................Opinion of Goldman, Sachs &amp; Co.</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9" w:name="page10"/>
    <w:bookmarkEnd w:id="9"/>
    <w:p>
      <w:pPr>
        <w:ind w:left="3020"/>
        <w:spacing w:after="0"/>
        <w:rPr>
          <w:sz w:val="20"/>
          <w:szCs w:val="20"/>
          <w:color w:val="auto"/>
        </w:rPr>
      </w:pPr>
      <w:r>
        <w:rPr>
          <w:rFonts w:ascii="Courier New" w:cs="Courier New" w:eastAsia="Courier New" w:hAnsi="Courier New"/>
          <w:sz w:val="14"/>
          <w:szCs w:val="14"/>
          <w:color w:val="auto"/>
        </w:rPr>
        <w:t>CHAPTER ONE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When and where are the shareholder meetings?</w:t>
      </w:r>
    </w:p>
    <w:p>
      <w:pPr>
        <w:spacing w:after="0" w:line="173" w:lineRule="exact"/>
        <w:rPr>
          <w:sz w:val="20"/>
          <w:szCs w:val="20"/>
          <w:color w:val="auto"/>
        </w:rPr>
      </w:pPr>
    </w:p>
    <w:p>
      <w:pPr>
        <w:ind w:right="3339" w:firstLine="8"/>
        <w:spacing w:after="0" w:line="255" w:lineRule="auto"/>
        <w:tabs>
          <w:tab w:leader="none" w:pos="25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company's meeting will take place on May 27, 1999 in Dallas, Texas. The address of each meeting is on page II-1.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do I need to do now?</w:t>
      </w:r>
    </w:p>
    <w:p>
      <w:pPr>
        <w:spacing w:after="0" w:line="173" w:lineRule="exact"/>
        <w:rPr>
          <w:sz w:val="20"/>
          <w:szCs w:val="20"/>
          <w:color w:val="auto"/>
        </w:rPr>
      </w:pPr>
    </w:p>
    <w:p>
      <w:pPr>
        <w:ind w:right="3419" w:firstLine="8"/>
        <w:spacing w:after="0" w:line="251" w:lineRule="auto"/>
        <w:tabs>
          <w:tab w:leader="none" w:pos="25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Just mail your signed proxy card in the enclosed return envelope or vote by telephone or the internet, as soon as possible, so that your shares may be represented at your meeting. In order to assure that your vote is obtained, please give your proxy as instructed on your proxy card even if you currently plan to attend a meeting in person. The Board of Directors of each of Exxon and Mobil recommends that its shareholders vote in favor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do I do if I want to change my vote?</w:t>
      </w:r>
    </w:p>
    <w:p>
      <w:pPr>
        <w:spacing w:after="0" w:line="173" w:lineRule="exact"/>
        <w:rPr>
          <w:sz w:val="20"/>
          <w:szCs w:val="20"/>
          <w:color w:val="auto"/>
        </w:rPr>
      </w:pPr>
    </w:p>
    <w:p>
      <w:pPr>
        <w:ind w:right="3419" w:firstLine="8"/>
        <w:spacing w:after="0" w:line="251" w:lineRule="auto"/>
        <w:tabs>
          <w:tab w:leader="none" w:pos="25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Just send in a later-dated, signed proxy card to your company's Secretary or vote again by telephone or the internet before your meeting. Or, you can attend your meeting in person and vote. You may also revoke your proxy by sending a notice of revocation to your company's Secretary at the address under "The Companies" on page I-2.</w:t>
      </w:r>
    </w:p>
    <w:p>
      <w:pPr>
        <w:spacing w:after="0" w:line="165" w:lineRule="exact"/>
        <w:rPr>
          <w:sz w:val="20"/>
          <w:szCs w:val="20"/>
          <w:color w:val="auto"/>
        </w:rPr>
      </w:pPr>
    </w:p>
    <w:p>
      <w:pPr>
        <w:ind w:right="3779" w:firstLine="8"/>
        <w:spacing w:after="0" w:line="255" w:lineRule="auto"/>
        <w:tabs>
          <w:tab w:leader="none" w:pos="25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"street name" by my broker, will my broker vote my shares for me?</w:t>
      </w:r>
    </w:p>
    <w:p>
      <w:pPr>
        <w:spacing w:after="0" w:line="160" w:lineRule="exact"/>
        <w:rPr>
          <w:sz w:val="20"/>
          <w:szCs w:val="20"/>
          <w:color w:val="auto"/>
        </w:rPr>
      </w:pPr>
    </w:p>
    <w:p>
      <w:pPr>
        <w:ind w:right="3339" w:firstLine="8"/>
        <w:spacing w:after="0" w:line="251" w:lineRule="auto"/>
        <w:tabs>
          <w:tab w:leader="none" w:pos="25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do not provide your broker with instructions on how to vote your "street name" shares, your broker will not be permitted to vote them on the merger. You should therefore be sure to provide your broker with instructions on how to vote your shares. Please check the voting form used by your broker to see if it offers telephone or internet voting.</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you are an Exxon shareholder and do not give voting instructions to your broker, you will not be counted as voting for purposes of the merger vote unless you appear in person at the Exxon meeting.</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you are a Mobil shareholder and do not give voting instructions to your broker, you will, in effect, be voting against the merger unless you appear in person at the Mobil meeting and vote in favor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Should I send in my stock certificates now?</w:t>
      </w:r>
    </w:p>
    <w:p>
      <w:pPr>
        <w:spacing w:after="0" w:line="173" w:lineRule="exact"/>
        <w:rPr>
          <w:sz w:val="20"/>
          <w:szCs w:val="20"/>
          <w:color w:val="auto"/>
        </w:rPr>
      </w:pPr>
    </w:p>
    <w:p>
      <w:pPr>
        <w:ind w:left="260" w:hanging="252"/>
        <w:spacing w:after="0"/>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If the merger is completed, we will send Mobil shareholders written</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exchanging their share certificates. Exxon shareholders will keep their existing certificates.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happens to my future dividends?</w:t>
      </w:r>
    </w:p>
    <w:p>
      <w:pPr>
        <w:spacing w:after="0" w:line="173" w:lineRule="exact"/>
        <w:rPr>
          <w:sz w:val="20"/>
          <w:szCs w:val="20"/>
          <w:color w:val="auto"/>
        </w:rPr>
      </w:pPr>
    </w:p>
    <w:p>
      <w:pPr>
        <w:ind w:right="3419" w:firstLine="8"/>
        <w:spacing w:after="0" w:line="251" w:lineRule="auto"/>
        <w:tabs>
          <w:tab w:leader="none" w:pos="25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expect no changes in Exxon's or Mobil's dividend policies before the merger. We expect that Exxon Mobil will continue to pay quarterly dividends on Exxon Mobil common stock after the merger. The payment of dividends by Exxon Mobil in the future, however, will depend on business conditions, Exxon Mobil's financial condition and earnings, and other factors. To compare dividends paid by each of Exxon and Mobil, see page I-30.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When do you expect the merger to be completed?</w:t>
      </w:r>
    </w:p>
    <w:p>
      <w:pPr>
        <w:spacing w:after="0" w:line="173" w:lineRule="exact"/>
        <w:rPr>
          <w:sz w:val="20"/>
          <w:szCs w:val="20"/>
          <w:color w:val="auto"/>
        </w:rPr>
      </w:pPr>
    </w:p>
    <w:p>
      <w:pPr>
        <w:ind w:right="3419" w:firstLine="8"/>
        <w:spacing w:after="0" w:line="252" w:lineRule="auto"/>
        <w:tabs>
          <w:tab w:leader="none" w:pos="25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working towards completing the merger as quickly as possible. In addition to shareholder approvals, we must also obtain regulatory approvals. We hope to complete the merger by mid-year,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Who do I call if I have questions about the meetings or the merger?</w:t>
      </w:r>
    </w:p>
    <w:p>
      <w:pPr>
        <w:spacing w:after="0" w:line="173" w:lineRule="exact"/>
        <w:rPr>
          <w:sz w:val="20"/>
          <w:szCs w:val="20"/>
          <w:color w:val="auto"/>
        </w:rPr>
      </w:pPr>
    </w:p>
    <w:p>
      <w:pPr>
        <w:jc w:val="both"/>
        <w:ind w:left="260" w:right="6259" w:hanging="252"/>
        <w:spacing w:after="0" w:line="255" w:lineRule="auto"/>
        <w:tabs>
          <w:tab w:leader="none" w:pos="2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shareholders may call 1-800-628-8536. Mobil shareholders may call 1-800-300-3610.</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joint proxy statement/prospectus and may not contain all of the information that is important to you. To understand the merger fully and for a more complete description of the legal terms of the merger, you should read this document and the documents we have referred you to carefully. See "Where You Can Find More Information" on page VI-1.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(972) 444-1000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Exxon's principal business is energy, involving exploration for, and production of, crude oil and natural gas, manufacturing of petroleum products and transportation and sale of crude oil, natural gas and petroleum products. Exxon is also a major manufacturer and marketer of petrochemicals, including olefins, aromatics, polyethylene and polypropylene plastics, and a wide array of specialty products. Exxon also engages in exploration for, and mining and sale of, coal, copper and other minerals, and has interests in electric power generation. Exxon affiliates support our businesses with extensive research programs.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(703) 846-3000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Mobil's principal business involves crude oil, natural gas and petroleum products. Mobil is also a manufacturer and marketer of petrochemicals, packaging films and specialty chemical products. Mobil operates a worldwide oil and gas exploration and producing business, a global marketing and refining complex, a network of pipelines and tankers linking these worldwide oil and gas businesses, a worldwide chemical business and a sophisticated research and engineering operation.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believe the combined Exxon Mobil can be run more efficiently and can use its capital more profitably than either company on its own. As a result, we believe the merger will create substantial long-term value for the shareholders of both companies. Of course, these benefits depend on our ability to obtain the necessary approvals for the merger, to integrate the businesses of Exxon and Mobil successfully after the merger, and on other uncertainties described on page I-12.</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To review the reasons for the merger in greater detail, see pages I-19 through I-26.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Recommendations to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Exxon Shareholders: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Exxon Board believes that the merger is fair to you and in your best interest and recommends that you vote FOR the merger, including the related issuance of common stock and the related amendments to Exxon's charter described on page III-10.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Mobil Shareholders: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Mobil Board believes that the merger is fair to you and in your best interest and recommends that you vote FOR the approval of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merger agreement is attached as Annex A to this joint proxy statement/prospectus. We encourage you to read the merger agreement as it is the legal document that governs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Mobil Shareholders Will Receive (see page I-54)</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a result of the merger, Mobil shareholders will receive, for each share of Mobil common stock, 1.32015 shares of Exxon Mobil common stock.</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782" w:right="1440" w:bottom="1440" w:gutter="0" w:footer="0" w:header="0"/>
        </w:sectPr>
      </w:pPr>
    </w:p>
    <w:bookmarkStart w:id="11" w:name="page12"/>
    <w:bookmarkEnd w:id="1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Exxon Mobil will not issue any fractional shares. Mobil shareholders will receive a check in the amount of the proceeds from the sale of their fractional shares in the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w:t>
      </w:r>
    </w:p>
    <w:p>
      <w:pPr>
        <w:spacing w:after="0" w:line="173" w:lineRule="exact"/>
        <w:rPr>
          <w:sz w:val="20"/>
          <w:szCs w:val="20"/>
          <w:color w:val="auto"/>
        </w:rPr>
      </w:pPr>
    </w:p>
    <w:p>
      <w:pPr>
        <w:ind w:left="520" w:right="6359" w:hanging="339"/>
        <w:spacing w:after="0" w:line="251" w:lineRule="auto"/>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currently own 1,000 shares of Mobil common stock, then after the merger you will receive 1,320 shares of Exxon Mobil common stock and a check for the sale proceeds for .15 of one share of Exxon Mobil common stock, rounded to the nearest one cent. The value of the stock that you will receive will fluctuate as the price of Exxon Mobil common stock changes after the merger.</w:t>
      </w:r>
    </w:p>
    <w:p>
      <w:pPr>
        <w:spacing w:after="0" w:line="163" w:lineRule="exact"/>
        <w:rPr>
          <w:rFonts w:ascii="Courier New" w:cs="Courier New" w:eastAsia="Courier New" w:hAnsi="Courier New"/>
          <w:sz w:val="14"/>
          <w:szCs w:val="14"/>
          <w:color w:val="auto"/>
        </w:rPr>
      </w:pPr>
    </w:p>
    <w:p>
      <w:pPr>
        <w:ind w:left="520" w:right="6619" w:hanging="339"/>
        <w:spacing w:after="0" w:line="250" w:lineRule="auto"/>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 1999 the last per share price of Exxon common stock on the Consolidated Tape was $70 1/8. Applying the 1.32015 exchange ratio to the Exxon last reported price on that date, each holder of Mobil common stock would be entitled to receive Exxon Mobil common stock with a market value of approximately $92.58 for each share of Mobil common stock. However, the market prices for Mobil and Exxon common stock are likely to change between now and the merger. You are urged to obtain current price quotes for Mobil and Exxon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Market Price Information</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Exxon and Mobil common stock are both listed on the New York Stock Exchange. On November 25, 1998, the last full trading day before Exxon and Mobil issued a joint release confirming that they were in discussions concerning a possible combination, Exxon common stock closed at $72 11/16 and Mobil common stock closed at $78 3/8. On November 30, 1998, the last full trading day prior to the public announcement of the proposed merger, Exxon closed at $75 and Mobil closed at $86. On April 1, 1999, Exxon closed at $70 1/8 and Mobil closed at $87 3/8.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of Exxon Mobil Common Stock</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shares of Exxon Mobil common stock will be listed on the New York Stock Exchange under the ticker symbol "XOM".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Exxon Mobil After the Merger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Exxon Mobil will issue approximately 1.03 billion shares of Exxon Mobil common stock to Mobil shareholders in the merger. The shares of Exxon Mobil common stock to be issued to Mobil shareholders in the merger will represent approximately 30% of the outstanding Exxon Mobil common stock after the merger. This information is based on the number of Exxon and Mobil shares outstanding on March 1, 1999 and does not take into account stock options or other equity-based awards.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Vote Required to Approve the Merger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Exxon shareholders: Approval of the merger and related matters described on page I-14 requires a majority of the votes cast by holders of Exxon common stock and Exxon Class A preferred stock, voting as a single class.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Mobil shareholders: Approval of the merger requires a majority of the total votes represented by the outstanding shares of Mobil common stock and Mobil ESOP preferred stock, voting as a single class.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 (see page I-29)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holders of Exxon and Mobil common stock do not have any right to an appraisal of the value of their shares in connection with the merger. We provide on page I-29 in the section captioned "The Merger Transaction--Appraisal Rights" information regarding the appraisal rights available in connection with the merger to the trustee of the Mobil ESOP, the sole record holder of Mobil ESOP preferred stock.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Exxon Mobil and Related Matters After the Merger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merger, the board of directors of Exxon Mobil will have 19 members, including the 13 current Exxon directors plus six directors designated by Mobil. These designees are named below (see page I-55). Mr. Lucio A. Noto, Chairman of Mobil, will become the Vice-Chairman of Exxon Mobil. In addition, one Mobil designee will be appointed to each of Exxon Mobil's Audit Committee and Compensation Committee. (see page I-55.)</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782" w:right="1440" w:bottom="94"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of Officers and Directors in the Merger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When you consider the Mobil Board's recommendation that Mobil shareholders vote in favor of the merger, you should be aware that a number of Mobil officers and directors may have interests in the merger that may be different from, or in addition to, yours (see page I-49).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expect the merger to qualify as a pooling of interests, which means that we will treat our companies as if they had always been combined for accounting and financial reporting purposes. As described on page I-26, we have each received letters from our independent accounting firms concurring with our conclusions that the merger should be accounted for as a pooling of interests.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Federal Income Tax Consequences of the Merger (see page I-27)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merger has been structured as a "tax-free reorganization" for federal income tax purposes. Accordingly, holders of Mobil common stock or Mobil ESOP preferred stock generally will not recognize any gain or loss for federal income tax purposes on the exchange of their Mobil stock for Exxon Mobil stock in the merger, except for any gain or loss recognized in connection with the receipt of cash instead of a fractional share of Exxon Mobil common stock. The companies themselves, as well as holders of Exxon stock, will not recognize gain or loss as a result of the merger. It is a condition to the obligations of Mobil and Exxon to complete the merger that each receive a legal opinion from its outside counsel that the merger will be a tax-free reorganization for federal income tax purposes.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federal income tax consequences described above may not apply to some holders of Mobil stock, including some types of holders specifically referred to on page I-27. Your tax consequences will depend upon your personal situation. You should consult your tax advisor for a full understanding of the tax consequences of the merger to you.</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Merger (see page I-58)</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completion of the merger depends upon meeting a number of conditions, including the following:</w:t>
      </w:r>
    </w:p>
    <w:p>
      <w:pPr>
        <w:spacing w:after="0" w:line="160" w:lineRule="exact"/>
        <w:rPr>
          <w:sz w:val="20"/>
          <w:szCs w:val="20"/>
          <w:color w:val="auto"/>
        </w:rPr>
      </w:pPr>
    </w:p>
    <w:p>
      <w:pPr>
        <w:ind w:left="520" w:hanging="253"/>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shareholders of Exxon and Mobil;</w:t>
      </w:r>
    </w:p>
    <w:p>
      <w:pPr>
        <w:spacing w:after="0" w:line="172" w:lineRule="exact"/>
        <w:rPr>
          <w:rFonts w:ascii="Courier New" w:cs="Courier New" w:eastAsia="Courier New" w:hAnsi="Courier New"/>
          <w:sz w:val="14"/>
          <w:szCs w:val="14"/>
          <w:color w:val="auto"/>
        </w:rPr>
      </w:pPr>
    </w:p>
    <w:p>
      <w:pPr>
        <w:ind w:left="520" w:right="4019" w:hanging="253"/>
        <w:spacing w:after="0" w:line="255"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or termination of the relevant waiting period under the Hart-Scott-Rodino Act;</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European Commission of the merger;</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law or court order prohibiting the merger;</w:t>
      </w:r>
    </w:p>
    <w:p>
      <w:pPr>
        <w:spacing w:after="0" w:line="172" w:lineRule="exact"/>
        <w:rPr>
          <w:rFonts w:ascii="Courier New" w:cs="Courier New" w:eastAsia="Courier New" w:hAnsi="Courier New"/>
          <w:sz w:val="14"/>
          <w:szCs w:val="14"/>
          <w:color w:val="auto"/>
        </w:rPr>
      </w:pPr>
    </w:p>
    <w:p>
      <w:pPr>
        <w:ind w:left="520" w:right="3599" w:hanging="253"/>
        <w:spacing w:after="0" w:line="252"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letters from the independent public accountants of Exxon and Mobil reconfirming their concurrence that "pooling of interests" accounting treatment for the merger is appropriate;</w:t>
      </w:r>
    </w:p>
    <w:p>
      <w:pPr>
        <w:spacing w:after="0" w:line="162"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opinions of Exxon's and Mobil's counsel that the merger will qualify as a tax-free reorganization;</w:t>
      </w:r>
    </w:p>
    <w:p>
      <w:pPr>
        <w:spacing w:after="0" w:line="159"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material adverse effect on Exxon or Mobil during the period from December 1, 1998 until the closing of the merger; and</w:t>
      </w:r>
    </w:p>
    <w:p>
      <w:pPr>
        <w:spacing w:after="0" w:line="159" w:lineRule="exact"/>
        <w:rPr>
          <w:rFonts w:ascii="Courier New" w:cs="Courier New" w:eastAsia="Courier New" w:hAnsi="Courier New"/>
          <w:sz w:val="14"/>
          <w:szCs w:val="14"/>
          <w:color w:val="auto"/>
        </w:rPr>
      </w:pPr>
    </w:p>
    <w:p>
      <w:pPr>
        <w:ind w:left="520" w:right="3339" w:hanging="253"/>
        <w:spacing w:after="0" w:line="255"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accuracy as of closing of the representations and warranties made by the other party.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Exxon's obligation to complete the merger is subject to</w:t>
      </w:r>
    </w:p>
    <w:p>
      <w:pPr>
        <w:spacing w:after="0" w:line="173" w:lineRule="exact"/>
        <w:rPr>
          <w:sz w:val="20"/>
          <w:szCs w:val="20"/>
          <w:color w:val="auto"/>
        </w:rPr>
      </w:pPr>
    </w:p>
    <w:p>
      <w:pPr>
        <w:ind w:left="520" w:right="3519" w:hanging="426"/>
        <w:spacing w:after="0" w:line="252" w:lineRule="auto"/>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being no proceeding seeking to limit Exxon's ownership of Mobil or to compel divestiture of assets, in either case to an extent that could reasonably be expected to result in a substantial detriment to Exxon and Mobil taken as a whole; and</w:t>
      </w:r>
    </w:p>
    <w:p>
      <w:pPr>
        <w:spacing w:after="0" w:line="162" w:lineRule="exact"/>
        <w:rPr>
          <w:rFonts w:ascii="Courier New" w:cs="Courier New" w:eastAsia="Courier New" w:hAnsi="Courier New"/>
          <w:sz w:val="14"/>
          <w:szCs w:val="14"/>
          <w:color w:val="auto"/>
        </w:rPr>
      </w:pPr>
    </w:p>
    <w:p>
      <w:pPr>
        <w:ind w:left="520" w:right="3519" w:hanging="426"/>
        <w:spacing w:after="0" w:line="255" w:lineRule="auto"/>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regulatory approvals for the merger being obtained on terms that are not reasonably likely to result in such a substantial detriment.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10239"/>
          </w:cols>
          <w:pgMar w:left="220" w:top="782" w:right="1440" w:bottom="1440" w:gutter="0" w:footer="0" w:header="0"/>
        </w:sectPr>
      </w:pPr>
    </w:p>
    <w:bookmarkStart w:id="13" w:name="page14"/>
    <w:bookmarkEnd w:id="1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Hart-Scott-Rodino Act, the merger cannot be completed until after we have given certain information and materials to the Federal Trade Commission and a required waiting period has expired or been terminated. The companies submitted pre-merger notification and report forms during the week of December 14, 1998. On January 15, 1999, the FTC issued a request for additional information and other materials to Exxon and Mobil. The merger may not be completed until 20 days after both parties have substantially complied with this request or unless the waiting period is terminated earlier. The FTC has the authority to challenge the merger on antitrust grounds by seeking a federal court order enjoining the transaction pending an administrative hearing.</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merger is also subject to review under the competition laws of the European Union. We informally notified the European Commission of the merger on December 1, 1998, and expect to make the required formal pre-merger filing by the end of April 1999.</w:t>
      </w:r>
    </w:p>
    <w:p>
      <w:pPr>
        <w:spacing w:after="0" w:line="162"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The merger may also be subject to regulatory review in jurisdictions other than the U.S. and the EU.</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Exxon and Mobil are working to obtain the required regulatory approvals and consents. However, we can give no assurance as to when or whether any of these approvals and consents will be obtained or the terms and conditions that may be imposed.</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 described beginning on page I-58, Exxon and Mobil are not required to close unless the regulatory conditions to completion of the merger are satisfied.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 (see page I-59)</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Either Exxon or Mobil can terminate the merger agreement if any of the following occurs:</w:t>
      </w:r>
    </w:p>
    <w:p>
      <w:pPr>
        <w:spacing w:after="0" w:line="160" w:lineRule="exact"/>
        <w:rPr>
          <w:sz w:val="20"/>
          <w:szCs w:val="20"/>
          <w:color w:val="auto"/>
        </w:rPr>
      </w:pPr>
    </w:p>
    <w:p>
      <w:pPr>
        <w:ind w:left="520" w:right="3339" w:hanging="426"/>
        <w:spacing w:after="0" w:line="252" w:lineRule="auto"/>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complete the merger by December 1, 1999 -- however, that date becomes June 30, 2000 if the reason for not closing by December 1, 1999 is that the regulatory conditions specified in the merger agreement have not been satisfied by that date;</w:t>
      </w:r>
    </w:p>
    <w:p>
      <w:pPr>
        <w:spacing w:after="0" w:line="162"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or Mobil shareholders do not give the required approvals;</w:t>
      </w:r>
    </w:p>
    <w:p>
      <w:pPr>
        <w:spacing w:after="0" w:line="172"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law or court order permanently prohibits the merger; or</w:t>
      </w:r>
    </w:p>
    <w:p>
      <w:pPr>
        <w:spacing w:after="0" w:line="172" w:lineRule="exact"/>
        <w:rPr>
          <w:rFonts w:ascii="Courier New" w:cs="Courier New" w:eastAsia="Courier New" w:hAnsi="Courier New"/>
          <w:sz w:val="14"/>
          <w:szCs w:val="14"/>
          <w:color w:val="auto"/>
        </w:rPr>
      </w:pPr>
    </w:p>
    <w:p>
      <w:pPr>
        <w:ind w:left="520" w:right="3339" w:hanging="426"/>
        <w:spacing w:after="0" w:line="251" w:lineRule="auto"/>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Mobil Board changes, in a manner adverse to Exxon, its recommendation of the merger. An adverse change would include the Mobil Board withdrawing or qualifying its recommendation or changing the recommendation to support another transaction. However, Mobil may not terminate for the reasons laid out in this paragraph (4) unless three conditions are met:</w:t>
      </w:r>
    </w:p>
    <w:p>
      <w:pPr>
        <w:spacing w:after="0" w:line="165" w:lineRule="exact"/>
        <w:rPr>
          <w:sz w:val="20"/>
          <w:szCs w:val="20"/>
          <w:color w:val="auto"/>
        </w:rPr>
      </w:pPr>
    </w:p>
    <w:p>
      <w:pPr>
        <w:ind w:left="960" w:right="3339" w:hanging="263"/>
        <w:spacing w:after="0" w:line="252" w:lineRule="auto"/>
        <w:tabs>
          <w:tab w:leader="none" w:pos="9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received an offer that is superior to the merger with Exxon and intends to enter into an agreement with respect to the superior offer,</w:t>
      </w:r>
    </w:p>
    <w:p>
      <w:pPr>
        <w:spacing w:after="0" w:line="16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within a specified time period, does not make an offer that is as favorable to Mobil's shareholders as the superior offer, and</w:t>
      </w:r>
    </w:p>
    <w:p>
      <w:pPr>
        <w:spacing w:after="0" w:line="159"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prior to termination, paid to Exxon the termination fee described below.</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addition, Mobil can terminate the merger agreement if the Exxon Board changes its recommendation of the merger in a manner adverse to Mobil.</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Neither Exxon nor Mobil can terminate the merger agreement for the reasons described in paragraph (1) above if it is in material breach of its obligations under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Finally, Exxon and Mobil can mutually agree to terminate the merger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 (see page I-60)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must pay Exxon a termination fee of $1.5 billion in cash if:</w:t>
      </w:r>
    </w:p>
    <w:p>
      <w:pPr>
        <w:spacing w:after="0" w:line="173" w:lineRule="exact"/>
        <w:rPr>
          <w:sz w:val="20"/>
          <w:szCs w:val="20"/>
          <w:color w:val="auto"/>
        </w:rPr>
      </w:pPr>
    </w:p>
    <w:p>
      <w:pPr>
        <w:ind w:left="520" w:right="3599" w:hanging="426"/>
        <w:spacing w:after="0" w:line="255"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is terminated as described in paragraph (4) above, unless Exxon is in material breach of the merger agreement, or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10239"/>
          </w:cols>
          <w:pgMar w:left="220" w:top="78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520" w:hanging="426"/>
        <w:spacing w:after="0"/>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is terminated in circumstances where</w:t>
      </w:r>
    </w:p>
    <w:p>
      <w:pPr>
        <w:spacing w:after="0" w:line="173" w:lineRule="exact"/>
        <w:rPr>
          <w:sz w:val="20"/>
          <w:szCs w:val="20"/>
          <w:color w:val="auto"/>
        </w:rPr>
      </w:pPr>
    </w:p>
    <w:p>
      <w:pPr>
        <w:ind w:left="1040" w:right="6439" w:hanging="343"/>
        <w:spacing w:after="0" w:line="255"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Mobil's shareholders do not vote in favor of the merger,</w:t>
      </w:r>
    </w:p>
    <w:p>
      <w:pPr>
        <w:spacing w:after="0" w:line="159" w:lineRule="exact"/>
        <w:rPr>
          <w:rFonts w:ascii="Courier New" w:cs="Courier New" w:eastAsia="Courier New" w:hAnsi="Courier New"/>
          <w:sz w:val="14"/>
          <w:szCs w:val="14"/>
          <w:color w:val="auto"/>
        </w:rPr>
      </w:pPr>
    </w:p>
    <w:p>
      <w:pPr>
        <w:ind w:left="1040" w:right="6179" w:hanging="343"/>
        <w:spacing w:after="0" w:line="255"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third party has made a proposal for an alternative transaction, and</w:t>
      </w:r>
    </w:p>
    <w:p>
      <w:pPr>
        <w:spacing w:after="0" w:line="160" w:lineRule="exact"/>
        <w:rPr>
          <w:sz w:val="20"/>
          <w:szCs w:val="20"/>
          <w:color w:val="auto"/>
        </w:rPr>
      </w:pPr>
    </w:p>
    <w:p>
      <w:pPr>
        <w:ind w:left="1040" w:right="6259" w:hanging="429"/>
        <w:spacing w:after="0" w:line="251" w:lineRule="auto"/>
        <w:tabs>
          <w:tab w:leader="none" w:pos="10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twelve months of the termination of the merger agreement Mobil enters into an agreement for an alternative transaction with that third party, or with another third party at a value per Mobil share higher than $95.96.</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Exxon must pay Mobil a termination fee of $1.5 billion in cash if the merger agreement is terminated by Mobil because the Exxon Board changes, in a manner adverse to Mobil, its recommendation in favor of the merger, unless Mobil is in material breach of the merger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merger agreement, Exxon and Mobil entered into a stock option agreement under which Mobil granted to Exxon an option to purchase approximately 14.9% of Mobil's outstanding common stock, at a price of $95.96 per share which is adjustable in certain events. The option is exercisable under the same circumstances in which Mobil is required to pay to Exxon the $1.5 billion termination fee referred to above. The stock option agreement is attached as Annex B. We encourage you to read this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Financial Advisors (see pages I-39 and I-44)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deciding to approve the merger, each Board considered the opinion of its financial advisor. Exxon received an opinion from J.P. Morgan Securities Inc. as to the fairness from a financial point of view of the consideration to be paid by Exxon in the merger as of December 1, 1998, and Mobil received an opinion from Goldman, Sachs &amp; Co. as to the fairness from a financial point of view of the exchange ratio as of December 1, 1998. These opinions were reaffirmed as of April 2, 1999 and are attached as Annex C and Annex D. We encourage you to read these opinions.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Exxon Annual Meeting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Exxon meeting, Exxon is also asking its shareholders to:</w:t>
      </w:r>
    </w:p>
    <w:p>
      <w:pPr>
        <w:spacing w:after="0" w:line="173" w:lineRule="exact"/>
        <w:rPr>
          <w:sz w:val="20"/>
          <w:szCs w:val="20"/>
          <w:color w:val="auto"/>
        </w:rPr>
      </w:pPr>
    </w:p>
    <w:p>
      <w:pPr>
        <w:ind w:left="620" w:hanging="353"/>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directors to the Exxon Board;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ratify the appointment of Exxon's independent accountants;</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on four Exxon shareholder proposals; and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other business if properly presented.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Approval by Exxon shareholders of these other annual meeting proposals is not a condition to completion of the merger. Approval of the merger is not a condition to approval of these other annual meeting proposals.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Exxon Board recommends that you vote FOR the election of directors and the ratification of the appointment of Exxon's independent accountants, and that you vote AGAINST the Exxon shareholder proposals.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Mobil Annual Meeting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Mobil meeting, Mobil is also asking its shareholders to:</w:t>
      </w:r>
    </w:p>
    <w:p>
      <w:pPr>
        <w:spacing w:after="0" w:line="173" w:lineRule="exact"/>
        <w:rPr>
          <w:sz w:val="20"/>
          <w:szCs w:val="20"/>
          <w:color w:val="auto"/>
        </w:rPr>
      </w:pPr>
    </w:p>
    <w:p>
      <w:pPr>
        <w:ind w:left="620" w:hanging="353"/>
        <w:spacing w:after="0"/>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directors to the Mobil Board;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ratify the appointment of Mobil's independent auditors;</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on two Mobil shareholder proposals; and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other business if properly presented.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Approval by Mobil shareholders of these other annual meeting proposals is not a condition to completion of the merger. Approval of the merger is not a condition to approval of these other annual meeting proposals. If the merger is completed, these other annual meeting proposals will, as a result, be superseded.</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Mobil Board recommends that you vote FOR the election of directors and the ratification of the appointment of Mobil's independent auditors, and that you vote AGAINST the Mobil shareholder proposals.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w:t>
      </w:r>
    </w:p>
    <w:p>
      <w:pPr>
        <w:sectPr>
          <w:pgSz w:w="11900" w:h="16838" w:orient="portrait"/>
          <w:cols w:equalWidth="0" w:num="1">
            <w:col w:w="10239"/>
          </w:cols>
          <w:pgMar w:left="220" w:top="782" w:right="1440" w:bottom="757" w:gutter="0" w:footer="0" w:header="0"/>
        </w:sectPr>
      </w:pPr>
    </w:p>
    <w:bookmarkStart w:id="15" w:name="page16"/>
    <w:bookmarkEnd w:id="1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SELECTED HISTORICAL AND PRO FORMA FINANCIAL DATA</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How We Prepared the Financial Statements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are providing the following information to aid you in your analysis of the financial aspects of the merger. We derived this information from the audited financial statements of Exxon for the years 1994 through 1998 and from the audited financial statements of Mobil for the years 1994 through 1998. The information is only a summary and you should read it together with our historical financial statements and related notes contained in the annual reports and other information that we have filed with the SEC and incorporated by reference. See "Where You Can Find More Information" on page VI-1.</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Pooling of Interests Accounting Treatment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expect that the merger will be accounted for as a "pooling of interests." This means that, for accounting and financial reporting purposes, we will treat our companies as if they had always been combined. For a more detailed description of pooling of interests accounting, see "The Merger Transaction--Accounting Treatment" on page I-26.</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presented unaudited pro forma condensed combined financial information that reflects the pooling of interests method of accounting to give you a better picture of what our businesses might have looked like had they been combined since January 1, 1996. We prepared the pro forma condensed combined statements of income and pro forma condensed combined balance sheet by adding or combining the historical amounts of each company. The accounting policies of Exxon and Mobil are substantially comparable. Consequently, we did not make adjustments to the unaudited pro forma condensed combined financial statements to conform the accounting policies of the combining companies. The companies may have performed differently had they always been combined. You should not rely on the unaudited pro forma condensed combined financial information as being indicative of the historical results that we would have had or the future results that we will experience after the merger. See "Unaudited Pro Forma Condensed Combined Financial Statements" on page I-32.</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Merger-Related Expenses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estimate that merger-related fees and expenses, consisting primarily of SEC filing fees, fees and expenses of investment bankers, attorneys and accountants, and financial printing and other related charges, will be approximately $90 million. See note 5 on pages I-37 and I-38.</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Integration-Related Expenses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estimate that costs of approximately $2.0 billion will be incurred for severance and other integration-related expenses, including the elimination of duplicate facilities and excess capacity, operational realignment and related workforce reductions. These expenditures are necessary to reduce costs and operate efficiently. These costs will be charged to operations in the relevant period and therefore are not reflected in the unaudited pro forma condensed combined financial statements. See note 5 on pages I-37 and I-38.</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Periods Covered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unaudited pro forma condensed combined statements of income combine Exxon's results for the years 1998, 1997 and 1996 with Mobil's results for the years 1998, 1997 and 1996, giving effect to the merger as if it had occurred on January 1, 1996. The unaudited pro forma condensed combined balance sheet combines the balance sheets of Exxon and Mobil as of December 31, 1998, giving effect to the merger as if it had occurred on December 31, 1998.</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I-7</w:t>
      </w:r>
    </w:p>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SELECTED HISTORICAL FINANCIAL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Financial Data of Exxon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selected historical financial data for each of the years ended December 31, 1994 through 1998 has been derived from Exxon's audited consolidated financial statements. This information is only a summary and you should read it together with Exxon's historical financial statements and related notes contained in the annual reports and other information that we have filed with the SEC and incorporated by reference. See "Where You Can Find More Information" on page VI-1.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Years Ended December 31,</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67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5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(millions of dollars, except per share amounts)</w:t>
            </w:r>
          </w:p>
        </w:tc>
        <w:tc>
          <w:tcPr>
            <w:tcW w:w="112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Sales and operating revenues......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$115,417</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$135,142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$131,543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$121,804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$112,128</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Before change in accounting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6,440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7,510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accounting change..............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6,370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7,510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Before change in accounting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accounting change..............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per common</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share--assuming dilution</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Before change in accounting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accounting change..............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2.58</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331"/>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dividends per common share...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1.455</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92,630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96,064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95,527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91,296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87,862</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Long-term debt....................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4,530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7,050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7,236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497"/>
        </w:trPr>
        <w:tc>
          <w:tcPr>
            <w:tcW w:w="310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I-8</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7" w:name="page18"/>
    <w:bookmarkEnd w:id="1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Financial Data of Mobil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selected historical financial data for each of the years ended December 31, 1994 through 1998 has been derived from Mobil's audited consolidated financial statements. This information is only a summary and you should read it together with Mobil's historical financial statements and related notes contained in the annual reports and other information that we have filed with the SEC and incorporated by reference. See "Where You Can Find More Information" on page VI-1.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Years Ended December 31,</w:t>
            </w:r>
          </w:p>
        </w:tc>
        <w:tc>
          <w:tcPr>
            <w:tcW w:w="102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52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(millions of dollars, except</w:t>
            </w: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per share amounts)</w:t>
            </w:r>
          </w:p>
        </w:tc>
      </w:tr>
      <w:tr>
        <w:trPr>
          <w:trHeight w:val="497"/>
        </w:trPr>
        <w:tc>
          <w:tcPr>
            <w:tcW w:w="4880" w:type="dxa"/>
            <w:vAlign w:val="bottom"/>
          </w:tcPr>
          <w:p>
            <w:pPr>
              <w:spacing w:after="0"/>
              <w:rPr>
                <w:sz w:val="20"/>
                <w:szCs w:val="20"/>
                <w:color w:val="auto"/>
              </w:rPr>
            </w:pPr>
            <w:r>
              <w:rPr>
                <w:rFonts w:ascii="Courier New" w:cs="Courier New" w:eastAsia="Courier New" w:hAnsi="Courier New"/>
                <w:sz w:val="14"/>
                <w:szCs w:val="14"/>
                <w:color w:val="auto"/>
              </w:rPr>
              <w:t>Sales and operating revenues(1).........................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51,893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64,028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79,944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73,047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66,423</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1,759</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1,079</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(0.86)</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 dilution</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(0.83)</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r>
      <w:tr>
        <w:trPr>
          <w:trHeight w:val="331"/>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per common share.........................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42,754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43,559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46,408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42,138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41,542</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left="3280" w:right="4119" w:hanging="3272"/>
        <w:spacing w:after="0" w:line="756" w:lineRule="auto"/>
        <w:tabs>
          <w:tab w:leader="none" w:pos="43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revenues have been reclassified.  See note 2 on page I-37. I-9</w:t>
      </w:r>
    </w:p>
    <w:p>
      <w:pPr>
        <w:sectPr>
          <w:pgSz w:w="11900" w:h="16838" w:orient="portrait"/>
          <w:cols w:equalWidth="0" w:num="1">
            <w:col w:w="10239"/>
          </w:cols>
          <w:pgMar w:left="220" w:top="78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Unaudited Pro Forma Combined Financial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selected unaudited pro forma combined financial data has been derived from and should be read with the Unaudited Pro Forma Condensed Combined Financial Statements and related notes on page I-32 through page I-38. This information is based on the historical consolidated balance sheets and related historical consolidated statements of income of Exxon and Mobil giving effect to the merger using the pooling of interests method of accounting for business combinations. This information is for illustrative purposes only. The companies may have performed differently had they always been combined. You should not rely on the selected unaudited pro forma combined financial data as being indicative of the historical results that would have been achieved had the companies always been combined or the future results that the combined company will experience after the merger.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4040" w:type="dxa"/>
            <w:vAlign w:val="bottom"/>
            <w:gridSpan w:val="4"/>
          </w:tcPr>
          <w:p>
            <w:pPr>
              <w:jc w:val="right"/>
              <w:ind w:right="868"/>
              <w:spacing w:after="0"/>
              <w:rPr>
                <w:sz w:val="20"/>
                <w:szCs w:val="20"/>
                <w:color w:val="auto"/>
              </w:rPr>
            </w:pPr>
            <w:r>
              <w:rPr>
                <w:rFonts w:ascii="Courier New" w:cs="Courier New" w:eastAsia="Courier New" w:hAnsi="Courier New"/>
                <w:sz w:val="14"/>
                <w:szCs w:val="14"/>
                <w:color w:val="auto"/>
              </w:rPr>
              <w:t>Years Ended December 31,</w:t>
            </w:r>
          </w:p>
        </w:tc>
      </w:tr>
      <w:tr>
        <w:trPr>
          <w:trHeight w:val="166"/>
        </w:trPr>
        <w:tc>
          <w:tcPr>
            <w:tcW w:w="4920" w:type="dxa"/>
            <w:vAlign w:val="bottom"/>
          </w:tcPr>
          <w:p>
            <w:pPr>
              <w:spacing w:after="0"/>
              <w:rPr>
                <w:sz w:val="14"/>
                <w:szCs w:val="14"/>
                <w:color w:val="auto"/>
              </w:rPr>
            </w:pPr>
          </w:p>
        </w:tc>
        <w:tc>
          <w:tcPr>
            <w:tcW w:w="4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4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(millions of dollars, except per share amounts)</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Sales and operating revenues..............................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164,640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195,155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207,888</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8,144</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10,474</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8,074</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10,474</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 dilution</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per common share...........................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1.666</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1.619</w:t>
            </w:r>
          </w:p>
        </w:tc>
        <w:tc>
          <w:tcPr>
            <w:tcW w:w="220" w:type="dxa"/>
            <w:vAlign w:val="bottom"/>
          </w:tcPr>
          <w:p>
            <w:pPr>
              <w:spacing w:after="0"/>
              <w:rPr>
                <w:sz w:val="24"/>
                <w:szCs w:val="2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1.538</w:t>
            </w: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139,544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8,532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49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I-10</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9" w:name="page20"/>
    <w:bookmarkEnd w:id="1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Data</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Set forth below are the net income, cash dividends and book value per common share data separately for Exxon and Mobil on a historic basis, for Exxon Mobil on a pro forma combined basis and on a pro forma combined basis per Mobil equivalent share. The exchange ratio for the business combination is 1.32015 shares of Exxon Mobil common stock for each share of Mobil common stock.</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Exxon Mobil pro forma data was derived by combining the historic consolidated financial information of Exxon and Mobil using the pooling of interests method of accounting for business combinations as described under "Unaudited Pro Forma Condensed Combined Financial Statements" beginning on page I-32.</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Mobil equivalent share pro forma information shows the effect of the merger from the perspective of an owner of Mobil common stock. The information was computed by multiplying the Exxon Mobil pro forma information by the exchange ratio of 1.32015.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should read the information below together with our historical financial statements and related notes contained in the annual reports and other information that we have filed with the SEC and incorporated by reference. See "Where You Can Find More Information" on page VI-1. The unaudited pro forma combined data below is for illustrative purposes only. The companies may have performed differently had they always been combined. You should not rely on this information as being indicative of the historical results that would have been achieved had the companies always been combined or the future results that the combined company will experience after the merger.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Years Ended December 31,</w:t>
            </w:r>
          </w:p>
        </w:tc>
      </w:tr>
      <w:tr>
        <w:trPr>
          <w:trHeight w:val="166"/>
        </w:trPr>
        <w:tc>
          <w:tcPr>
            <w:tcW w:w="6820" w:type="dxa"/>
            <w:vAlign w:val="bottom"/>
          </w:tcPr>
          <w:p>
            <w:pPr>
              <w:spacing w:after="0"/>
              <w:rPr>
                <w:sz w:val="14"/>
                <w:szCs w:val="14"/>
                <w:color w:val="auto"/>
              </w:rPr>
            </w:pPr>
          </w:p>
        </w:tc>
        <w:tc>
          <w:tcPr>
            <w:tcW w:w="310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8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Exxon Historic per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1.640</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18.02</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Exxon Mobil Pro Forma Combined per Exxon Mobil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1.666</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1.619</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1.538</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Mobil Historic per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4.01</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2.280</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2.120</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Exxon Mobil Pro Forma Combined per Mobil Equivalent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4.38</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2.199</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2.030</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63"/>
        </w:trPr>
        <w:tc>
          <w:tcPr>
            <w:tcW w:w="6820" w:type="dxa"/>
            <w:vAlign w:val="bottom"/>
          </w:tcPr>
          <w:p>
            <w:pPr>
              <w:ind w:left="3280"/>
              <w:spacing w:after="0"/>
              <w:rPr>
                <w:sz w:val="20"/>
                <w:szCs w:val="20"/>
                <w:color w:val="auto"/>
              </w:rPr>
            </w:pPr>
            <w:r>
              <w:rPr>
                <w:rFonts w:ascii="Courier New" w:cs="Courier New" w:eastAsia="Courier New" w:hAnsi="Courier New"/>
                <w:sz w:val="14"/>
                <w:szCs w:val="14"/>
                <w:color w:val="auto"/>
              </w:rPr>
              <w:t>I-11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CAUTIONARY STATEMENT CONCERNING</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We have made forward-looking statements in this document that are subject to risks and uncertainties. Forward-looking statements include the information in this document regarding:</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synergies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capital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spending</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efficiencies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oil and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natural gas production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cost savings</w:t>
            </w:r>
          </w:p>
        </w:tc>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asset portfolios</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 enhancements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oil and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natural gas resource potential of Exxon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capital productivity</w:t>
            </w:r>
          </w:p>
        </w:tc>
        <w:tc>
          <w:tcPr>
            <w:tcW w:w="44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Mobil after the closing,</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returns on capital employed</w:t>
            </w:r>
          </w:p>
        </w:tc>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timetable for closing the merger</w:t>
            </w:r>
          </w:p>
        </w:tc>
      </w:tr>
    </w:tbl>
    <w:p>
      <w:pPr>
        <w:spacing w:after="0" w:line="335"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sections of this document which contain forward-looking statements include "Questions and Answers About the Merger," * "Summary," * "Selected Historical and Pro Forma Financial Data--Merger-Related Expenses," * "Selected Historical and Pro Forma Financial Data-- Integration Related Expenses," * "The Merger Transaction--Background of the Merger," * "The Merger Transaction--Our Reasons for the Merger," * "Unaudited Pro Forma Condensed Combined Financial Statements" and * "Opinions of Financial Advisors". Our forward-looking statements are also identified by words such as "believes," "expects," "anticipates," "intends," "estimates" or similar expressions.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those statements, we claim the protection of the safe harbor for forward-looking statements contained in the Private Securities Litigation Reform Act of 1995.</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You should understand that the following important factors, in addition to those discussed elsewhere in this document and in the documents which are incorporated by reference, could affect the future results of Exxon and Mobil, and of Exxon Mobil after the closing, and could cause those results or other outcomes to differ materially from those expressed in our forward-looking statements:</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and Industry Conditions</w:t>
      </w:r>
    </w:p>
    <w:p>
      <w:pPr>
        <w:spacing w:after="0" w:line="173" w:lineRule="exact"/>
        <w:rPr>
          <w:sz w:val="20"/>
          <w:szCs w:val="20"/>
          <w:color w:val="auto"/>
        </w:rPr>
      </w:pPr>
    </w:p>
    <w:p>
      <w:pPr>
        <w:ind w:left="360" w:hanging="352"/>
        <w:spacing w:after="0" w:line="250"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materially adverse changes in economic or industry conditions generally or in the markets served by our companies</w:t>
      </w:r>
    </w:p>
    <w:p>
      <w:pPr>
        <w:spacing w:after="0" w:line="1" w:lineRule="exact"/>
        <w:rPr>
          <w:rFonts w:ascii="Courier New" w:cs="Courier New" w:eastAsia="Courier New" w:hAnsi="Courier New"/>
          <w:sz w:val="14"/>
          <w:szCs w:val="14"/>
          <w:color w:val="auto"/>
        </w:rPr>
      </w:pPr>
    </w:p>
    <w:p>
      <w:pPr>
        <w:ind w:left="360" w:right="260" w:hanging="352"/>
        <w:spacing w:after="0" w:line="250"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and demand for and pricing of crude oil, natural gas and petrochemicals</w:t>
      </w:r>
    </w:p>
    <w:p>
      <w:pPr>
        <w:ind w:left="360" w:right="1200" w:hanging="352"/>
        <w:spacing w:after="0" w:line="255"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demographics and consumer preferences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Project/Technology Advances</w:t>
      </w:r>
    </w:p>
    <w:p>
      <w:pPr>
        <w:spacing w:after="0" w:line="173" w:lineRule="exact"/>
        <w:rPr>
          <w:sz w:val="20"/>
          <w:szCs w:val="20"/>
          <w:color w:val="auto"/>
        </w:rPr>
      </w:pPr>
    </w:p>
    <w:p>
      <w:pPr>
        <w:ind w:left="360" w:right="680" w:hanging="352"/>
        <w:spacing w:after="0" w:line="250"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oil, natural gas and petrochemical project advancement</w:t>
      </w: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and use of new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Political/Governmental Factors</w:t>
      </w:r>
    </w:p>
    <w:p>
      <w:pPr>
        <w:spacing w:after="0" w:line="173" w:lineRule="exact"/>
        <w:rPr>
          <w:sz w:val="20"/>
          <w:szCs w:val="20"/>
          <w:color w:val="auto"/>
        </w:rPr>
      </w:pPr>
    </w:p>
    <w:p>
      <w:pPr>
        <w:ind w:left="350" w:hanging="350"/>
        <w:spacing w:after="0"/>
        <w:tabs>
          <w:tab w:leader="none" w:pos="3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stability in relevant areas of the world</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and laws and regulations,</w:t>
      </w:r>
    </w:p>
    <w:p>
      <w:pPr>
        <w:spacing w:after="0" w:line="7" w:lineRule="exact"/>
        <w:rPr>
          <w:rFonts w:ascii="Courier New" w:cs="Courier New" w:eastAsia="Courier New" w:hAnsi="Courier New"/>
          <w:sz w:val="14"/>
          <w:szCs w:val="14"/>
          <w:color w:val="auto"/>
        </w:rPr>
      </w:pPr>
    </w:p>
    <w:p>
      <w:pPr>
        <w:ind w:left="350" w:right="1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as forced divestiture of assets, restrictions on production, imports or exports, price controls, tax increases and retroactive tax claims, expropriation of property, cancellation of contract rights, and environmental regulations</w:t>
      </w:r>
    </w:p>
    <w:p>
      <w:pPr>
        <w:spacing w:after="0" w:line="16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Operating Factors</w:t>
      </w:r>
    </w:p>
    <w:p>
      <w:pPr>
        <w:spacing w:after="0" w:line="173" w:lineRule="exact"/>
        <w:rPr>
          <w:sz w:val="20"/>
          <w:szCs w:val="20"/>
          <w:color w:val="auto"/>
        </w:rPr>
      </w:pPr>
    </w:p>
    <w:p>
      <w:pPr>
        <w:ind w:left="350" w:hanging="350"/>
        <w:spacing w:after="0"/>
        <w:tabs>
          <w:tab w:leader="none" w:pos="35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disruptions</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difficulties</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conditions and costs</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w:t>
      </w:r>
    </w:p>
    <w:p>
      <w:pPr>
        <w:spacing w:after="0" w:line="200" w:lineRule="exact"/>
        <w:rPr>
          <w:sz w:val="20"/>
          <w:szCs w:val="20"/>
          <w:color w:val="auto"/>
        </w:rPr>
      </w:pPr>
    </w:p>
    <w:p>
      <w:pPr>
        <w:sectPr>
          <w:pgSz w:w="11900" w:h="16838" w:orient="portrait"/>
          <w:cols w:equalWidth="0" w:num="2">
            <w:col w:w="4660" w:space="430"/>
            <w:col w:w="5149"/>
          </w:cols>
          <w:pgMar w:left="220" w:top="782"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I-12</w:t>
      </w:r>
    </w:p>
    <w:p>
      <w:pPr>
        <w:sectPr>
          <w:pgSz w:w="11900" w:h="16838" w:orient="portrait"/>
          <w:cols w:equalWidth="0" w:num="1">
            <w:col w:w="10239"/>
          </w:cols>
          <w:pgMar w:left="220" w:top="782" w:right="1440" w:bottom="1440" w:gutter="0" w:footer="0" w:header="0"/>
          <w:type w:val="continuous"/>
        </w:sectPr>
      </w:pPr>
    </w:p>
    <w:bookmarkStart w:id="21" w:name="page22"/>
    <w:bookmarkEnd w:id="2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5"/>
          </w:tcPr>
          <w:p>
            <w:pPr>
              <w:spacing w:after="0"/>
              <w:rPr>
                <w:sz w:val="20"/>
                <w:szCs w:val="20"/>
                <w:color w:val="auto"/>
              </w:rPr>
            </w:pPr>
            <w:r>
              <w:rPr>
                <w:rFonts w:ascii="Courier New" w:cs="Courier New" w:eastAsia="Courier New" w:hAnsi="Courier New"/>
                <w:sz w:val="14"/>
                <w:szCs w:val="14"/>
                <w:color w:val="auto"/>
              </w:rPr>
              <w:t>Transaction or Commercial Factors</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Competitive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Factors</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the</w:t>
            </w:r>
          </w:p>
        </w:tc>
        <w:tc>
          <w:tcPr>
            <w:tcW w:w="43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outcome of negotiations with partners,</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o</w:t>
            </w:r>
          </w:p>
        </w:tc>
        <w:tc>
          <w:tcPr>
            <w:tcW w:w="36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competitiveness of alternative energy</w:t>
            </w:r>
          </w:p>
        </w:tc>
      </w:tr>
      <w:tr>
        <w:trPr>
          <w:trHeight w:val="166"/>
        </w:trPr>
        <w:tc>
          <w:tcPr>
            <w:tcW w:w="220" w:type="dxa"/>
            <w:vAlign w:val="bottom"/>
          </w:tcPr>
          <w:p>
            <w:pPr>
              <w:spacing w:after="0"/>
              <w:rPr>
                <w:sz w:val="14"/>
                <w:szCs w:val="14"/>
                <w:color w:val="auto"/>
              </w:rPr>
            </w:pPr>
          </w:p>
        </w:tc>
        <w:tc>
          <w:tcPr>
            <w:tcW w:w="47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governments, suppliers, customers or others</w:t>
            </w:r>
          </w:p>
        </w:tc>
        <w:tc>
          <w:tcPr>
            <w:tcW w:w="34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sources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or product substitutes</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our</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ability to integrate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businesses of Exxon and</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o</w:t>
            </w:r>
          </w:p>
        </w:tc>
        <w:tc>
          <w:tcPr>
            <w:tcW w:w="36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actions of competitors</w:t>
            </w:r>
          </w:p>
        </w:tc>
      </w:tr>
      <w:tr>
        <w:trPr>
          <w:trHeight w:val="166"/>
        </w:trPr>
        <w:tc>
          <w:tcPr>
            <w:tcW w:w="220" w:type="dxa"/>
            <w:vAlign w:val="bottom"/>
          </w:tcPr>
          <w:p>
            <w:pPr>
              <w:spacing w:after="0"/>
              <w:rPr>
                <w:sz w:val="14"/>
                <w:szCs w:val="14"/>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Mobil successfully after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80" w:type="dxa"/>
            <w:vAlign w:val="bottom"/>
          </w:tcPr>
          <w:p>
            <w:pPr>
              <w:spacing w:after="0"/>
              <w:rPr>
                <w:sz w:val="14"/>
                <w:szCs w:val="14"/>
                <w:color w:val="auto"/>
              </w:rPr>
            </w:pPr>
          </w:p>
        </w:tc>
      </w:tr>
    </w:tbl>
    <w:p>
      <w:pPr>
        <w:spacing w:after="0" w:line="170" w:lineRule="exact"/>
        <w:rPr>
          <w:sz w:val="20"/>
          <w:szCs w:val="20"/>
          <w:color w:val="auto"/>
        </w:rPr>
      </w:pPr>
    </w:p>
    <w:p>
      <w:pPr>
        <w:ind w:left="360" w:right="5659" w:hanging="352"/>
        <w:spacing w:after="0" w:line="252"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challenges inherent in diverting management's focus and resources from other strategic opportunities and from operational matters during the integration process</w:t>
      </w:r>
    </w:p>
    <w:p>
      <w:pPr>
        <w:spacing w:after="0" w:line="162" w:lineRule="exact"/>
        <w:rPr>
          <w:rFonts w:ascii="Courier New" w:cs="Courier New" w:eastAsia="Courier New" w:hAnsi="Courier New"/>
          <w:sz w:val="14"/>
          <w:szCs w:val="14"/>
          <w:color w:val="auto"/>
        </w:rPr>
      </w:pPr>
    </w:p>
    <w:p>
      <w:pPr>
        <w:jc w:val="both"/>
        <w:ind w:left="360" w:right="5499" w:hanging="352"/>
        <w:spacing w:after="0" w:line="255"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process of, or conditions imposed in connection with, obtaining regulatory approvals for the merger</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YEAR 2000 ISSUE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are each engaged in major company-wide efforts to address the year 2000 issue. This issue relates to the inability of some computer programs and computer chips embedded in operating equipment to properly recognize dates in and after the year 2000. This could result in system failures or miscalculations that could cause disruptions to various business activities and operations. The efforts to address this issue generally include:</w:t>
      </w:r>
    </w:p>
    <w:p>
      <w:pPr>
        <w:spacing w:after="0" w:line="164" w:lineRule="exact"/>
        <w:rPr>
          <w:sz w:val="20"/>
          <w:szCs w:val="20"/>
          <w:color w:val="auto"/>
        </w:rPr>
      </w:pPr>
    </w:p>
    <w:p>
      <w:pPr>
        <w:ind w:left="860" w:right="3339" w:firstLine="440"/>
        <w:spacing w:after="0" w:line="252" w:lineRule="auto"/>
        <w:tabs>
          <w:tab w:leader="none" w:pos="163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identification and assessment from a year 2000 standpoint of all business-critical software systems and operating equipment and the remediation of those that are not year 2000 compliant;</w:t>
      </w:r>
    </w:p>
    <w:p>
      <w:pPr>
        <w:spacing w:after="0" w:line="162" w:lineRule="exact"/>
        <w:rPr>
          <w:rFonts w:ascii="Courier New" w:cs="Courier New" w:eastAsia="Courier New" w:hAnsi="Courier New"/>
          <w:sz w:val="14"/>
          <w:szCs w:val="14"/>
          <w:color w:val="auto"/>
        </w:rPr>
      </w:pPr>
    </w:p>
    <w:p>
      <w:pPr>
        <w:ind w:left="1640" w:hanging="340"/>
        <w:spacing w:after="0"/>
        <w:tabs>
          <w:tab w:leader="none" w:pos="16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assessment of the year 2000 readiness of</w:t>
      </w:r>
    </w:p>
    <w:p>
      <w:pPr>
        <w:spacing w:after="0" w:line="7" w:lineRule="exact"/>
        <w:rPr>
          <w:sz w:val="20"/>
          <w:szCs w:val="20"/>
          <w:color w:val="auto"/>
        </w:rPr>
      </w:pPr>
    </w:p>
    <w:p>
      <w:pPr>
        <w:ind w:left="860" w:right="3599"/>
        <w:spacing w:after="0" w:line="255" w:lineRule="auto"/>
        <w:rPr>
          <w:sz w:val="20"/>
          <w:szCs w:val="20"/>
          <w:color w:val="auto"/>
        </w:rPr>
      </w:pPr>
      <w:r>
        <w:rPr>
          <w:rFonts w:ascii="Courier New" w:cs="Courier New" w:eastAsia="Courier New" w:hAnsi="Courier New"/>
          <w:sz w:val="14"/>
          <w:szCs w:val="14"/>
          <w:color w:val="auto"/>
        </w:rPr>
        <w:t>business-critical third parties such as suppliers, customers, joint venture companies and governments; and</w:t>
      </w:r>
    </w:p>
    <w:p>
      <w:pPr>
        <w:spacing w:after="0" w:line="160" w:lineRule="exact"/>
        <w:rPr>
          <w:sz w:val="20"/>
          <w:szCs w:val="20"/>
          <w:color w:val="auto"/>
        </w:rPr>
      </w:pPr>
    </w:p>
    <w:p>
      <w:pPr>
        <w:ind w:left="860" w:right="3339" w:firstLine="440"/>
        <w:spacing w:after="0" w:line="252" w:lineRule="auto"/>
        <w:tabs>
          <w:tab w:leader="none" w:pos="16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contingency plans for mitigating the impact of failures for year 2000 reasons of business-critical systems, operating equipment or relationships with third parties.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expect to complete their efforts to address the year 2000 issue in advance of December 31, 1999, and each is planning to take steps to deal with possible year 2000 issues that may arise around that date. Each company's effort is designed to address the company's unique systems, embedded computer chips and third-party relationships, and each effort is well advanced. Accordingly, irrespective of when the merger is completed, each company's effort will continue as planned to completion. There will be no major integration of the companies' computer systems that would delay either company's year 2000 compliance efforts.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I-13</w:t>
      </w:r>
    </w:p>
    <w:p>
      <w:pPr>
        <w:sectPr>
          <w:pgSz w:w="11900" w:h="16838" w:orient="portrait"/>
          <w:cols w:equalWidth="0" w:num="1">
            <w:col w:w="10239"/>
          </w:cols>
          <w:pgMar w:left="220" w:top="78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MERGER TRANSACTION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Exxon's Board is using this joint proxy statement/prospectus to solicit proxies from the holders of Exxon common stock and Exxon Class A preferred stock for use at the Exxon meeting. Mobil's Board is also using this document to solicit proxies from the holders of Mobil common stock and Mobil ESOP preferred stock for use at the Mobil meeting.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Exxon Proposals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At the Exxon meeting, holders of Exxon common stock and Exxon Class A preferred stock will be asked to vote upon:</w:t>
      </w:r>
    </w:p>
    <w:p>
      <w:pPr>
        <w:spacing w:after="0" w:line="160" w:lineRule="exact"/>
        <w:rPr>
          <w:sz w:val="20"/>
          <w:szCs w:val="20"/>
          <w:color w:val="auto"/>
        </w:rPr>
      </w:pPr>
    </w:p>
    <w:p>
      <w:pPr>
        <w:ind w:left="860" w:right="3339" w:firstLine="440"/>
        <w:spacing w:after="0" w:line="252" w:lineRule="auto"/>
        <w:tabs>
          <w:tab w:leader="none" w:pos="163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proposed merger pursuant to an Agreement and Plan of Merger dated as of December 1, 1998 among Exxon, Mobil and a wholly owned Exxon subsidiary, including the related issuance of Exxon Mobil common stock,</w:t>
      </w:r>
    </w:p>
    <w:p>
      <w:pPr>
        <w:spacing w:after="0" w:line="162"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amendment of Exxon's certificate of incorporation to increase the number of authorized shares of Exxon common stock to 4.5 billion, to change Exxon's name to "Exxon Mobil Corporation" and to eliminate Exxon's Class B preferred stock, none of which is outstanding, and</w:t>
      </w:r>
    </w:p>
    <w:p>
      <w:pPr>
        <w:spacing w:after="0" w:line="164" w:lineRule="exact"/>
        <w:rPr>
          <w:rFonts w:ascii="Courier New" w:cs="Courier New" w:eastAsia="Courier New" w:hAnsi="Courier New"/>
          <w:sz w:val="14"/>
          <w:szCs w:val="14"/>
          <w:color w:val="auto"/>
        </w:rPr>
      </w:pPr>
    </w:p>
    <w:p>
      <w:pPr>
        <w:ind w:left="860" w:right="3419" w:firstLine="440"/>
        <w:spacing w:after="0" w:line="252" w:lineRule="auto"/>
        <w:tabs>
          <w:tab w:leader="none" w:pos="163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Exxon annual meeting proposals described under "Other Exxon Annual Meeting Proposals" in Chapter Four of this booklet.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will not be completed and the Exxon charter amendments will not be effected unless each is approved by Exxon shareholders. We sometimes refer to</w:t>
      </w:r>
    </w:p>
    <w:p>
      <w:pPr>
        <w:spacing w:after="0" w:line="1" w:lineRule="exact"/>
        <w:rPr>
          <w:sz w:val="20"/>
          <w:szCs w:val="20"/>
          <w:color w:val="auto"/>
        </w:rPr>
      </w:pPr>
    </w:p>
    <w:p>
      <w:pPr>
        <w:ind w:left="440" w:right="5319" w:hanging="432"/>
        <w:spacing w:after="0" w:line="501" w:lineRule="auto"/>
        <w:tabs>
          <w:tab w:leader="none" w:pos="3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collectively as the "Exxon Merger Proposals". Mobil Proposals</w:t>
      </w:r>
    </w:p>
    <w:p>
      <w:pPr>
        <w:ind w:right="4119" w:firstLine="431"/>
        <w:spacing w:after="0" w:line="255" w:lineRule="auto"/>
        <w:rPr>
          <w:sz w:val="20"/>
          <w:szCs w:val="20"/>
          <w:color w:val="auto"/>
        </w:rPr>
      </w:pPr>
      <w:r>
        <w:rPr>
          <w:rFonts w:ascii="Courier New" w:cs="Courier New" w:eastAsia="Courier New" w:hAnsi="Courier New"/>
          <w:sz w:val="14"/>
          <w:szCs w:val="14"/>
          <w:color w:val="auto"/>
        </w:rPr>
        <w:t>At the Mobil meeting, holders of Mobil common stock and Mobil ESOP preferred stock will be asked to vote upon:</w:t>
      </w:r>
    </w:p>
    <w:p>
      <w:pPr>
        <w:spacing w:after="0" w:line="160" w:lineRule="exact"/>
        <w:rPr>
          <w:sz w:val="20"/>
          <w:szCs w:val="20"/>
          <w:color w:val="auto"/>
        </w:rPr>
      </w:pPr>
    </w:p>
    <w:p>
      <w:pPr>
        <w:ind w:left="860" w:right="3939" w:firstLine="440"/>
        <w:spacing w:after="0" w:line="255" w:lineRule="auto"/>
        <w:tabs>
          <w:tab w:leader="none" w:pos="172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adoption of the merger agreement and the merger, and</w:t>
      </w:r>
    </w:p>
    <w:p>
      <w:pPr>
        <w:spacing w:after="0" w:line="159" w:lineRule="exact"/>
        <w:rPr>
          <w:rFonts w:ascii="Courier New" w:cs="Courier New" w:eastAsia="Courier New" w:hAnsi="Courier New"/>
          <w:sz w:val="14"/>
          <w:szCs w:val="14"/>
          <w:color w:val="auto"/>
        </w:rPr>
      </w:pPr>
    </w:p>
    <w:p>
      <w:pPr>
        <w:ind w:left="860" w:right="3419" w:firstLine="440"/>
        <w:spacing w:after="0" w:line="252" w:lineRule="auto"/>
        <w:tabs>
          <w:tab w:leader="none" w:pos="163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Mobil annual meeting proposals described under "Other Mobil Annual Meeting Proposals" in Chapter Five of this booklet.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management of each of Exxon and Mobil continually review their company's respective positions in light of the changing competitive environment of the oil and gas industry with the objective of determining what alternatives are available to further enhance shareholder value. While both companies believe they have positive future prospects on a stand-alone basis, in recent years, the managements of both Exxon and Mobil have had conversations with a number of other companies regarding a range of options to improve their competitive positions, including acquisitions or dispositions of assets, possible partnerships, alliances or other significant transactions.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June 16, 1998, Mr. Lee R. Raymond, Exxon's Chairman and Chief Executive Officer, met with Mr. Lucio A. Noto, Mobil's Chairman and Chief Executive Officer, at Mobil's headquarters in Fairfax, Virginia. At the meeting, among other things, Mr. Raymond and Mr. Noto had preliminary discussions about the possibility of a combination of the two companies and touched on what each company could contribute to the combination in both</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I-14</w:t>
      </w:r>
    </w:p>
    <w:p>
      <w:pPr>
        <w:sectPr>
          <w:pgSz w:w="11900" w:h="16838" w:orient="portrait"/>
          <w:cols w:equalWidth="0" w:num="1">
            <w:col w:w="10239"/>
          </w:cols>
          <w:pgMar w:left="220" w:top="947" w:right="1440" w:bottom="1440" w:gutter="0" w:footer="0" w:header="0"/>
        </w:sectPr>
      </w:pPr>
    </w:p>
    <w:bookmarkStart w:id="23" w:name="page24"/>
    <w:bookmarkEnd w:id="2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near- and longer-term, including areas where the companies' businesses are complementary or redundant, and on the possible allocation of management responsibilities and Board composition. They agreed that Mr. Raymond would serve as sole CEO of any combined entity that might result from the discussions. They agreed to further consider separately the possibility of such a transaction. On June 23, 1998, Mr. Noto telephoned Mr. Raymond to continue the discussions from their meeting the previous week. At the regular meeting of the Mobil Board on June 26, 1998, Mr. Noto informed the Mobil Board of his meeting with Mr. Raymond.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July 1, 1998, Mr. Raymond and Mr. Charles W. Matthews, Exxon's general counsel, met with Mr. Noto and Mr. Samuel H. Gillespie III, senior vice president and general counsel of Mobil, at Exxon's headquarters in Irving, Texas to continue the preliminary discussions concerning the possibility of a transaction. The discussions focused on the need to identify, in the context of the near- and longer-term benefits, a mutually acceptable range for the possible relative ownerships by Exxon and Mobil shareholders of the combined company after the merger, before proceeding to discuss other transaction terms or to involve a significant number of other employees or outside advisors. Later that day, Mr. Noto notified the Mobil Board of the discussions between Mobil and Exxon. During the course of the month of July, Mr. Raymond and Mr. Noto had several further telephone conversations in which they continued to discuss their views on the benefits to shareholders of a possible combination transaction and an acceptable relative ownership range.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regular meeting of the Mobil Board on July 24, 1998, Mr. Noto briefed the Mobil Board on the preliminary discussions with Exxon regarding a possible combination transaction. Mr. Noto discussed with the Mobil Board recent developments in the oil industry and the potential benefits of a combination transaction between Exxon and Mobil. The Mobil Board indicated its support of initiatives to enhance shareholder value and authorized Mr. Noto to continue to pursue the possibility of a combination transaction between Mobil and Exxon.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regular meeting of the Exxon Board on July 29, 1998, Mr. Raymond briefed the Exxon Board on the preliminary discussions with Mr. Noto regarding the possibility of a combination transaction between Exxon and Mobil. Mr. Raymond reviewed with the Board recent developments in the oil industry and his preliminary views on the potential near- and longer-term benefits and operating and capital synergies of such a combination transaction and some of the terms on which such a transaction might occur. The Exxon Board indicated its support for the objectives and opportunities to further enhance shareholder value described by Mr. Raymond and encouraged Mr. Raymond to continue to explore the possibility of a transaction which would achieve these objectives.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early August 1998, Mr. Raymond and Mr. Noto continued telephone discussions on a number of important aspects of a possible merger, including possible relative ownership ranges. Not having identified a mutually acceptable range, in a conversation on August 5, Messrs. Raymond and Noto mutually agreed to discontinue discussions. On August 6, Mr. Noto notified the Mobil Board of the discontinuation of discussions between Exxon and Mobil.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August 11, 1998, The British Petroleum Company p.l.c. and Amoco Corporation announced the terms of their merger agreement. In any negotiation, price information from recent, comparable deals helps the parties identify a benchmark price range for their transaction. Before BP/Amoco was announced, Exxon and Mobil could only compare their proposed transaction with recent deals involving companies that were much smaller or in different industries. Pricing in these other deals varied widely and did not help Exxon and Mobil identify an appropriate range for their discussions. BP/Amoco, however, involved companies operating on a similar scale to Exxon and Mobil within the same industry. The transaction therefore provided Exxon and Mobil with a better reference point from which to discuss price and other key terms.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Shortly thereafter, Mr. Raymond and Mr. Noto resumed their discussions taking into account this new pricing benchmark. They concluded that for discussions to progress, the parties would need to develop a better understanding of the potential near-term synergies and cost savings as well as longer-term capital efficiencies and strategic benefits that could be realized from a merger. They agreed to meet again in New Orleans on September 3, 1998.</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I-15</w:t>
      </w:r>
    </w:p>
    <w:p>
      <w:pPr>
        <w:sectPr>
          <w:pgSz w:w="11900" w:h="16838" w:orient="portrait"/>
          <w:cols w:equalWidth="0" w:num="1">
            <w:col w:w="10239"/>
          </w:cols>
          <w:pgMar w:left="220" w:top="78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mid-August 1998, the management of Mobil asked Goldman Sachs to undertake an analysis of strategic alternatives available to Mobil. In late August and September 1998, Mobil management met with Goldman Sachs to discuss Goldman Sachs' analyses, which included a preliminary analysis of a possible merger with Exxon as well as other possible alternatives, including preliminary, hypothetical analyses of possible combinations and joint venture transactions with large publicly-traded oil companies other than Exxon. At that time, Mobil had not advised Goldman Sachs that Mobil was engaged in discussions with Exxon regarding a potential transaction.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September 3 meeting, Messrs. Raymond and Matthews, together with Mr. Rene Dahan and Mr. Harry J. Longwell, senior vice presidents and directors of Exxon, met with Messrs. Noto and Gillespie and other senior executives of Mobil, including Mr. Eugene A. Renna, President, Chief Operating Officer and a director of Mobil. Discussions focused on Mobil's identification of potential near-term savings and longer-term benefits achievable from a potential merger. Mobil presented its preliminary analysis of the synergies which it believed would be achievable by the third anniversary of the closing. The scope of synergies discussed at this meeting included savings achievable through elimination of duplicative overheads at the corporate and operating levels; focusing the combined company's exploration and capital programs on high quality investments; and efficiencies resulting from economies of scale and sharing of best practices in, for example, refining operations, raw material purchasing, product transportation and handling of inventory. In addition, Mobil and Exxon agreed that achieving near-term cost reductions was not a sufficient reason to merge, and that it was essential that they also expect to achieve long-term benefits in order to justify merging. As examples of long-term benefits Exxon and Mobil discussed the ability of the combined company to use its capital more profitably than either company on its own and to compete more effectively with the scale and cost structure of the largest international firms. Exxon and Mobil acknowledged that these long-term benefits would be difficult to quantify.</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14, 1998, Goldman Sachs presented to the Mobil Board its analyses regarding the various possible transactions that might be considered by Mobil, including a possible merger with Exxon. Following its presentation, Goldman Sachs was requested to consider additional hypothetically possible transactions with large publicly-traded oil companies. At that time, Mobil had not advised Goldman Sachs that Mobil was engaged in discussions with Exxon regarding a potential transaction. After Goldman Sachs was excused from the meeting, Mr. Noto briefed the Mobil Board on the recent developments in discussions between Mobil and Exxon.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16, 1998, Mr. Noto called Mr. Raymond to confirm that Mobil had provided Exxon with sufficient information for Exxon to perform its analysis regarding potential synergies. They discussed issues raised at the September 3 meeting, including the ability of the combined company to manage assets for a greater return than each company could achieve individually, and agreed to a further meeting at Exxon's headquarters on September 24. At this meeting, Messrs. Raymond and Matthews continued discussions with Messrs. Noto and Gillespie principally on mutually acceptable relative ownership ranges, and near- and longer-term benefits of the merger. After this meeting, Mobil advised Goldman Sachs that Mobil was engaged in discussions with Exxon regarding a potential transaction.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a regular meeting of the Mobil Board on September 25, 1998 at which Mobil's financial and legal advisors were present, Mr. Noto updated the Mobil Board on the status of the discussions between Exxon and Mobil. The Mobil Board discussed issues involving a possible merger with Exxon, including the two companies' differing views on the relative ownership by Mobil and Exxon shareholders of a combined company. The Mobil Board expressed its support for Mr. Noto's views in this regard. In addition, Goldman Sachs reviewed additional possible transactions with large publicly-traded oil companies that might be considered by Mobil.</w:t>
      </w:r>
    </w:p>
    <w:p>
      <w:pPr>
        <w:spacing w:after="0" w:line="164"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On September 30, 1998, at the regular meeting of the Exxon Board, Mr. Raymond updated the board on his discussions with Mr. Noto, including the differing views on relative ownership ranges. The Exxon Board expressed its support for Mr. Raymond's views in this regard and encouraged Mr. Raymond to continue the discussions. Discussions on possible ownership ranges continued between Messrs. Raymond and Noto over the next few weeks.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I-16</w:t>
      </w:r>
    </w:p>
    <w:p>
      <w:pPr>
        <w:sectPr>
          <w:pgSz w:w="11900" w:h="16838" w:orient="portrait"/>
          <w:cols w:equalWidth="0" w:num="1">
            <w:col w:w="10239"/>
          </w:cols>
          <w:pgMar w:left="220" w:top="782" w:right="1440" w:bottom="1440" w:gutter="0" w:footer="0" w:header="0"/>
        </w:sectPr>
      </w:pPr>
    </w:p>
    <w:bookmarkStart w:id="25" w:name="page26"/>
    <w:bookmarkEnd w:id="2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October 15, 1998, Mr. Noto updated the Mobil Board on Mobil's strategic alternatives, the advantages of a combination with Exxon and the status of discussions between Mobil and Exxon regarding a possible merger. Other alternatives discussed by Mr. Noto included the possibility of Mobil remaining an independent company, the possibility of seeking an acquisition candidate, the possibility of pursuing one or more joint ventures, and the possibility of seeking to engage in a combination with a company other than Exxon. For the reasons contained in "Factors Considered by, and Recommendation of, the Mobil Board" beginning on page I-24 of this proxy statement/prospectus, including that a transaction with Exxon was more feasible and was expected to yield greater benefits than the potential alternatives reviewed by Mobil, the Mobil Board viewed a combination with Exxon as sufficiently superior to other alternatives to make it worthwhile to continue considering such a transaction. The Mobil Board discussed the issues regarding a possible merger and authorized Mr. Noto to continue to pursue discussions with Exxon.</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meeting on October 19, 1998 at Exxon's headquarters attended by Messrs. Raymond, Matthews, Noto and Gillespie, the parties reviewed the possible relative ownership ranges and expanded the discussions to include such issues as the representation of current Mobil directors on the board of the combined company; Mr. Noto's role in the management of the combined company; staffing and employee issues; the name and principal office locations of the combined company; and potential termination fees. Messrs. Raymond and Noto concluded that discussions should be further expanded to cover other terms of a possible transaction and should involve other senior employees and outside advisors.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27, 1998, at a regular meeting of the Exxon Board Compensation Committee to which all non-employee members of the Exxon Board were invited, Mr. Raymond updated the Exxon Board on the discussions with Mobil. On October 29, 1998, at the regular meeting of the Mobil Board, Mr. Noto updated the Mobil Board on discussions with Exxon regarding a possible merger.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28, 1998, Skadden, Arps, Slate, Meagher &amp; Flom LLP, counsel to Mobil, provided a memorandum to Davis Polk &amp; Wardwell, counsel to Exxon, outlining certain merger agreement terms proposed by Mobil for the transaction. The Mobil proposal outlined, among other things: a stock for stock merger in which the parties would account for the transaction as a pooling of interests; the representation of Mobil directors on the Exxon board after the merger; matters relating to the benefits of Mobil employees following the merger; mechanisms designed to address integration issues; provisions limiting the conditions to the consummation of a possible transaction and providing for the payment of termination fees if the merger agreement was terminated or the transaction was not consummated.</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On November 4, 1998, Davis Polk provided a memorandum to Skadden outlining Exxon's responses to the proposal submitted by Mobil. On November 5, representatives of Exxon, Mobil and their counsel met in New York to discuss the merger agreement and open issues. Significant issues addressed included composition of the combined company's board and committees of such board, location of the combined company's headquarters, use of the Mobil brand name, the role of the transition committee, employee matters, conditions to closing, circumstances under which a termination fee would be payable, whether Mobil would grant a stock option to Exxon, and certain representations and warranties to be included in the merger agreement.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16, 1998, Exxon informed J.P. Morgan that Exxon was interested in engaging J.P. Morgan as its financial advisor if discussions with Mobil regarding a possible transaction reached a more advanced stage. On November 9, 1998, Exxon entered into an engagement letter relating to the retention of J.P. Morgan as Exxon's financial advisor for the proposed transaction with Mobil.</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November 1998, Exxon and Mobil exchanged due diligence request lists and representatives of both companies and their advisors participated in a video conference and numerous telephone calls and meetings to conduct reciprocal legal, business, accounting and financial due diligence. A reciprocal confidentiality agreement was entered into on November 12.</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I-17</w:t>
      </w:r>
    </w:p>
    <w:p>
      <w:pPr>
        <w:sectPr>
          <w:pgSz w:w="11900" w:h="16838" w:orient="portrait"/>
          <w:cols w:equalWidth="0" w:num="1">
            <w:col w:w="10239"/>
          </w:cols>
          <w:pgMar w:left="220" w:top="78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November 12, 1998, Davis Polk delivered a first draft of the merger agreement to Mobil and its counsel. On November 13, Mobil and its counsel provided written comments on this draft to Exxon and its counsel and in the following weeks, Exxon and Mobil and their counsel continued to negotiate the provisions of this agreement. On November 17, a first draft of the stock option agreement was provided to Mobil and its counsel.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meeting was held in Washington, D.C. on November 18, 1998, attended by Messrs. Raymond and Noto and other senior Exxon and Mobil officers, as well as outside counsel, to discuss regulatory issues as well as key open issues in the merger agreement, including closing conditions, payment of termination fees, employee matters, and the proposed grant by Mobil to Exxon of an option to buy Mobil stock.</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November 19, 1998, Messrs. Longwell and Dahan of Exxon met with Mr. Renna of Mobil in Washington, D.C. to discuss organizational issues for the combined company, including a proposal to organize the combined company along functional business lines rather than on the basis of geography.</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Over the weekend of November 21, 1998, drafts of the merger agreement and the stock option agreement were delivered to the Mobil and Exxon Boards.</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November 22, 1998, Mobil formalized its retention of Goldman Sachs as its financial advisor for the proposed transaction with Exxon by entering into an engagement letter with Goldman Sachs.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November 22, 1998, the Mobil Board held a special meeting at which it was briefed on the status of discussions between Exxon and Mobil and reviewed the relevant financial, accounting and legal considerations of the proposed transaction. At the meeting, Goldman Sachs made a preliminary financial presentation that was similar to the final presentation made at the December 1, 1998 meeting of the Mobil Board. Skadden reviewed the terms and conditions of the proposed merger agreement and stock option agreement, as well as remaining open issues, and reviewed with the Mobil Board its fiduciary duties under Delaware law. In addition, Hogan &amp; Hartson and Linklaters &amp; Alliance, Mobil's regulatory counsel, presented their analyses of regulatory matters and discussed related issues with the Mobil Board. Ernst &amp; Young LLP also reviewed with the Mobil Board accounting matters relating to the proposed merger and issued a letter to the Mobil Board from E&amp;Y concurring with Mobil's conclusion that the merger should be accounted for as a pooling of interests. At the conclusion of the November 22 meeting, the Mobil Board authorized Mobil management to continue discussions with Exxon regarding a possible merger.</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November 23, 1998, Mr. Noto telephoned Mr. Raymond to discuss, among other things, open issues in the merger agreement and the stock option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regular meeting of the Exxon Board on November 25, 1998, at which all of Exxon's directors were present, Exxon's directors were briefed on the objectives and strategic benefits, both near- and longer-term, from a merger with Mobil and the possibility of further enhancing shareholder value over what could be achieved on a stand alone basis, as well as on the status of the discussions with Mobil. J.P. Morgan presented its preliminary financial analysis of the merger. PricewaterhouseCoopers LLP discussed accounting matters relating to the merger and submitted to the Exxon Board a letter from PwC concurring with Exxon's conclusion that the merger should be accounted for as a pooling of interests. In addition, Covington &amp; Burling, Exxon's regulatory counsel, presented its analysis of regulatory matters. Davis Polk reviewed the terms and conditions of the proposed merger agreement and stock option agreement as well as remaining open issues, and reviewed the Exxon Board's legal duties and responsibilities. The Exxon Board authorized Exxon management to continue discussions with Mobil and to move toward finalizing a merger agreement to achieve the objectives discussed.</w:t>
      </w:r>
    </w:p>
    <w:p>
      <w:pPr>
        <w:spacing w:after="0" w:line="32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On November 26, 1998, Mr. Noto and Mr. Raymond spoke by telephone to discuss reports that had appeared in the media about a possible transaction between Exxon and Mobil. On November 27, 1998, prior to the opening of NYSE trading, Exxon and Mobil issued a joint statement confirming that the two companies were in discussions concerning a possible business combination.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I-18</w:t>
      </w:r>
    </w:p>
    <w:p>
      <w:pPr>
        <w:sectPr>
          <w:pgSz w:w="11900" w:h="16838" w:orient="portrait"/>
          <w:cols w:equalWidth="0" w:num="1">
            <w:col w:w="10239"/>
          </w:cols>
          <w:pgMar w:left="220" w:top="782" w:right="1440" w:bottom="1440" w:gutter="0" w:footer="0" w:header="0"/>
        </w:sectPr>
      </w:pPr>
    </w:p>
    <w:bookmarkStart w:id="27" w:name="page28"/>
    <w:bookmarkEnd w:id="2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Over the course of the weekend of November 27, 1998, Exxon and Mobil representatives and outside counsel continued discussions towards resolving open issues. On the evening of November 30, Messrs. Raymond and Noto met and reached agreement in principle, subject to Board approval, on the remaining unresolved terms of the merger, including the exchange ratio and the resulting exercise price in the stock option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special meeting of the Exxon Board on December 1, 1998, Mr. Raymond reviewed the near- and longer-term strategic benefits of a merger with Mobil and the status of the transaction; J.P. Morgan delivered its fairness opinion to the Exxon Board; and Davis Polk made a presentation on the terms and conditions of the merger agreement and the stock option agreement and updated the Board on how remaining open issues had been resolved. After due consideration, the Exxon Board unanimously approved the merger agreement and the stock option agreement and the related merger matters described in this document.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special meeting of the Mobil Board held on December 1, 1998 to consider the merger, the Mobil Board received a financial presentation from and the fairness opinion of Goldman Sachs. Skadden then reviewed the changes in the terms of the proposed merger agreement and stock option agreement since the November 22 meeting. Following these presentations, and a discussion regarding the strategic benefits of the proposed merger and of the terms and conditions of the merger agreement and the stock option agreement, the Mobil Board, with one director voting against, approved the merger agreement and the stock option agreement and determined to recommend that the Mobil shareholders approve the merger agreement and the merger.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Following the approval of their Boards, Exxon and Mobil executed the merger agreement and the stock option agreement, and issued a joint press release immediately thereafter prior to the opening of NYSE trading.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Reasons for the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Exxon and Mobil each have a long history of being managed to enhance shareholder value. Individually, both companies have positive prospects for the future. However, we believe that by combining the two companies, we can create substantially more shareholder value than could be achieved by the companies on their own. This is the fundamental reason for the merger.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Simply having a bigger company is not a reason for us to merge. To create shareholder value, the new company must be better. As we explain in more detail below, we believe that by combining the businesses of Exxon and Mobil we can save money, increase profits and returns, and reduce risk. We will also have greater financial, technological, and human resources. This will increase our ability to handle large, complex, and costly international energy projects.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scale and cost structure of the combined company will help us compete more effectively with the largest firms outside the U.S. These include other multi-national oil companies which have recently combined or formed joint ventures, as well as the very large state-owned oil companies which have been rapidly expanding outside their traditional areas.</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benefits of the merger fall broadly in two categories: near-term operating synergies and capital productivity improvements. We believe these benefits depend on the merger and are not available to the companies on their own.</w:t>
      </w:r>
    </w:p>
    <w:p>
      <w:pPr>
        <w:spacing w:after="0" w:line="162" w:lineRule="exact"/>
        <w:rPr>
          <w:sz w:val="20"/>
          <w:szCs w:val="20"/>
          <w:color w:val="auto"/>
        </w:rPr>
      </w:pPr>
    </w:p>
    <w:p>
      <w:pPr>
        <w:jc w:val="both"/>
        <w:ind w:left="440" w:right="3419"/>
        <w:spacing w:after="0" w:line="250" w:lineRule="auto"/>
        <w:rPr>
          <w:sz w:val="20"/>
          <w:szCs w:val="20"/>
          <w:color w:val="auto"/>
        </w:rPr>
      </w:pPr>
      <w:r>
        <w:rPr>
          <w:rFonts w:ascii="Courier New" w:cs="Courier New" w:eastAsia="Courier New" w:hAnsi="Courier New"/>
          <w:sz w:val="14"/>
          <w:szCs w:val="14"/>
          <w:color w:val="auto"/>
        </w:rPr>
        <w:t>Near-term Operating Synergies. We believe we can run the combined company more efficiently than either company on its own. Specifically, we expect the combined company to achieve about $2.8 billion in annual</w:t>
      </w:r>
    </w:p>
    <w:p>
      <w:pPr>
        <w:spacing w:after="0" w:line="1"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pre-tax benefits from operating synergies. By operating synergies we mean increases in production, sales, and efficiency, decreases in unit costs and overhead expense, and other benefits made possible by combining complementary operations.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I-19</w:t>
      </w:r>
    </w:p>
    <w:p>
      <w:pPr>
        <w:sectPr>
          <w:pgSz w:w="11900" w:h="16838" w:orient="portrait"/>
          <w:cols w:equalWidth="0" w:num="1">
            <w:col w:w="10239"/>
          </w:cols>
          <w:pgMar w:left="220" w:top="78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About two-thirds of these benefits should come from:</w:t>
      </w:r>
    </w:p>
    <w:p>
      <w:pPr>
        <w:spacing w:after="0" w:line="173" w:lineRule="exact"/>
        <w:rPr>
          <w:sz w:val="20"/>
          <w:szCs w:val="20"/>
          <w:color w:val="auto"/>
        </w:rPr>
      </w:pPr>
    </w:p>
    <w:p>
      <w:pPr>
        <w:ind w:left="1220" w:right="3339" w:hanging="179"/>
        <w:spacing w:after="0" w:line="252" w:lineRule="auto"/>
        <w:tabs>
          <w:tab w:leader="none" w:pos="1200" w:val="left"/>
        </w:tabs>
        <w:rPr>
          <w:sz w:val="20"/>
          <w:szCs w:val="20"/>
          <w:color w:val="auto"/>
        </w:rPr>
      </w:pPr>
      <w:r>
        <w:rPr>
          <w:rFonts w:ascii="Courier New" w:cs="Courier New" w:eastAsia="Courier New" w:hAnsi="Courier New"/>
          <w:sz w:val="14"/>
          <w:szCs w:val="14"/>
          <w:color w:val="auto"/>
        </w:rPr>
        <w:t>o</w:t>
        <w:tab/>
        <w:t>Streamlining the combined organization, which we can run with less administrative and overhead cost than two separate organizations; and</w:t>
      </w:r>
    </w:p>
    <w:p>
      <w:pPr>
        <w:spacing w:after="0" w:line="163" w:lineRule="exact"/>
        <w:rPr>
          <w:sz w:val="20"/>
          <w:szCs w:val="20"/>
          <w:color w:val="auto"/>
        </w:rPr>
      </w:pPr>
    </w:p>
    <w:p>
      <w:pPr>
        <w:ind w:left="1220" w:right="351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Eliminating excess capacity, duplicate facilities, and redundant operations.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Additional synergy benefits should come from:</w:t>
      </w:r>
    </w:p>
    <w:p>
      <w:pPr>
        <w:spacing w:after="0" w:line="173" w:lineRule="exact"/>
        <w:rPr>
          <w:sz w:val="20"/>
          <w:szCs w:val="20"/>
          <w:color w:val="auto"/>
        </w:rPr>
      </w:pPr>
    </w:p>
    <w:p>
      <w:pPr>
        <w:ind w:left="1220" w:right="359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Exploring for oil and gas more efficiently in regions where the companies operate separately today;</w:t>
      </w:r>
    </w:p>
    <w:p>
      <w:pPr>
        <w:spacing w:after="0" w:line="160" w:lineRule="exact"/>
        <w:rPr>
          <w:sz w:val="20"/>
          <w:szCs w:val="20"/>
          <w:color w:val="auto"/>
        </w:rPr>
      </w:pPr>
    </w:p>
    <w:p>
      <w:pPr>
        <w:ind w:left="1220" w:right="401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Applying each company's best business practices across the worldwide operations of the combined company; and</w:t>
      </w:r>
    </w:p>
    <w:p>
      <w:pPr>
        <w:spacing w:after="0" w:line="160" w:lineRule="exact"/>
        <w:rPr>
          <w:sz w:val="20"/>
          <w:szCs w:val="20"/>
          <w:color w:val="auto"/>
        </w:rPr>
      </w:pPr>
    </w:p>
    <w:p>
      <w:pPr>
        <w:ind w:left="1220" w:right="341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Coordinating purchases of raw materials across the two companies' extensive supply, refining and chemicals networks.</w:t>
      </w:r>
    </w:p>
    <w:p>
      <w:pPr>
        <w:spacing w:after="0" w:line="160" w:lineRule="exact"/>
        <w:rPr>
          <w:sz w:val="20"/>
          <w:szCs w:val="20"/>
          <w:color w:val="auto"/>
        </w:rPr>
      </w:pPr>
    </w:p>
    <w:p>
      <w:pPr>
        <w:ind w:left="440" w:right="3519" w:firstLine="431"/>
        <w:spacing w:after="0" w:line="251" w:lineRule="auto"/>
        <w:rPr>
          <w:sz w:val="20"/>
          <w:szCs w:val="20"/>
          <w:color w:val="auto"/>
        </w:rPr>
      </w:pPr>
      <w:r>
        <w:rPr>
          <w:rFonts w:ascii="Courier New" w:cs="Courier New" w:eastAsia="Courier New" w:hAnsi="Courier New"/>
          <w:sz w:val="14"/>
          <w:szCs w:val="14"/>
          <w:color w:val="auto"/>
        </w:rPr>
        <w:t>We expect to realize the full $2.8 billion in annual pre-tax synergy benefits by the third year after the merger. During the first two years, the benefits should begin to be realized but will be partly offset by one-time costs we estimate at $2 billion. These are non-recurring costs that we expect to incur to integrate the businesses. On a net basis, the earnings impact should be neutral in the first year after the merger and positive by the second year.</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Capital Productivity Improvements. We also believe the combined company can use its capital more profitably than either company on its own. As discussed below, Exxon Mobil will, by combining complementary assets, have a stronger presence in those regions of the world with the best potential for future oil and gas discoveries and production. We will also have an improved and more balanced presence in high-growth markets and businesses. This will provide a broader menu of capital investment opportunities from which to choose the best projects to advance. As a result, we believe the combined company will be able to maintain or improve earnings while spending less on capital projects overall. Additionally, we believe that many of our existing assets will perform better when combined due to efficiencies of scale, cost savings, and sharing of best management practices.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businesses and assets of Exxon and Mobil are highly complementary in key areas. As a result, the combined company should be a top competitor among international energy companies in all three of its main businesses: exploration and production, refining and marketing, and chemicals. In terms of both geography and areas of business, the combined company will also have a more diverse portfolio. Diversification helps us better spread and manage the risks inherent in our volatile industry. This means that a downturn in a particular country or business will have less impact on overall performance.</w:t>
      </w:r>
    </w:p>
    <w:p>
      <w:pPr>
        <w:spacing w:after="0" w:line="164"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Exploration and Production. The combined company will have an improved portfolio in key exploration and production areas of the world today. For example:</w:t>
      </w:r>
    </w:p>
    <w:p>
      <w:pPr>
        <w:spacing w:after="0" w:line="163" w:lineRule="exact"/>
        <w:rPr>
          <w:sz w:val="20"/>
          <w:szCs w:val="20"/>
          <w:color w:val="auto"/>
        </w:rPr>
      </w:pPr>
    </w:p>
    <w:p>
      <w:pPr>
        <w:ind w:left="960" w:right="3339" w:hanging="263"/>
        <w:spacing w:after="0" w:line="252" w:lineRule="auto"/>
        <w:tabs>
          <w:tab w:leader="none" w:pos="9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Exxon's leadership position in deepwater exploration in West Africa will combine with Mobil's existing production and exploration acreage in Nigeria and Equatorial Guinea;</w:t>
      </w:r>
    </w:p>
    <w:p>
      <w:pPr>
        <w:spacing w:after="0" w:line="162" w:lineRule="exact"/>
        <w:rPr>
          <w:rFonts w:ascii="Courier New" w:cs="Courier New" w:eastAsia="Courier New" w:hAnsi="Courier New"/>
          <w:sz w:val="14"/>
          <w:szCs w:val="14"/>
          <w:color w:val="auto"/>
        </w:rPr>
      </w:pPr>
    </w:p>
    <w:p>
      <w:pPr>
        <w:ind w:left="960" w:right="3599" w:hanging="263"/>
        <w:spacing w:after="0" w:line="252" w:lineRule="auto"/>
        <w:tabs>
          <w:tab w:leader="none" w:pos="9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Caspian, Exxon's strong presence in Azerbaijan will combine with Mobil's similar position in Kazakhstan, including its significant interest in the Tengiz field, and its presence in Turkmenistan;</w:t>
      </w:r>
    </w:p>
    <w:p>
      <w:pPr>
        <w:spacing w:after="0" w:line="162" w:lineRule="exact"/>
        <w:rPr>
          <w:rFonts w:ascii="Courier New" w:cs="Courier New" w:eastAsia="Courier New" w:hAnsi="Courier New"/>
          <w:sz w:val="14"/>
          <w:szCs w:val="14"/>
          <w:color w:val="auto"/>
        </w:rPr>
      </w:pPr>
    </w:p>
    <w:p>
      <w:pPr>
        <w:ind w:left="960" w:right="3679" w:hanging="263"/>
        <w:spacing w:after="0" w:line="255" w:lineRule="auto"/>
        <w:tabs>
          <w:tab w:leader="none" w:pos="9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Complementary exploration and production operations also exist in South America, Russia and Eastern Canada;</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I-20</w:t>
      </w:r>
    </w:p>
    <w:p>
      <w:pPr>
        <w:sectPr>
          <w:pgSz w:w="11900" w:h="16838" w:orient="portrait"/>
          <w:cols w:equalWidth="0" w:num="1">
            <w:col w:w="10239"/>
          </w:cols>
          <w:pgMar w:left="220" w:top="782" w:right="1440" w:bottom="1440" w:gutter="0" w:footer="0" w:header="0"/>
        </w:sectPr>
      </w:pPr>
    </w:p>
    <w:bookmarkStart w:id="29" w:name="page30"/>
    <w:bookmarkEnd w:id="2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339" w:hanging="263"/>
        <w:spacing w:after="0" w:line="253" w:lineRule="auto"/>
        <w:tabs>
          <w:tab w:leader="none" w:pos="9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higher-growth natural gas business, the companies will combine their own leading technologies and large positions in several of the world's key markets, including North America, Europe and Asia-Pacific.</w:t>
      </w:r>
    </w:p>
    <w:p>
      <w:pPr>
        <w:spacing w:after="0" w:line="327" w:lineRule="exact"/>
        <w:rPr>
          <w:sz w:val="20"/>
          <w:szCs w:val="20"/>
          <w:color w:val="auto"/>
        </w:rPr>
      </w:pPr>
    </w:p>
    <w:p>
      <w:pPr>
        <w:ind w:left="440" w:right="3599" w:firstLine="431"/>
        <w:spacing w:after="0" w:line="255" w:lineRule="auto"/>
        <w:rPr>
          <w:sz w:val="20"/>
          <w:szCs w:val="20"/>
          <w:color w:val="auto"/>
        </w:rPr>
      </w:pPr>
      <w:r>
        <w:rPr>
          <w:rFonts w:ascii="Courier New" w:cs="Courier New" w:eastAsia="Courier New" w:hAnsi="Courier New"/>
          <w:sz w:val="14"/>
          <w:szCs w:val="14"/>
          <w:color w:val="auto"/>
        </w:rPr>
        <w:t>On a worldwide basis, the combined company will have proved oil and natural gas reserves of 21 billion oil-equivalent barrels.</w:t>
      </w:r>
    </w:p>
    <w:p>
      <w:pPr>
        <w:spacing w:after="0" w:line="160"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Refining and Marketing. In refining operations, the combined company will have access to an expanded network of refineries for manufacturing high quality fuel products and feedstocks. Both companies have traditionally focused on maintaining highly efficient, technologically up-to-date refineries. These facilities have good locations and are integrated with lubricant or chemical manufacturing facilities, providing additional opportunities to improve efficiency.</w:t>
      </w:r>
    </w:p>
    <w:p>
      <w:pPr>
        <w:spacing w:after="0" w:line="164"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In retail marketing, the combined company will benefit from an expanded worldwide base of branded service stations, as well as Exxon's and Mobil's global brand recognition. By sharing expertise, we expect to enhance the combined company's offering of high-quality products and services and attractive, efficient store designs.</w:t>
      </w:r>
    </w:p>
    <w:p>
      <w:pPr>
        <w:spacing w:after="0" w:line="165" w:lineRule="exact"/>
        <w:rPr>
          <w:sz w:val="20"/>
          <w:szCs w:val="20"/>
          <w:color w:val="auto"/>
        </w:rPr>
      </w:pPr>
    </w:p>
    <w:p>
      <w:pPr>
        <w:ind w:left="440" w:right="3599" w:firstLine="431"/>
        <w:spacing w:after="0" w:line="252" w:lineRule="auto"/>
        <w:rPr>
          <w:sz w:val="20"/>
          <w:szCs w:val="20"/>
          <w:color w:val="auto"/>
        </w:rPr>
      </w:pPr>
      <w:r>
        <w:rPr>
          <w:rFonts w:ascii="Courier New" w:cs="Courier New" w:eastAsia="Courier New" w:hAnsi="Courier New"/>
          <w:sz w:val="14"/>
          <w:szCs w:val="14"/>
          <w:color w:val="auto"/>
        </w:rPr>
        <w:t>In lubricants, Exxon's industry leading basestock manufacturing business will combine with Mobil's expertise in synthetic lubricants and leading position in worldwide finished product sales.</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Chemicals. On a worldwide basis, the combined company will have a greater olefin, polyolefin and paraxylene capacity. This will provide opportunities to save money through manufacturing efficiencies. We also believe that a common focus on efficiency, use of cost-effective raw materials, and further integration of fuels and chemicals operations at individual sites will improve overall performance.</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Proprietary Technologies. Exxon and Mobil have each invested in extensive research and development programs over the years. As a result, each company has its own exclusive patents on valuable technologies. The merger will let us share these proprietary technologies and apply them across the combined business. For example, in the exploration and production business, we will benefit from sharing deepwater, arctic, heavy oil and remote natural gas technologies. In the refining and marketing and chemicals businesses, we will benefit from sharing catalysis technologies and proprietary processes for manufacturing fuels, chemicals, and synthetic lubricants.</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Exxon and Mobil share a number of important long-term corporate values, including:</w:t>
      </w:r>
    </w:p>
    <w:p>
      <w:pPr>
        <w:spacing w:after="0" w:line="160" w:lineRule="exact"/>
        <w:rPr>
          <w:sz w:val="20"/>
          <w:szCs w:val="20"/>
          <w:color w:val="auto"/>
        </w:rPr>
      </w:pPr>
    </w:p>
    <w:p>
      <w:pPr>
        <w:ind w:left="1040" w:hanging="343"/>
        <w:spacing w:after="0"/>
        <w:tabs>
          <w:tab w:leader="none" w:pos="10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commitment to enhancing shareholder value;</w:t>
      </w:r>
    </w:p>
    <w:p>
      <w:pPr>
        <w:spacing w:after="0" w:line="172" w:lineRule="exact"/>
        <w:rPr>
          <w:rFonts w:ascii="Courier New" w:cs="Courier New" w:eastAsia="Courier New" w:hAnsi="Courier New"/>
          <w:sz w:val="14"/>
          <w:szCs w:val="14"/>
          <w:color w:val="auto"/>
        </w:rPr>
      </w:pPr>
    </w:p>
    <w:p>
      <w:pPr>
        <w:ind w:left="1040" w:right="4199" w:hanging="343"/>
        <w:spacing w:after="0" w:line="255" w:lineRule="auto"/>
        <w:tabs>
          <w:tab w:leader="none" w:pos="10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emphasis on efficiency, investment discipline and asset productivity;</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focus on product quality and customer satisfaction; and</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commitment to safety, health and environmental care.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Both companies also benefit from talented and dedicated employees with a long-standing commitment to excellence. We believe these shared values will facilitate a relatively smooth integration of the two companies.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I-21</w:t>
      </w:r>
    </w:p>
    <w:p>
      <w:pPr>
        <w:sectPr>
          <w:pgSz w:w="11900" w:h="16838" w:orient="portrait"/>
          <w:cols w:equalWidth="0" w:num="1">
            <w:col w:w="10239"/>
          </w:cols>
          <w:pgMar w:left="220" w:top="78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Mobil's Senior Management Team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senior management team is expected to consist of the six individuals named below. This team reflects that Exxon Mobil will be organized along business lines with three major business units: * exploration &amp; production * refining and marketing and * chemicals. A transition committee consisting of Mr. Raymond and Mr. Noto is responsible for recommending to the Exxon Mobil Board the other senior officers.</w:t>
      </w:r>
    </w:p>
    <w:p>
      <w:pPr>
        <w:sectPr>
          <w:pgSz w:w="11900" w:h="16838" w:orient="portrait"/>
          <w:cols w:equalWidth="0" w:num="1">
            <w:col w:w="10239"/>
          </w:cols>
          <w:pgMar w:left="220" w:top="782" w:right="1440" w:bottom="1440" w:gutter="0" w:footer="0" w:header="0"/>
        </w:sectPr>
      </w:pP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Lee R. Raymond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Lucio A. Noto</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Harry J. Longwell</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Rene Dahan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Eugene A. Renna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Robert E. Wilhelm</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CEO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173" w:lineRule="exact"/>
        <w:rPr>
          <w:sz w:val="20"/>
          <w:szCs w:val="20"/>
          <w:color w:val="auto"/>
        </w:rPr>
      </w:pPr>
    </w:p>
    <w:p>
      <w:pPr>
        <w:sectPr>
          <w:pgSz w:w="11900" w:h="16838" w:orient="portrait"/>
          <w:cols w:equalWidth="0" w:num="2">
            <w:col w:w="3600" w:space="720"/>
            <w:col w:w="5919"/>
          </w:cols>
          <w:pgMar w:left="220" w:top="782" w:right="1440" w:bottom="1440" w:gutter="0" w:footer="0" w:header="0"/>
          <w:type w:val="continuous"/>
        </w:sect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Mr. Longwell will be responsible for exploration and production. Mr. Dahan will be responsible for chemicals. Mr. Renna will be responsible for refining and marketing. All six individuals will be on the Exxon Mobil Board.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Considered by, and Recommendation of, the Exxon Board</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At a meeting of the Exxon Board held on December 1, 1998, after due consideration, the Exxon Board unanimously:</w:t>
      </w:r>
    </w:p>
    <w:p>
      <w:pPr>
        <w:spacing w:after="0" w:line="160" w:lineRule="exact"/>
        <w:rPr>
          <w:sz w:val="20"/>
          <w:szCs w:val="20"/>
          <w:color w:val="auto"/>
        </w:rPr>
      </w:pPr>
    </w:p>
    <w:p>
      <w:pPr>
        <w:ind w:left="960" w:right="3519" w:hanging="435"/>
        <w:spacing w:after="0" w:line="252" w:lineRule="auto"/>
        <w:tabs>
          <w:tab w:leader="none" w:pos="9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merger agreement, the merger, the stock option agreement, the amendments to Exxon's charter and the related transactions are fair to and in the best interests of Exxon and its shareholders,</w:t>
      </w:r>
    </w:p>
    <w:p>
      <w:pPr>
        <w:spacing w:after="0" w:line="162" w:lineRule="exact"/>
        <w:rPr>
          <w:rFonts w:ascii="Courier New" w:cs="Courier New" w:eastAsia="Courier New" w:hAnsi="Courier New"/>
          <w:sz w:val="14"/>
          <w:szCs w:val="14"/>
          <w:color w:val="auto"/>
        </w:rPr>
      </w:pPr>
    </w:p>
    <w:p>
      <w:pPr>
        <w:ind w:left="960" w:right="3519" w:hanging="521"/>
        <w:spacing w:after="0" w:line="255" w:lineRule="auto"/>
        <w:tabs>
          <w:tab w:leader="none" w:pos="9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the merger agreement, the merger, the stock option agreement, the charter amendments and the related transactions, and</w:t>
      </w:r>
    </w:p>
    <w:p>
      <w:pPr>
        <w:spacing w:after="0" w:line="159" w:lineRule="exact"/>
        <w:rPr>
          <w:rFonts w:ascii="Courier New" w:cs="Courier New" w:eastAsia="Courier New" w:hAnsi="Courier New"/>
          <w:sz w:val="14"/>
          <w:szCs w:val="14"/>
          <w:color w:val="auto"/>
        </w:rPr>
      </w:pPr>
    </w:p>
    <w:p>
      <w:pPr>
        <w:ind w:left="960" w:right="3519" w:hanging="607"/>
        <w:spacing w:after="0" w:line="251" w:lineRule="auto"/>
        <w:tabs>
          <w:tab w:leader="none" w:pos="9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to recommend that the shareholders of Exxon approve the merger, including the issuance of Exxon common stock in the merger, and the charter amendments. Accordingly, the Exxon Board recommends that the Exxon shareholders vote "FOR" the approval of the merger, including the issuance of Exxon common stock in the merger, and the charter amendments.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approving the transaction and making these recommendations, the Exxon Board consulted with Exxon's management as well as its outside legal counsel and financial advisor, and considered the following material factors:</w:t>
      </w:r>
    </w:p>
    <w:p>
      <w:pPr>
        <w:spacing w:after="0" w:line="163" w:lineRule="exact"/>
        <w:rPr>
          <w:sz w:val="20"/>
          <w:szCs w:val="20"/>
          <w:color w:val="auto"/>
        </w:rPr>
      </w:pPr>
    </w:p>
    <w:p>
      <w:pPr>
        <w:ind w:left="440" w:right="3679" w:firstLine="430"/>
        <w:spacing w:after="0" w:line="252"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reasons described above under "Our Reasons for the Merger", including the near- and longer-term synergies and productivity improvements expected to be available to the combined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as alternatives to the merger, of pursuing an acquisition of or a business combination or joint venture with an entity other than Mobil and the Exxon Board's conclusion that a transaction with Mobil is more feasible, and is expected to yield greater benefits, than the likely alternatives. The Exxon Board reached this conclusion for reasons including Mobil's interest in pursuing a transaction with Exxon, Exxon's view that the transaction could be acceptably completed from a timing and regulatory standpoint, and Exxon management's assessment of the alternatives and the expected benefits of the merger and compatibility of the companies as described under "Our Reasons for the Merger" above;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I-22</w:t>
      </w:r>
    </w:p>
    <w:p>
      <w:pPr>
        <w:sectPr>
          <w:pgSz w:w="11900" w:h="16838" w:orient="portrait"/>
          <w:cols w:equalWidth="0" w:num="1">
            <w:col w:w="10239"/>
          </w:cols>
          <w:pgMar w:left="220" w:top="782" w:right="1440" w:bottom="1440" w:gutter="0" w:footer="0" w:header="0"/>
          <w:type w:val="continuous"/>
        </w:sectPr>
      </w:pPr>
    </w:p>
    <w:bookmarkStart w:id="31" w:name="page32"/>
    <w:bookmarkEnd w:id="3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right="3519" w:firstLine="430"/>
        <w:spacing w:after="0" w:line="255"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Exxon shareholders would hold approximately 70% of the outstanding stock of the combined company after the merger;</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comparisons of historical financial measures for Exxon and Mobil, including earnings, return on capital employed and cash flow, and comparisons of historical operational measures for Exxon and Mobil, including hydrocarbon reserve replacement, hydrocarbon production and refinery runs;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 including current low prices for crude oil and refined products. The Exxon Board considered that, when oil prices and refining margins fall, companies must improve the performance of their internal operations to maintain profitability. The Exxon Board considered it likely that low prices would lead to further consolidation in the oil and gas industry because, as explained under "Our Reasons for the Merger," combining operations can help companies save money and operate more efficiently;</w:t>
      </w:r>
    </w:p>
    <w:p>
      <w:pPr>
        <w:spacing w:after="0" w:line="163"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intended accounting of the merger as a pooling of interests which results in combined financial statements prepared on a basis consistent with the underlying view that shareholder interests in the two companies have simply been combined, and in the preservation of the historical cost approach for both Exxon and Mobil. This will facilitate future comparison and benchmarking of Exxon Mobil against our key international competitors;</w:t>
      </w:r>
    </w:p>
    <w:p>
      <w:pPr>
        <w:spacing w:after="0" w:line="164"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as a tax-free reorganization for U.S. federal income tax purposes;</w:t>
      </w:r>
    </w:p>
    <w:p>
      <w:pPr>
        <w:spacing w:after="0" w:line="159"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including the conditions to closing and the termination fees payable under certain circumstances (see "The Merger Agreement--Conditions to the Completion of the Merger" and "The Merger Agreement--Termination of the Merger Agreement");</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to Exxon of an option to acquire Mobil stock exercisable under certain circumstances pursuant to the stock option agreement (see "The Merger Agreement--Stock Option Agreement");</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analyses and presentations of J.P. Morgan, and J.P. Morgan's written opinion to the effect that, as of December 1, 1998, and based upon and subject to the various considerations set forth in its opinion, the consideration proposed to be paid by Exxon in the merger was fair from a financial point of view to Exxon;</w:t>
      </w:r>
    </w:p>
    <w:p>
      <w:pPr>
        <w:spacing w:after="0" w:line="164" w:lineRule="exact"/>
        <w:rPr>
          <w:rFonts w:ascii="Courier New" w:cs="Courier New" w:eastAsia="Courier New" w:hAnsi="Courier New"/>
          <w:sz w:val="14"/>
          <w:szCs w:val="14"/>
          <w:color w:val="auto"/>
        </w:rPr>
      </w:pPr>
    </w:p>
    <w:p>
      <w:pPr>
        <w:ind w:left="440" w:right="3779" w:firstLine="344"/>
        <w:spacing w:after="0" w:line="252"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role that Exxon's current management would play in the management of the combined company and the composition of the combined company's Board of Directors;</w:t>
      </w:r>
    </w:p>
    <w:p>
      <w:pPr>
        <w:spacing w:after="0" w:line="162" w:lineRule="exact"/>
        <w:rPr>
          <w:rFonts w:ascii="Courier New" w:cs="Courier New" w:eastAsia="Courier New" w:hAnsi="Courier New"/>
          <w:sz w:val="14"/>
          <w:szCs w:val="14"/>
          <w:color w:val="auto"/>
        </w:rPr>
      </w:pPr>
    </w:p>
    <w:p>
      <w:pPr>
        <w:ind w:left="440" w:right="3599" w:firstLine="344"/>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challenges of combining the businesses of two major corporations of this size and the attendant risk of not achieving the expected cost savings and other benefits, as discussed under "Cautionary Statement Concerning Forward-Looking Statements", and of diverting management focus and resources from other strategic opportunities and operational matters for an extended period of time; and</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 merger is likely to be completed, there are risks associated with obtaining necessary approvals, and as a result of certain conditions to the completion of the merger, it is possible that the merger may not be completed even if approved by shareholders (see "The Merger Agreement--Conditions to the Completion of the Merger").</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considered in connection with its evaluation of the merger and the complexity of these matters, the Exxon Board did not find it useful to and did not attempt to quantify, rank or otherwise assign relative weights to these factors. The Exxon Board relied on the experience and expertise of J.P. Morgan, its financial advisor, for quantitative analysis of the financial terms of the merger. See "Opinions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I-23</w:t>
      </w:r>
    </w:p>
    <w:p>
      <w:pPr>
        <w:sectPr>
          <w:pgSz w:w="11900" w:h="16838" w:orient="portrait"/>
          <w:cols w:equalWidth="0" w:num="1">
            <w:col w:w="10239"/>
          </w:cols>
          <w:pgMar w:left="220" w:top="78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Financial Advisors--Opinion of Exxon Financial Advisor". In addition, the Exxon Board did not undertake to make any specific determination as to whether any particular factor, or any aspect of any particular factor, was favorable or unfavorable to the Exxon Board's ultimate determination, but rather the Exxon Board conducted an overall analysis of the factors described above, including through discussions with and questioning of Exxon's management and legal, financial and accounting advisors. In considering the factors described above, individual members of the Exxon Board may have given different weight to different factors.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Exxon Board considered all these factors as a whole, and overall considered the factors to be favorable to and to support its determination. However, the general view of the Exxon Board was that factors 12 and 13 were uncertainties or risks relating to the transaction, and that the other reasons and factors described above were generally considered favorable.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Considered by, and Recommendation of, the Mobil Board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its December 1, 1998 meeting, the Mobil Board, with one director voting against, determined that the merger agreement and the related transactions, including the merger, are fair to and in the best interests of Mobil and Mobil's shareholders. Accordingly, the Mobil Board has adopted the merger agreement, with one director voting against such adoption, and the Mobil Board recommends that Mobil's shareholders vote "FOR" approval of the merger agreement and the merger.</w:t>
      </w:r>
    </w:p>
    <w:p>
      <w:pPr>
        <w:spacing w:after="0" w:line="33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the course of reaching its decision to adopt the merger agreement, the Mobil Board consulted with Mobil's management, as well as its outside legal counsel and its financial advisor, and considered the following material factors:</w:t>
      </w:r>
    </w:p>
    <w:p>
      <w:pPr>
        <w:spacing w:after="0" w:line="162" w:lineRule="exact"/>
        <w:rPr>
          <w:sz w:val="20"/>
          <w:szCs w:val="20"/>
          <w:color w:val="auto"/>
        </w:rPr>
      </w:pPr>
    </w:p>
    <w:p>
      <w:pPr>
        <w:ind w:left="440" w:right="3679" w:firstLine="430"/>
        <w:spacing w:after="0" w:line="252"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reasons described above under "Our Reasons for the Merger", including the near- and longer-term synergies and productivity improvements expected to be available to the combined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potential rewards associated with, as an alternative to the merger, continuing to execute Mobil's strategic plan as an independent entity. Such risks include, among others, the risks associated with remaining independent amidst industry-wide consolidation, and such rewards include, among others, the ability of existing Mobil shareholders to partake in the potential future growth and profitability of Mobil;</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as alternatives to the merger, of seeking to acquire another company, seeking to engage in one or more joint ventures or seeking to engage in a combination with a company other than Exxon and the Mobil Board's conclusion that a transaction with Exxon is more feasible, and is expected to yield greater benefits, than the likely alternatives. The Mobil Board concluded that a combination with Exxon was more feasible than the other alternatives it reviewed for reasons including the fact that Exxon was interested in pursuing a transaction with Mobil, and Mobil's view that the transaction could be acceptably completed from a timing and regulatory standpoint, and would yield greater benefits than the alternatives given Exxon's financial strength, and the ability of a combined company to fund a greater number of long-term growth projects and to compete effectively;</w:t>
      </w:r>
    </w:p>
    <w:p>
      <w:pPr>
        <w:spacing w:after="0" w:line="328"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exchange ratio provided for in the merger agreement relative to the then-current market prices and historical trading prices of Mobil and Exxon shares over the past year and relative to the stock price premiums paid in mergers of comparable size as discussed in Goldman Sachs' selected transaction analysis, that the premium offered in the merger was within the range of premiums paid in comparable transactions, and that Mobil's shareholders would hold approximately 30% of the outstanding stock of the combined company after the merger;</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comparisons of historical financial measures for Mobil and Exxon, including earnings, return on capital employed and cash flow, and comparisons of historical operational measures for Mobil and Exxon, including hydrocarbon reserve replacement, hydrocarbon production and refinery runs;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I-24</w:t>
      </w:r>
    </w:p>
    <w:p>
      <w:pPr>
        <w:sectPr>
          <w:pgSz w:w="11900" w:h="16838" w:orient="portrait"/>
          <w:cols w:equalWidth="0" w:num="1">
            <w:col w:w="10239"/>
          </w:cols>
          <w:pgMar w:left="220" w:top="782" w:right="1440" w:bottom="1440" w:gutter="0" w:footer="0" w:header="0"/>
        </w:sectPr>
      </w:pPr>
    </w:p>
    <w:bookmarkStart w:id="33" w:name="page34"/>
    <w:bookmarkEnd w:id="33"/>
    <w:p>
      <w:pPr>
        <w:ind w:left="3876"/>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344" w:right="3419" w:firstLine="430"/>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of Mobil to compete effectively in the future, the prospects of Exxon based on Goldman Sachs' due diligence and its analysis of publicly available information including earnings estimates compiled by I/B/E/S and First Call, and Mobil management's view, based on its due diligence, of Exxon's prospects to compete effectively in the future;</w:t>
      </w:r>
    </w:p>
    <w:p>
      <w:pPr>
        <w:spacing w:after="0" w:line="164" w:lineRule="exact"/>
        <w:rPr>
          <w:rFonts w:ascii="Courier New" w:cs="Courier New" w:eastAsia="Courier New" w:hAnsi="Courier New"/>
          <w:sz w:val="14"/>
          <w:szCs w:val="14"/>
          <w:color w:val="auto"/>
        </w:rPr>
      </w:pPr>
    </w:p>
    <w:p>
      <w:pPr>
        <w:ind w:left="-344" w:right="3339" w:firstLine="430"/>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 including current low prices for crude oil and refined products. The Mobil Board considered that, when oil prices and refining margins fall, companies must improve the performance of their internal operations to maintain profitability. The Mobil Board considered it likely that low prices would lead to further consolidation in the oil and gas industry because, as explained under "Our Reasons for the Merger," combining operations can help companies save money and operate more efficiently;</w:t>
      </w:r>
    </w:p>
    <w:p>
      <w:pPr>
        <w:spacing w:after="0" w:line="163" w:lineRule="exact"/>
        <w:rPr>
          <w:rFonts w:ascii="Courier New" w:cs="Courier New" w:eastAsia="Courier New" w:hAnsi="Courier New"/>
          <w:sz w:val="14"/>
          <w:szCs w:val="14"/>
          <w:color w:val="auto"/>
        </w:rPr>
      </w:pPr>
    </w:p>
    <w:p>
      <w:pPr>
        <w:ind w:left="-344" w:right="3519" w:firstLine="430"/>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intended accounting of the merger as a pooling of interests which results in combined financial statements prepared on a basis consistent with the underlying view that shareholder interests in the two companies have simply been combined, and in the preservation of the historical cost approach for both Exxon and Mobil. This will facilitate future comparison and benchmarking of Exxon Mobil against our key international competitors;</w:t>
      </w:r>
    </w:p>
    <w:p>
      <w:pPr>
        <w:spacing w:after="0" w:line="164" w:lineRule="exact"/>
        <w:rPr>
          <w:rFonts w:ascii="Courier New" w:cs="Courier New" w:eastAsia="Courier New" w:hAnsi="Courier New"/>
          <w:sz w:val="14"/>
          <w:szCs w:val="14"/>
          <w:color w:val="auto"/>
        </w:rPr>
      </w:pPr>
    </w:p>
    <w:p>
      <w:pPr>
        <w:ind w:left="-344" w:right="3599" w:firstLine="430"/>
        <w:spacing w:after="0" w:line="255"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as a tax-free reorganization for U.S. federal income tax purposes;</w:t>
      </w:r>
    </w:p>
    <w:p>
      <w:pPr>
        <w:spacing w:after="0" w:line="159" w:lineRule="exact"/>
        <w:rPr>
          <w:rFonts w:ascii="Courier New" w:cs="Courier New" w:eastAsia="Courier New" w:hAnsi="Courier New"/>
          <w:sz w:val="14"/>
          <w:szCs w:val="14"/>
          <w:color w:val="auto"/>
        </w:rPr>
      </w:pPr>
    </w:p>
    <w:p>
      <w:pPr>
        <w:ind w:left="-344" w:right="3599" w:firstLine="344"/>
        <w:spacing w:after="0" w:line="252"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which include restrictions on the conduct of Mobil's business pending closing which permit Mobil generally to conduct its business in the ordinary course during that period (see "The Merger Agreement");</w:t>
      </w:r>
    </w:p>
    <w:p>
      <w:pPr>
        <w:spacing w:after="0" w:line="162" w:lineRule="exact"/>
        <w:rPr>
          <w:rFonts w:ascii="Courier New" w:cs="Courier New" w:eastAsia="Courier New" w:hAnsi="Courier New"/>
          <w:sz w:val="14"/>
          <w:szCs w:val="14"/>
          <w:color w:val="auto"/>
        </w:rPr>
      </w:pPr>
    </w:p>
    <w:p>
      <w:pPr>
        <w:ind w:left="-344" w:right="3339" w:firstLine="344"/>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effect of the terms of the merger agreement with respect to possible third-party proposals to acquire Mobil after execution of the merger agreement, including that if any third party made a superior proposal (as described under "The Merger Agreement--Termination of the Merger Agreement"), the Mobil Board could provide information to and engage in negotiations with such third party, subject to the terms and conditions of the merger agreement;</w:t>
      </w:r>
    </w:p>
    <w:p>
      <w:pPr>
        <w:spacing w:after="0" w:line="164" w:lineRule="exact"/>
        <w:rPr>
          <w:rFonts w:ascii="Courier New" w:cs="Courier New" w:eastAsia="Courier New" w:hAnsi="Courier New"/>
          <w:sz w:val="14"/>
          <w:szCs w:val="14"/>
          <w:color w:val="auto"/>
        </w:rPr>
      </w:pPr>
    </w:p>
    <w:p>
      <w:pPr>
        <w:ind w:left="-344" w:right="3339" w:firstLine="344"/>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 termination payment provisions of the merger agreement could have the effect of discouraging alternative proposals for a business combination with Mobil and that the stock option agreement could prevent an alternative business combination with Mobil from being accounted for as a pooling of interests, these provisions would not preclude bona fide alternative proposals, and that the size of the termination fee was reasonable in light of the size and benefits of the transaction;</w:t>
      </w:r>
    </w:p>
    <w:p>
      <w:pPr>
        <w:spacing w:after="0" w:line="164" w:lineRule="exact"/>
        <w:rPr>
          <w:rFonts w:ascii="Courier New" w:cs="Courier New" w:eastAsia="Courier New" w:hAnsi="Courier New"/>
          <w:sz w:val="14"/>
          <w:szCs w:val="14"/>
          <w:color w:val="auto"/>
        </w:rPr>
      </w:pPr>
    </w:p>
    <w:p>
      <w:pPr>
        <w:ind w:left="-344" w:right="3419" w:firstLine="344"/>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analyses and presentations prepared by Goldman Sachs, and Goldman Sachs' written opinion to the effect that, as of December 1, 1998, and subject to the various considerations set forth in its opinion, the exchange ratio was fair from a financial point of view to Mobil's shareholders;</w:t>
      </w:r>
    </w:p>
    <w:p>
      <w:pPr>
        <w:spacing w:after="0" w:line="164" w:lineRule="exact"/>
        <w:rPr>
          <w:rFonts w:ascii="Courier New" w:cs="Courier New" w:eastAsia="Courier New" w:hAnsi="Courier New"/>
          <w:sz w:val="14"/>
          <w:szCs w:val="14"/>
          <w:color w:val="auto"/>
        </w:rPr>
      </w:pPr>
    </w:p>
    <w:p>
      <w:pPr>
        <w:ind w:left="-344" w:right="3419" w:firstLine="344"/>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role that Mobil's current management is expected to play in the management of the combined company, in particular Mobil management's participation in the transition and the intention of Exxon and Mobil to take advantage of the best management resources of both companies in Exxon Mobil;</w:t>
      </w:r>
    </w:p>
    <w:p>
      <w:pPr>
        <w:spacing w:after="0" w:line="164" w:lineRule="exact"/>
        <w:rPr>
          <w:rFonts w:ascii="Courier New" w:cs="Courier New" w:eastAsia="Courier New" w:hAnsi="Courier New"/>
          <w:sz w:val="14"/>
          <w:szCs w:val="14"/>
          <w:color w:val="auto"/>
        </w:rPr>
      </w:pPr>
    </w:p>
    <w:p>
      <w:pPr>
        <w:jc w:val="both"/>
        <w:ind w:left="-344" w:right="3599" w:firstLine="344"/>
        <w:spacing w:after="0" w:line="252"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six of the Mobil Board's members would become directors of Exxon Mobil, as described under "The Merger Agreement--Exxon Mobil Board and Related Matters";</w:t>
      </w:r>
    </w:p>
    <w:p>
      <w:pPr>
        <w:spacing w:after="0" w:line="162" w:lineRule="exact"/>
        <w:rPr>
          <w:rFonts w:ascii="Courier New" w:cs="Courier New" w:eastAsia="Courier New" w:hAnsi="Courier New"/>
          <w:sz w:val="14"/>
          <w:szCs w:val="14"/>
          <w:color w:val="auto"/>
        </w:rPr>
      </w:pPr>
    </w:p>
    <w:p>
      <w:pPr>
        <w:ind w:left="-344" w:right="3419" w:firstLine="344"/>
        <w:spacing w:after="0" w:line="251" w:lineRule="auto"/>
        <w:tabs>
          <w:tab w:leader="none" w:pos="43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there would be the expected reduction of workforce affecting both Mobil and Exxon employees, Mobil employees would be given a fair opportunity to be considered for jobs in the combined company, and Mobil employees who were not offered positions in the combined company would be</w:t>
      </w:r>
    </w:p>
    <w:p>
      <w:pPr>
        <w:spacing w:after="0" w:line="165" w:lineRule="exact"/>
        <w:rPr>
          <w:sz w:val="20"/>
          <w:szCs w:val="20"/>
          <w:color w:val="auto"/>
        </w:rPr>
      </w:pPr>
    </w:p>
    <w:p>
      <w:pPr>
        <w:ind w:left="2496"/>
        <w:spacing w:after="0"/>
        <w:rPr>
          <w:sz w:val="20"/>
          <w:szCs w:val="20"/>
          <w:color w:val="auto"/>
        </w:rPr>
      </w:pPr>
      <w:r>
        <w:rPr>
          <w:rFonts w:ascii="Courier New" w:cs="Courier New" w:eastAsia="Courier New" w:hAnsi="Courier New"/>
          <w:sz w:val="14"/>
          <w:szCs w:val="14"/>
          <w:color w:val="auto"/>
        </w:rPr>
        <w:t>I-25</w:t>
      </w:r>
    </w:p>
    <w:p>
      <w:pPr>
        <w:sectPr>
          <w:pgSz w:w="11900" w:h="16838" w:orient="portrait"/>
          <w:cols w:equalWidth="0" w:num="1">
            <w:col w:w="9456"/>
          </w:cols>
          <w:pgMar w:left="1004" w:top="78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entitled to receive severance benefits under the Mobil severance</w:t>
      </w:r>
    </w:p>
    <w:p>
      <w:pPr>
        <w:spacing w:after="0" w:line="7"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plan described under "Interests of Certain Persons in the Merger" that the Mobil Board believed to be fair;</w:t>
      </w:r>
    </w:p>
    <w:p>
      <w:pPr>
        <w:spacing w:after="0" w:line="160" w:lineRule="exact"/>
        <w:rPr>
          <w:sz w:val="20"/>
          <w:szCs w:val="20"/>
          <w:color w:val="auto"/>
        </w:rPr>
      </w:pPr>
    </w:p>
    <w:p>
      <w:pPr>
        <w:ind w:left="440" w:right="3519" w:firstLine="344"/>
        <w:spacing w:after="0" w:line="252" w:lineRule="auto"/>
        <w:tabs>
          <w:tab w:leader="none" w:pos="121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while Exxon Mobil's corporate headquarters will be located in Irving, Texas, Exxon Mobil's downstream headquarters will be located in Fairfax, Virginia;</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 merger is likely to be completed, there are risks associated with obtaining necessary approvals, and as a result of certain conditions to the completion of the merger, it is possible that the merger may not be completed even if approved by shareholders (see "The Merger Agreement--Conditions to the Completion of the Merger");</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although, pending completion of the proposed merger, Mobil's relationships with customers, governments and partners might be negatively affected because of uncertainty surrounding Mobil's future status and direction, the Mobil Board believed that any such effect would cease once the merger was completed; and</w:t>
      </w:r>
    </w:p>
    <w:p>
      <w:pPr>
        <w:spacing w:after="0" w:line="164" w:lineRule="exact"/>
        <w:rPr>
          <w:rFonts w:ascii="Courier New" w:cs="Courier New" w:eastAsia="Courier New" w:hAnsi="Courier New"/>
          <w:sz w:val="14"/>
          <w:szCs w:val="14"/>
          <w:color w:val="auto"/>
        </w:rPr>
      </w:pPr>
    </w:p>
    <w:p>
      <w:pPr>
        <w:ind w:left="440" w:right="3339" w:firstLine="344"/>
        <w:spacing w:after="0" w:line="252" w:lineRule="auto"/>
        <w:tabs>
          <w:tab w:leader="none" w:pos="121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interests that certain executive officers and directors of Mobil may have with respect to the merger in addition to their interests as shareholders of Mobil generally (see "Interests of Certain Persons in the Merger").</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considered in connection with its evaluation of the merger and the complexity of these matters, the Mobil Board did not find it useful to and did not attempt to quantify, rank or otherwise assign relative weights to these factors. The Mobil Board relied on the experience and expertise of Goldman Sachs, its financial advisor, for quantitative analysis of the financial terms of the merger. See "Opinions of Financial Advisors--Opinion of Mobil Financial Advisor". In addition, the Mobil Board did not undertake to make any specific determination as to whether any particular factor, or any aspect of any particular factor, was favorable or unfavorable to the Mobil Board's ultimate determination, but rather the Mobil Board conducted an overall analysis of the factors described above, including through discussions with and questioning of Mobil's management and legal, financial and accounting advisors. In considering the factors described above, individual members of the Mobil Board may have given different weight to different factors.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Mobil Board considered all these factors as a whole, and overall considered the factors to be favorable to and to support its determination. However, the general view of the Mobil Board was that factor 20 was part of the general mix of available information without being clearly favorable or unfavorable, that factors 12, 16, 18 and 19 were uncertainties, risks or drawbacks relating to the transaction, and that the other reasons and factors described above were generally considered favorable.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intend for the merger to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SEC.</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has received a letter regarding pooling dated November 25, 1998 from PwC, its independent accounting firm. The letter states that, as of its date, based on certain information provided to PwC by Exxon and based on the E&amp;Y letter described below, PwC concurred with Exxon's conclusion that no conditions existed which would preclude Exxon from accounting for the merger as a pooling of interests.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Mobil has received a letter regarding pooling dated November 22, 1998 from E&amp;Y, its independent auditing firm. The letter states that, as of its date, E&amp;Y concurred with Mobil's conclusion that no conditions existed relating to Mobil that would preclude Exxon from accounting for the merger as a pooling of interests.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I-26</w:t>
      </w:r>
    </w:p>
    <w:p>
      <w:pPr>
        <w:sectPr>
          <w:pgSz w:w="11900" w:h="16838" w:orient="portrait"/>
          <w:cols w:equalWidth="0" w:num="1">
            <w:col w:w="10239"/>
          </w:cols>
          <w:pgMar w:left="220" w:top="782" w:right="1440" w:bottom="1440" w:gutter="0" w:footer="0" w:header="0"/>
        </w:sectPr>
      </w:pPr>
    </w:p>
    <w:bookmarkStart w:id="35" w:name="page36"/>
    <w:bookmarkEnd w:id="3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receipt of letters from PwC and E&amp;Y dated as of the closing date of the merger reconfirming their concurrence with the conclusions of Exxon's and Mobil's managements as to the appropriateness of pooling of interests accounting treatment is a condition to the closing of the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pooling of interests accounting method, the reported balance sheet amounts and results of operations of the separate companies for prior periods will be combined, reclassified and conformed, as appropriate, to reflect the combined financial position and results of operations for Exxon Mobil. See "Unaudited Pro Forma Condensed Combined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Federal Income Tax Consequences of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following discussion summarizes the opinions of Davis Polk &amp; Wardwell and Skadden, Arps, Slate, Meagher &amp; Flom LLP as to the material federal income tax consequences of the merger. We have filed these opinions with the SEC as exhibits to the registration statement related to this joint proxy statement/prospectus. See "Where You Can Find More Information" on page VI-1. This discussion is based upon the Internal Revenue Code of 1986, as amended, the regulations promulgated under the Code, Internal Revenue Service rulings, and judicial and administrative rulings in effect as of the date hereof, all of which are subject to change, possibly with retroactive effect. This discussion does not address all aspects of federal income taxation that may be relevant to a shareholder in light of the shareholder's particular circumstances or to those Mobil shareholders subject to special rules, such as shareholders who are not citizens or residents of the United States, financial institutions, tax-exempt organizations, insurance companies, dealers in securities, shareholders who acquired their Mobil stock pursuant to the exercise of options or similar derivative securities or otherwise as compensation or shareholders who hold their Mobil stock as part of a straddle or conversion transaction. This discussion assumes that Mobil shareholders hold their respective shares of Mobil stock as capital assets within the meaning of Section 1221 of the Code.</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a condition to the obligations of Mobil and Exxon to complete the merger that each receive a legal opinion from its counsel that the merger constitutes a tax-free reorganization, within the meaning of Section 368 of the Code, for federal income tax purposes. These legal opinions will assume the absence of certain changes in the existing facts and may rely on assumptions, representations and covenants made by Mobil, Exxon and others, including those contained in certificates of officers of Mobil and Exxon. If any of these factual assumptions is inaccurate, the tax consequences of the merger could differ from those described here. The opinions regarding the tax-free nature of the merger neither bind the IRS nor preclude the IRS from adopting a contrary position. Neither Mobil nor Exxon intends to obtain a ruling from the IRS with respect to the tax consequences of the merger.</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Federal Income Tax Consequences to Exxon Shareholders. Holders of Exxon stock will not recognize any gain or loss for federal income tax purposes as a result of the merger.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Income Tax Consequences to Mobil Shareholders. Except as provided below, holders of shares of Mobil stock will (1) not recognize any gain or loss for federal income tax purposes as a result of the exchange of their shares of Mobil stock for Exxon Mobil stock in the merger except with respect to cash received instead of a fractional share of Exxon Mobil common stock and (2) have a tax basis in the Exxon Mobil stock received in the merger equal to the tax basis of the Mobil stock surrendered in the merger less any tax basis of the Mobil stock surrendered that is allocable to a fractional share of Exxon Mobil common stock for which cash is received. The Mobil shareholders' holding period with respect to the Exxon Mobil stock received in the merger will include the holding period of the Mobil stock surrendered in the merger.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extent that a holder of shares of Mobil common stock receives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instead of a fractional share of Exxon Mobil common stock, the holder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recognize gain or loss for federal income tax purposes,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measured by the difference between the amount of cash received and the portion of the tax basis of the holder's shares of Mobil common stock allocable to such fractional share of Exxon Mobil common stock. This gain or loss will be a capital gain or loss and will be a long-term capital gain or loss if the share of Mobil common stock exchanged for the fractional share of Exxon Mobil common stock was held for more than one year at the effective time of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I-27</w:t>
      </w:r>
    </w:p>
    <w:p>
      <w:pPr>
        <w:sectPr>
          <w:pgSz w:w="11900" w:h="16838" w:orient="portrait"/>
          <w:cols w:equalWidth="0" w:num="1">
            <w:col w:w="10239"/>
          </w:cols>
          <w:pgMar w:left="220" w:top="78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merger agreement, Mobil will pay any transfer taxes incurred as a result of a change in ownership of Mobil, including transfer taxes that under applicable law may be the primary liability of the holders of Mobil stock. Although the matter is not free from doubt (because of the absence of legislative, judicial or other authority directly on point), Mobil's payment of transfer taxes for which the Mobil shareholders are primarily liable, if any, may be taxable as a dividend to the Mobil shareholders for federal income tax purposes.</w:t>
      </w:r>
    </w:p>
    <w:p>
      <w:pPr>
        <w:spacing w:after="0" w:line="33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Federal Income Tax Consequences to Mobil, Exxon and the Merger Subsidiary. None of Exxon, Mobil, or the merger subsidiary will recognize gain or loss for federal income tax purposes as a result of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INTEND THIS DISCUSSION TO PROVIDE ONLY A SUMMARY OF THE MATERIAL FEDERAL INCOME TAX CONSEQUENCES OF THE MERGER. WE DO NOT INTEND THAT IT BE A COMPLETE ANALYSIS OR DESCRIPTION OF ALL POTENTIAL FEDERAL INCOME TAX CONSEQUENCES OF THE MERGER. IN ADDITION, WE DO NOT ADDRESS TAX CONSEQUENCES WHICH MAY VARY WITH, OR ARE CONTINGENT UPON, INDIVIDUAL CIRCUMSTANCES. MOREOVER, EXCEPT FOR THE DISCUSSION OF TRANSFER TAXES ABOVE, WE DO NOT ADDRESS ANY NON-INCOME TAX OR ANY FOREIGN, STATE OR LOCAL TAX CONSEQUENCES OF THE MERGER. ACCORDINGLY, WE STRONGLY URGE YOU TO CONSULT YOUR TAX ADVISOR TO DETERMINE YOUR PARTICULAR UNITED STATES FEDERAL, STATE, LOCAL OR FOREIGN INCOME OR OTHER TAX CONSEQUENCES RESULTING FROM THE MERGER, WITH RESPECT TO YOUR INDIVIDUAL CIRCUMSTANCES.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U.S. Antitrust. Under the Hart-Scott-Rodino Antitrust Improvements Act of 1976, as amended, and the related rules the merger may not be completed until notifications have been given, certain information has been furnished to the FTC and specified waiting period requirements have been satisfied. During the week of December 14, 1998 Exxon and Mobil each filed the required notification and report forms under the HSR Act with the FTC and the Antitrust Division of the United States Department of Justice. On January 15, 1999, the FTC issued a request for additional information and other documentary materials to Exxon and Mobil relating to the merger. The merger may not be completed until 20 days following substantial compliance with this request by both parties, unless the waiting period is terminated earlier. If it believes that the merger would violate the federal antitrust law by substantially lessening competition in any line of commerce affecting U.S. consumers, the FTC has the authority to challenge the merger on antitrust grounds by seeking a federal court order temporarily enjoining the transaction pending conclusion of an administrative hearing. The FTC may also proceed with an administrative proceeding if the injunction is denied, and if the merger is found to be anticompetitive, challenge it after the fact. We can give no assurance that a challenge to the merger will not be made or, if such a challenge is made, that it would be unsuccessful. In addition, a number of state attorneys general have indicated their intent to review the proposed merger and to coordinate that review with the FTC. Expiration or termination of the HSR Act waiting period is a condition to the merger. See "The Merger Agreement--Conditions to the Completion of the Merger" on page I-58.</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European Union. Under Council Regulation No. 4064/89 of the European Commission and accompanying regulations, the merger is subject to review by the European Commission. Exxon and Mobil informally notified the EC of the merger on December 1, 1998 and expect to file formal notifications with the EC of the merger agreement by the end of April 1999. Completion of review under the EC merger regulation is a condition to the merger. See "The Merger Agreement--Conditions to the Completion of the Merger" on page I-58.</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Other Laws. Exxon and Mobil conduct operations in a number of jurisdictions where other regulatory filings or approvals may be required or advisable in connection with the completion of the merger. Exxon and Mobil are currently in the process of reviewing whether other filings or approvals may be required or desirable in these other jurisdictions. We recognize that some of these filings may not be completed before the closing, and that some of these approvals, which are not as a matter of practice required to be obtained</w:t>
      </w:r>
    </w:p>
    <w:p>
      <w:pPr>
        <w:spacing w:after="0" w:line="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prior to effectiveness of a merger transaction, may not be obtained prior to the closing.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It is possible that governmental entities having jurisdiction over Exxon and Mobil may seek regulatory concessions as conditions for granting approval of the merger. If any regulatory body's approval contains terms or imposes conditions or restrictions relating or applying to, or requiring changes in or limitations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I-28</w:t>
      </w:r>
    </w:p>
    <w:p>
      <w:pPr>
        <w:sectPr>
          <w:pgSz w:w="11900" w:h="16838" w:orient="portrait"/>
          <w:cols w:equalWidth="0" w:num="1">
            <w:col w:w="10239"/>
          </w:cols>
          <w:pgMar w:left="220" w:top="782" w:right="1440" w:bottom="1440" w:gutter="0" w:footer="0" w:header="0"/>
        </w:sectPr>
      </w:pPr>
    </w:p>
    <w:bookmarkStart w:id="37" w:name="page38"/>
    <w:bookmarkEnd w:id="3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on, the operation or ownership of any asset or business of Exxon, Mobil or any of their subsidiaries, or on Exxon Mobil's ownership of Mobil or requiring asset divestitures, which could reasonably be expected to result in a substantial detriment to Exxon, Mobil and their subsidiaries, taken as a whole, after the closing, Exxon can decline to close under the merger agreement. We can give no assurance that the required regulatory approvals will be obtained on terms that satisfy the conditions to closing of the merger or within the time frame contemplated by Exxon and Mobil. See "The Merger Agreement--Conditions to the Completion of the Merger" on page I-58.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Exxon common stock are not entitled to dissenters' appraisal rights under New Jersey law in connection with the merger. Holders of Mobil common stock do not have dissenters' appraisal rights under Delaware law in connection with the merger because the shares of Exxon Mobil common stock that such holders will be entitled to receive in the merger will be listed on the New York Stock Exchange at the closing. See "Chapter Three--Comparison of Shareholder Rights--Appraisal Rights". Dissenters' appraisal rights are available in connection with the merger to the trustee of the Mobil ESOP, the sole record holder of Mobil ESOP preferred stock, if the trustee complies with the procedural requirements of the Delaware dissenters' rights statute.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Securities Laws Consequences; Stock Transfer Restriction Agreements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joint proxy statement/prospectus does not cover any resales of the Exxon Mobil common stock to be received by the shareholders of Mobil upon completion of the merger, and no person is authorized to make any use of this joint proxy statement/prospectus in connection with any such resale.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shares of Exxon Mobil common stock received by Mobil shareholders in the merger will be freely transferable, except that shares of Exxon Mobil common stock received by persons who are deemed to be "affiliates" of Mobil under the Securities Act of 1933, as amended, at the time of the Mobil meeting may be resold by them only in transactions permitted by Rule 145 under the 1933 Act or as otherwise permitted under the 1933 Act. Persons who may be deemed to be affiliates of Mobil for such purposes generally include individuals or entities that control, are controlled by or are under common control with Mobil and include directors and executive officers of Mobil. The merger agreement requires Mobil to use its reasonable best efforts to cause each of such affiliates to execute a written agreement to the effect that such persons will not offer, sell or otherwise dispose of any of the shares of Exxon Mobil common stock issued to them in the merger in violation of the 1933 Act or the related SEC rules.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each of the directors and some of the executive officers of Exxon and Mobil have executed written agreements prohibiting them from selling, transferring or otherwise disposing of, or acquiring or selling any options or other securities relating to, securities of Exxon or Mobil that would be intended to reduce the individual's risk relative to, any shares of Exxon common stock or Mobil common stock beneficially owned by him or her during the period beginning 30 days prior to the closing and ending at such time as financial results covering at least 30 days of combined operations of Exxon and Mobil have been publicly released by Exxon Mobil after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I-29</w:t>
      </w:r>
    </w:p>
    <w:p>
      <w:pPr>
        <w:sectPr>
          <w:pgSz w:w="11900" w:h="16838" w:orient="portrait"/>
          <w:cols w:equalWidth="0" w:num="1">
            <w:col w:w="10239"/>
          </w:cols>
          <w:pgMar w:left="220" w:top="61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COMPARATIVE PER SHARE MARKET PRICE AND DIVIDEND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common stock and Mobil common stock are each listed on the NYSE. Exxon's ticker symbol on the NYSE is "XON" and Mobil's ticker symbol on the NYSE is "MOB". The following table shows, for the periods indicated, the high and low of the last reported closing prices per share of Exxon common stock and Mobil common stock, as reported on the Consolidated Tape, and the dividends per share.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gridSpan w:val="4"/>
          </w:tcPr>
          <w:p>
            <w:pPr>
              <w:jc w:val="right"/>
              <w:ind w:right="628"/>
              <w:spacing w:after="0"/>
              <w:rPr>
                <w:sz w:val="20"/>
                <w:szCs w:val="20"/>
                <w:color w:val="auto"/>
              </w:rPr>
            </w:pPr>
            <w:r>
              <w:rPr>
                <w:rFonts w:ascii="Courier New" w:cs="Courier New" w:eastAsia="Courier New" w:hAnsi="Courier New"/>
                <w:sz w:val="14"/>
                <w:szCs w:val="14"/>
                <w:color w:val="auto"/>
              </w:rPr>
              <w:t>Exxon Common Stock(1)</w:t>
            </w:r>
          </w:p>
        </w:tc>
        <w:tc>
          <w:tcPr>
            <w:tcW w:w="480" w:type="dxa"/>
            <w:vAlign w:val="bottom"/>
          </w:tcPr>
          <w:p>
            <w:pPr>
              <w:spacing w:after="0"/>
              <w:rPr>
                <w:sz w:val="14"/>
                <w:szCs w:val="14"/>
                <w:color w:val="auto"/>
              </w:rPr>
            </w:pPr>
          </w:p>
        </w:tc>
        <w:tc>
          <w:tcPr>
            <w:tcW w:w="296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Mobil Common Stock(2)</w:t>
            </w:r>
          </w:p>
        </w:tc>
      </w:tr>
      <w:tr>
        <w:trPr>
          <w:trHeight w:val="166"/>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5"/>
                <w:szCs w:val="5"/>
                <w:color w:val="auto"/>
                <w:w w:val="75"/>
              </w:rPr>
              <w:t>-------------------------------------</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4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Dividend</w:t>
            </w:r>
          </w:p>
        </w:tc>
        <w:tc>
          <w:tcPr>
            <w:tcW w:w="48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High</w:t>
            </w: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Low</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w:t>
            </w:r>
          </w:p>
        </w:tc>
      </w:tr>
      <w:tr>
        <w:trPr>
          <w:trHeight w:val="166"/>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55.625</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48.250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0.395</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68.000</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60.625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65.125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49.875</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72.250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60.000</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67.250</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58.625</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78.000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69.625</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66.875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54.750</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77.500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66.438</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70.000</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83.813</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63.750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76.000</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65.375</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82.813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73.438</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73.813</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62.000</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80.000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62.438</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77.313</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69.438</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91.250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71.000</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76.375</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64.313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95.875</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80.063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 (through</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April</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70.375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69.438</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88.063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86.625</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0.000</w:t>
            </w:r>
          </w:p>
        </w:tc>
      </w:tr>
      <w:tr>
        <w:trPr>
          <w:trHeight w:val="497"/>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gridSpan w:val="8"/>
          </w:tcPr>
          <w:p>
            <w:pPr>
              <w:jc w:val="right"/>
              <w:ind w:right="268"/>
              <w:spacing w:after="0"/>
              <w:rPr>
                <w:sz w:val="20"/>
                <w:szCs w:val="20"/>
                <w:color w:val="auto"/>
              </w:rPr>
            </w:pPr>
            <w:r>
              <w:rPr>
                <w:rFonts w:ascii="Courier New" w:cs="Courier New" w:eastAsia="Courier New" w:hAnsi="Courier New"/>
                <w:sz w:val="14"/>
                <w:szCs w:val="14"/>
                <w:color w:val="auto"/>
              </w:rPr>
              <w:t>(1)  Exxon prior period share prices and dividends restated for a</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gridSpan w:val="7"/>
          </w:tcPr>
          <w:p>
            <w:pPr>
              <w:ind w:left="520"/>
              <w:spacing w:after="0"/>
              <w:rPr>
                <w:sz w:val="20"/>
                <w:szCs w:val="20"/>
                <w:color w:val="auto"/>
              </w:rPr>
            </w:pPr>
            <w:r>
              <w:rPr>
                <w:rFonts w:ascii="Courier New" w:cs="Courier New" w:eastAsia="Courier New" w:hAnsi="Courier New"/>
                <w:sz w:val="14"/>
                <w:szCs w:val="14"/>
                <w:color w:val="auto"/>
              </w:rPr>
              <w:t>two-for-one stock split effective March 14, 1997.</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040" w:type="dxa"/>
            <w:vAlign w:val="bottom"/>
            <w:gridSpan w:val="8"/>
          </w:tcPr>
          <w:p>
            <w:pPr>
              <w:jc w:val="right"/>
              <w:ind w:right="268"/>
              <w:spacing w:after="0"/>
              <w:rPr>
                <w:sz w:val="20"/>
                <w:szCs w:val="20"/>
                <w:color w:val="auto"/>
              </w:rPr>
            </w:pPr>
            <w:r>
              <w:rPr>
                <w:rFonts w:ascii="Courier New" w:cs="Courier New" w:eastAsia="Courier New" w:hAnsi="Courier New"/>
                <w:sz w:val="14"/>
                <w:szCs w:val="14"/>
                <w:color w:val="auto"/>
              </w:rPr>
              <w:t>(2)  Mobil prior period share prices and dividends restated for a</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58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two-for-one stock split effective May 20, 1997.</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5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On November 25, 1998, the last full trading day</w:t>
            </w:r>
          </w:p>
        </w:tc>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before Exxon and Mobil</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7280" w:type="dxa"/>
            <w:vAlign w:val="bottom"/>
            <w:gridSpan w:val="10"/>
          </w:tcPr>
          <w:p>
            <w:pPr>
              <w:spacing w:after="0"/>
              <w:rPr>
                <w:sz w:val="20"/>
                <w:szCs w:val="20"/>
                <w:color w:val="auto"/>
              </w:rPr>
            </w:pPr>
            <w:r>
              <w:rPr>
                <w:rFonts w:ascii="Courier New" w:cs="Courier New" w:eastAsia="Courier New" w:hAnsi="Courier New"/>
                <w:sz w:val="14"/>
                <w:szCs w:val="14"/>
                <w:color w:val="auto"/>
              </w:rPr>
              <w:t>issued a joint press release confirming that they were in discussions concerning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a possible combination, the last</w:t>
            </w:r>
          </w:p>
        </w:tc>
        <w:tc>
          <w:tcPr>
            <w:tcW w:w="4420" w:type="dxa"/>
            <w:vAlign w:val="bottom"/>
            <w:gridSpan w:val="7"/>
          </w:tcPr>
          <w:p>
            <w:pPr>
              <w:spacing w:after="0"/>
              <w:rPr>
                <w:sz w:val="20"/>
                <w:szCs w:val="20"/>
                <w:color w:val="auto"/>
              </w:rPr>
            </w:pPr>
            <w:r>
              <w:rPr>
                <w:rFonts w:ascii="Courier New" w:cs="Courier New" w:eastAsia="Courier New" w:hAnsi="Courier New"/>
                <w:sz w:val="14"/>
                <w:szCs w:val="14"/>
                <w:color w:val="auto"/>
              </w:rPr>
              <w:t>reported per share closing price was $72.688</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80" w:type="dxa"/>
            <w:vAlign w:val="bottom"/>
            <w:gridSpan w:val="10"/>
          </w:tcPr>
          <w:p>
            <w:pPr>
              <w:spacing w:after="0"/>
              <w:rPr>
                <w:sz w:val="20"/>
                <w:szCs w:val="20"/>
                <w:color w:val="auto"/>
              </w:rPr>
            </w:pPr>
            <w:r>
              <w:rPr>
                <w:rFonts w:ascii="Courier New" w:cs="Courier New" w:eastAsia="Courier New" w:hAnsi="Courier New"/>
                <w:sz w:val="14"/>
                <w:szCs w:val="14"/>
                <w:color w:val="auto"/>
              </w:rPr>
              <w:t>for Exxon common stock and $78.375 for Mobil common stock. On November 30, 1998,</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the last full trading day before</w:t>
            </w:r>
          </w:p>
        </w:tc>
        <w:tc>
          <w:tcPr>
            <w:tcW w:w="4420" w:type="dxa"/>
            <w:vAlign w:val="bottom"/>
            <w:gridSpan w:val="7"/>
          </w:tcPr>
          <w:p>
            <w:pPr>
              <w:spacing w:after="0"/>
              <w:rPr>
                <w:sz w:val="20"/>
                <w:szCs w:val="20"/>
                <w:color w:val="auto"/>
              </w:rPr>
            </w:pPr>
            <w:r>
              <w:rPr>
                <w:rFonts w:ascii="Courier New" w:cs="Courier New" w:eastAsia="Courier New" w:hAnsi="Courier New"/>
                <w:sz w:val="14"/>
                <w:szCs w:val="14"/>
                <w:color w:val="auto"/>
              </w:rPr>
              <w:t>the public announcement of the proposed merger,</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80" w:type="dxa"/>
            <w:vAlign w:val="bottom"/>
            <w:gridSpan w:val="10"/>
          </w:tcPr>
          <w:p>
            <w:pPr>
              <w:spacing w:after="0"/>
              <w:rPr>
                <w:sz w:val="20"/>
                <w:szCs w:val="20"/>
                <w:color w:val="auto"/>
              </w:rPr>
            </w:pPr>
            <w:r>
              <w:rPr>
                <w:rFonts w:ascii="Courier New" w:cs="Courier New" w:eastAsia="Courier New" w:hAnsi="Courier New"/>
                <w:sz w:val="14"/>
                <w:szCs w:val="14"/>
                <w:color w:val="auto"/>
              </w:rPr>
              <w:t>the last reported closing price was $75.000 for Exxon common stock and $86.000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for Mobil common stock. On April</w:t>
            </w:r>
          </w:p>
        </w:tc>
        <w:tc>
          <w:tcPr>
            <w:tcW w:w="4420" w:type="dxa"/>
            <w:vAlign w:val="bottom"/>
            <w:gridSpan w:val="7"/>
          </w:tcPr>
          <w:p>
            <w:pPr>
              <w:spacing w:after="0"/>
              <w:rPr>
                <w:sz w:val="20"/>
                <w:szCs w:val="20"/>
                <w:color w:val="auto"/>
              </w:rPr>
            </w:pPr>
            <w:r>
              <w:rPr>
                <w:rFonts w:ascii="Courier New" w:cs="Courier New" w:eastAsia="Courier New" w:hAnsi="Courier New"/>
                <w:sz w:val="14"/>
                <w:szCs w:val="14"/>
                <w:color w:val="auto"/>
              </w:rPr>
              <w:t>1, 1999, the most recent practicable date prior</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20" w:type="dxa"/>
            <w:vAlign w:val="bottom"/>
            <w:gridSpan w:val="9"/>
          </w:tcPr>
          <w:p>
            <w:pPr>
              <w:spacing w:after="0"/>
              <w:rPr>
                <w:sz w:val="20"/>
                <w:szCs w:val="20"/>
                <w:color w:val="auto"/>
              </w:rPr>
            </w:pPr>
            <w:r>
              <w:rPr>
                <w:rFonts w:ascii="Courier New" w:cs="Courier New" w:eastAsia="Courier New" w:hAnsi="Courier New"/>
                <w:sz w:val="14"/>
                <w:szCs w:val="14"/>
                <w:color w:val="auto"/>
              </w:rPr>
              <w:t>to the printing of this joint proxy statement/prospectus, the last reported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5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closing price was $70.125 for Exxon common stock and</w:t>
            </w:r>
          </w:p>
        </w:tc>
        <w:tc>
          <w:tcPr>
            <w:tcW w:w="2700" w:type="dxa"/>
            <w:vAlign w:val="bottom"/>
            <w:gridSpan w:val="4"/>
          </w:tcPr>
          <w:p>
            <w:pPr>
              <w:spacing w:after="0"/>
              <w:rPr>
                <w:sz w:val="20"/>
                <w:szCs w:val="20"/>
                <w:color w:val="auto"/>
              </w:rPr>
            </w:pPr>
            <w:r>
              <w:rPr>
                <w:rFonts w:ascii="Courier New" w:cs="Courier New" w:eastAsia="Courier New" w:hAnsi="Courier New"/>
                <w:sz w:val="14"/>
                <w:szCs w:val="14"/>
                <w:color w:val="auto"/>
              </w:rPr>
              <w:t>$87.375 for Mobil common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20" w:type="dxa"/>
            <w:vAlign w:val="bottom"/>
            <w:gridSpan w:val="9"/>
          </w:tcPr>
          <w:p>
            <w:pPr>
              <w:spacing w:after="0"/>
              <w:rPr>
                <w:sz w:val="20"/>
                <w:szCs w:val="20"/>
                <w:color w:val="auto"/>
              </w:rPr>
            </w:pPr>
            <w:r>
              <w:rPr>
                <w:rFonts w:ascii="Courier New" w:cs="Courier New" w:eastAsia="Courier New" w:hAnsi="Courier New"/>
                <w:sz w:val="14"/>
                <w:szCs w:val="14"/>
                <w:color w:val="auto"/>
              </w:rPr>
              <w:t>stock. We urge you to obtain current market quotations prior to making any</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60" w:type="dxa"/>
            <w:vAlign w:val="bottom"/>
            <w:gridSpan w:val="4"/>
          </w:tcPr>
          <w:p>
            <w:pPr>
              <w:spacing w:after="0"/>
              <w:rPr>
                <w:sz w:val="20"/>
                <w:szCs w:val="20"/>
                <w:color w:val="auto"/>
              </w:rPr>
            </w:pPr>
            <w:r>
              <w:rPr>
                <w:rFonts w:ascii="Courier New" w:cs="Courier New" w:eastAsia="Courier New" w:hAnsi="Courier New"/>
                <w:sz w:val="14"/>
                <w:szCs w:val="14"/>
                <w:color w:val="auto"/>
              </w:rPr>
              <w:t>decision with respect to the merger.</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Following the merger, Exxon Mobil common stock will be traded on the NYSE under the ticker symbol "XOM".</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merger agreement permits Exxon and Mobil to pay, prior to the closing, regular quarterly cash dividends to holders. The parties have agreed in the merger agreement to coordinate declaring dividends and the related record dates and payment dates so that Mobil shareholders do not receive two dividends, or fail to receive one dividend, for any single calendar quarter with respect to their Mobil shares and the Exxon Mobil shares to be received by them in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I-30</w:t>
      </w:r>
    </w:p>
    <w:p>
      <w:pPr>
        <w:sectPr>
          <w:pgSz w:w="11900" w:h="16838" w:orient="portrait"/>
          <w:cols w:equalWidth="0" w:num="1">
            <w:col w:w="10239"/>
          </w:cols>
          <w:pgMar w:left="220" w:top="782" w:right="1440" w:bottom="1440" w:gutter="0" w:footer="0" w:header="0"/>
        </w:sectPr>
      </w:pPr>
    </w:p>
    <w:bookmarkStart w:id="39" w:name="page40"/>
    <w:bookmarkEnd w:id="3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Exxon Mobil expects to continue to pay quarterly dividends on Exxon Mobil common stock after completion of the merger. The payment of dividends by Exxon Mobil in the future, however, will depend on business conditions, Exxon Mobil's financial condition and earnings and other factors.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Merger on Mobil Dividend Reinvestment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completion of the merger, Mobil's Stock Purchase and Dividend Reinvestment Plan (the "Mobil DRIP") will terminate and participants in the plan will be automatically enrolled in Exxon Mobil's Shareholder Investment Program (the "Exxon Mobil SIP"). Exxon Mobil shares issued in exchange for Mobil DRIP shares will be held in book-entry form by the administrator of the Exxon Mobil SIP and cash dividends paid by Exxon Mobil on those shares will be reinvested in additional Exxon Mobil shares. Participants in the Exxon Mobil SIP can obtain certificates for their plan shares, change dividend reinvestment levels, or withdraw from the plan by following specified procedures. Mobil DRIP participants will receive more information on the Exxon Mobil SIP as soon as practicable after completion of the merger.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I-31</w:t>
      </w:r>
    </w:p>
    <w:p>
      <w:pPr>
        <w:sectPr>
          <w:pgSz w:w="11900" w:h="16838" w:orient="portrait"/>
          <w:cols w:equalWidth="0" w:num="1">
            <w:col w:w="10239"/>
          </w:cols>
          <w:pgMar w:left="220" w:top="78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unaudited pro forma condensed combined financial statements combine the historical consolidated balance sheets and statements of income of Exxon and Mobil giving effect to the merger using the pooling of interests method of accounting for a business combination.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providing the following information to aid you in your analysis of the financial aspects of the merger. We derived this information from the audited financial statements of Exxon for the years 1998, 1997 and 1996 and from the audited financial statements of Mobil for the years 1998, 1997 and 1996. The information is only a summary and you should read it in conjunction with our historical financial statements and related notes contained in the annual reports and other information that we have filed with the SEC and incorporated by reference. See "Where You Can Find More Information" on page VI-1.</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unaudited pro forma condensed combined statements of income for the years ended December 31, 1998, 1997 and 1996 assume the merger was effected on January 1, 1996. The unaudited pro forma condensed combined balance sheet gives effect to the merger as if it had occurred on December 31, 1998. The accounting policies of Exxon and Mobil are substantially comparable. Consequently, we did not make adjustments to the unaudited pro forma condensed combined financial statements to conform the accounting policies of the combining companies.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unaudited pro forma combined financial information is for illustrative purposes only. The companies may have performed differently had they always been combined. You should not rely on the pro forma combined financial information as being indicative of the historical results that would have been achieved had the companies always been combined or the future results that the combined company will experience after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I-32</w:t>
      </w:r>
    </w:p>
    <w:p>
      <w:pPr>
        <w:sectPr>
          <w:pgSz w:w="11900" w:h="16838" w:orient="portrait"/>
          <w:cols w:equalWidth="0" w:num="1">
            <w:col w:w="10239"/>
          </w:cols>
          <w:pgMar w:left="220" w:top="782" w:right="1440" w:bottom="1440" w:gutter="0" w:footer="0" w:header="0"/>
        </w:sectPr>
      </w:pPr>
    </w:p>
    <w:bookmarkStart w:id="41" w:name="page42"/>
    <w:bookmarkEnd w:id="4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AS OF 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Historic</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 Forma</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Exxon(2)</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Mobil(2)</w:t>
            </w: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Adjustments</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54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(millions of dollars)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2,218</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marketable securities............................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5440" w:type="dxa"/>
            <w:vAlign w:val="bottom"/>
          </w:tcPr>
          <w:p>
            <w:pPr>
              <w:ind w:left="520"/>
              <w:spacing w:after="0"/>
              <w:rPr>
                <w:sz w:val="20"/>
                <w:szCs w:val="20"/>
                <w:color w:val="auto"/>
              </w:rPr>
            </w:pPr>
            <w:r>
              <w:rPr>
                <w:rFonts w:ascii="Courier New" w:cs="Courier New" w:eastAsia="Courier New" w:hAnsi="Courier New"/>
                <w:sz w:val="14"/>
                <w:szCs w:val="14"/>
                <w:color w:val="auto"/>
              </w:rPr>
              <w:t>Notes and accounts receivable, less estimated doubtful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9,512</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16,259</w:t>
            </w:r>
          </w:p>
        </w:tc>
      </w:tr>
      <w:tr>
        <w:trPr>
          <w:trHeight w:val="166"/>
        </w:trPr>
        <w:tc>
          <w:tcPr>
            <w:tcW w:w="54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Crude oil, products and merchandise..................</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4,896</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7,537</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Materials and supplies...............................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709</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Prepaid taxes and expenses.............................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17,593</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8,731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2,701</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29,025</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 and advances.....................................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6,434</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8,490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 less accumulated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depreciation and depletion..................................</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65,199</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24,727</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92,582</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 including intangibles, net.....................</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3,404</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4,216</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92,630</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$ 42,754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4,160</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139,544</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 and loans payable................................</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8,607</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Accounts payable and accrued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13,825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23,351</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 payable...................................</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1,339</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2,143</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19,412</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12,946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1,743</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34,101</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4,530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3,719</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8,532</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Annuity reserves and accrued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9,514</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12,987</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13,142</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3,254</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16,750</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credits.............................................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1,518</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Equity of minority and preferred shareholders in affiliated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companies...................................................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1,807</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3,626</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48,880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24,384</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77,514</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Preferred stock..............................................</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Benefit plan related balances................................</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2,323</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3,104</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 surplus..............................................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1,649</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(1,649)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Earnings reinvested..........................................</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54,575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20,534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(1,860)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73,159</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Accumulated other nonowner changes in equity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Cumulative foreign exchange translation adjustment..........</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(641)</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(1,573)</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Minimum pension liability adjustment........................</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(408)</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 held in treasury................................</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(12,205)</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(3,626)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(12,205)</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shareholders' equity..........................</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43,750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18,370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62,030</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92,630</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$ 42,754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4,160</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139,544</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I-33</w:t>
      </w:r>
    </w:p>
    <w:p>
      <w:pPr>
        <w:sectPr>
          <w:pgSz w:w="11900" w:h="16838" w:orient="portrait"/>
          <w:cols w:equalWidth="0" w:num="1">
            <w:col w:w="10600"/>
          </w:cols>
          <w:pgMar w:left="220" w:top="782" w:right="1079"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FOR YEAR ENDED 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Exxon</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Mobil(2)</w:t>
            </w: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Adjustments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6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(millions of dollars)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48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Sales and other operating revenue, including</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excise taxes.......................................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115,417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51,893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7,630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$ 164,640</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Earnings from equity interests and other revenue......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2,355</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1,638</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3,975</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Total revenue....................................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117,772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53,531</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168,615</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Crude oil and product purchases.......................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45,020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27,687</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5,947</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68,354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5,222</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17,614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8,372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3,708</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12,365</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Depreciation and depletion............................</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8,341</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Exploration expenses, including dry holes.............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863</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1,506</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451</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Excise taxes..........................................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14,720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5,853</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20,573</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Other taxes and duties................................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22,576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4,029</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26,947</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applicable to minority and preferred interests.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Total costs and other deductions.................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108,716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50,471</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156,531</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before income taxes..............................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9,056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3,060</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12,084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1,356</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3,940</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before 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1,704</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8,144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8,074</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per common share (dollars)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(0.03)</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(0.02) (3)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 per common share--assuming dilution (dollars)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(0.03)</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(0.02) (3)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Average number common shares outstanding</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(millions)............................................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779</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Average number common shares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outstanding--assuming dilution (millions).............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2,468</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807</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Dividends per common share (dollars)....................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17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I-34</w:t>
      </w:r>
    </w:p>
    <w:p>
      <w:pPr>
        <w:sectPr>
          <w:pgSz w:w="11900" w:h="16838" w:orient="portrait"/>
          <w:cols w:equalWidth="0" w:num="1">
            <w:col w:w="10260"/>
          </w:cols>
          <w:pgMar w:left="220" w:top="782" w:right="1419" w:bottom="1440" w:gutter="0" w:footer="0" w:header="0"/>
        </w:sectPr>
      </w:pPr>
    </w:p>
    <w:bookmarkStart w:id="43" w:name="page44"/>
    <w:bookmarkEnd w:id="4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YEAR ENDED DECEMBER 31,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3"/>
                <w:szCs w:val="13"/>
                <w:color w:val="auto"/>
                <w:w w:val="71"/>
              </w:rPr>
              <w: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Exxon</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Mobil(2)</w:t>
            </w:r>
          </w:p>
        </w:tc>
        <w:tc>
          <w:tcPr>
            <w:tcW w:w="2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Combined</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(millions of dollars)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Sales and other operating revenue, including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135,142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64,028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(13,600)(4)</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9,585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195,155</w:t>
            </w:r>
          </w:p>
        </w:tc>
        <w:tc>
          <w:tcPr>
            <w:tcW w:w="2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Earnings from equity interests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2,100</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1,878</w:t>
            </w:r>
          </w:p>
        </w:tc>
        <w:tc>
          <w:tcPr>
            <w:tcW w:w="2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(81)(6A)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3,897</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137,242</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65,906</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(4,096)</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199,052</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Crude oil and product purchases...................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57,971</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35,784</w:t>
            </w:r>
          </w:p>
        </w:tc>
        <w:tc>
          <w:tcPr>
            <w:tcW w:w="20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(13,600)(4)</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7,308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87,463</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13,045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19,504</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13,059</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and depletion........................</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5,474</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8,206</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Exploration expenses, including dry holes.........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1,252</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847</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14,863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5,928</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20,791</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taxes and duties............................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23,111</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4,578</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28,079</w:t>
            </w:r>
          </w:p>
        </w:tc>
        <w:tc>
          <w:tcPr>
            <w:tcW w:w="2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Income applicable to minority and preferred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513</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costs and other deductions.............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124,444</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59,541</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(4,271)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179,714</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12,798</w:t>
            </w:r>
          </w:p>
        </w:tc>
        <w:tc>
          <w:tcPr>
            <w:tcW w:w="2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6,365</w:t>
            </w:r>
          </w:p>
        </w:tc>
        <w:tc>
          <w:tcPr>
            <w:tcW w:w="2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19,338</w:t>
            </w:r>
          </w:p>
        </w:tc>
        <w:tc>
          <w:tcPr>
            <w:tcW w:w="2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4,338</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7,606</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11,732</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dilution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 outstanding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outstanding--assuming dilution (millions).........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815</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Dividends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1.625</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bl>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I-35</w:t>
      </w:r>
    </w:p>
    <w:p>
      <w:pPr>
        <w:sectPr>
          <w:pgSz w:w="11900" w:h="16838" w:orient="portrait"/>
          <w:cols w:equalWidth="0" w:num="1">
            <w:col w:w="10239"/>
          </w:cols>
          <w:pgMar w:left="220" w:top="78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Chapter One - The Merger</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YEAR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3"/>
                <w:szCs w:val="13"/>
                <w:color w:val="auto"/>
                <w:w w:val="71"/>
              </w:rPr>
              <w: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Exxon</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Mobil(2)</w:t>
            </w:r>
          </w:p>
        </w:tc>
        <w:tc>
          <w:tcPr>
            <w:tcW w:w="2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Combined</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(millions of dollars)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Sales and other operating revenue, including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131,543</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79,944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(14,000)(4)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207,888</w:t>
            </w:r>
          </w:p>
        </w:tc>
        <w:tc>
          <w:tcPr>
            <w:tcW w:w="3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Earnings from equity interests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1,559</w:t>
            </w:r>
          </w:p>
        </w:tc>
        <w:tc>
          <w:tcPr>
            <w:tcW w:w="2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(42)(6A)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4,223</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134,249</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81,503</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(3,641)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212,111</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Crude oil and product purchases...................</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56,406</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41,831</w:t>
            </w:r>
          </w:p>
        </w:tc>
        <w:tc>
          <w:tcPr>
            <w:tcW w:w="200" w:type="dxa"/>
            <w:vAlign w:val="bottom"/>
          </w:tcPr>
          <w:p>
            <w:pPr>
              <w:spacing w:after="0"/>
              <w:rPr>
                <w:sz w:val="24"/>
                <w:szCs w:val="2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(14,000)(4)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92,259</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13,255</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5,659</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19,962</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7,961</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5,157</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13,583</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and depletion........................</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5,329</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2,725</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8,241</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Exploration expenses, including dry holes.........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14,815</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9,236</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24,051</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taxes and duties............................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22,956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9,787</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33,213</w:t>
            </w:r>
          </w:p>
        </w:tc>
        <w:tc>
          <w:tcPr>
            <w:tcW w:w="3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Income applicable to minority and preferred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costs and other deductions.............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122,333</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75,392</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(3,756)</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193,969</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11,916</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6,111</w:t>
            </w:r>
          </w:p>
        </w:tc>
        <w:tc>
          <w:tcPr>
            <w:tcW w:w="2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18,142</w:t>
            </w:r>
          </w:p>
        </w:tc>
        <w:tc>
          <w:tcPr>
            <w:tcW w:w="3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3,147</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7,668</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7,510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10,474</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dilution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 outstanding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788</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outstanding--assuming dilution (millions).........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2,512</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816</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Dividends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bl>
    <w:p>
      <w:pPr>
        <w:spacing w:after="0" w:line="200" w:lineRule="exact"/>
        <w:rPr>
          <w:sz w:val="20"/>
          <w:szCs w:val="20"/>
          <w:color w:val="auto"/>
        </w:rPr>
      </w:pPr>
    </w:p>
    <w:p>
      <w:pPr>
        <w:spacing w:after="0" w:line="30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I-36</w:t>
      </w:r>
    </w:p>
    <w:p>
      <w:pPr>
        <w:sectPr>
          <w:pgSz w:w="11900" w:h="16838" w:orient="portrait"/>
          <w:cols w:equalWidth="0" w:num="1">
            <w:col w:w="10239"/>
          </w:cols>
          <w:pgMar w:left="220" w:top="782" w:right="1440" w:bottom="1440" w:gutter="0" w:footer="0" w:header="0"/>
        </w:sectPr>
      </w:pPr>
    </w:p>
    <w:bookmarkStart w:id="45" w:name="page46"/>
    <w:bookmarkEnd w:id="4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w:t>
        <w:tab/>
        <w:t>Basis of Presentation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unaudited pro forma condensed combined statements of income are based on the consolidated financial statements of Exxon and Mobil for the years ended December 31, 1998, 1997 and 1996. The unaudited pro forma condensed combined balance sheet is based on the consolidated financial statements of Exxon and Mobil at December 31, 1998.</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Exxon and Mobil consolidated financial statements are prepared in conformity with generally accepted accounting principles and require Exxon and Mobil management to make estimates that affect the reported amounts of assets, liabilities, revenues and expenses and the disclosure of contingent assets and liabilities. In the opinion of Exxon and Mobil, the unaudited pro forma condensed combined financial statements include all adjustments necessary to present fairly the results of the periods presented. Actual results are not expected to differ materially from these estimates.</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2.</w:t>
        <w:tab/>
        <w:t>Accounting Policies and Financial Statement Classifications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accounting policies of Exxon and Mobil are substantially comparable. Consequently, we did not make adjustments to the unaudited pro forma condensed combined financial statements to conform the accounting policies of the combining companies.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revenues, costs and other deductions in the consolidated statements of income for Mobil have been reclassified to conform to the line item presentation in the pro forma condensed combined statements of income. Certain assets and liabilities in the consolidated balance sheets for Exxon and Mobil have been reclassified to conform to the line item presentation in the pro forma condensed combined balance sheet.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3.</w:t>
        <w:tab/>
        <w:t>Pro Forma Earnings Per Share and Dividends Per Share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pro forma combined net income per common share is based on net income less preferred stock dividends and the weighted average number of outstanding common shares. Net income per common share--assuming dilution includes the dilutive effect of incentive program stock options and convertible preferred stock. The weighted average number of outstanding common shares has been adjusted to reflect the exchange ratio of 1.32015 shares of Exxon Mobil common stock for each share of Mobil common stock.</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pro forma combined dividends per share reflect the sum of the dividends paid by Exxon and Mobil divided by the number of shares that would have been outstanding for the periods, after adjusting the Mobil shares for the exchange ratio of 1.32015 shares of Exxon Mobil common stock.</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4.</w:t>
        <w:tab/>
        <w:t>Intercompany Transactions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Intercompany sales and purchase transactions have been eliminated in the unaudited pro forma condensed combined statements of income. Intercompany amounts receivable and payable have been eliminated in the unaudited pro forma condensed combined balance sheet.</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5.</w:t>
        <w:tab/>
        <w:t>Merger-Related and Integration-Related Expenses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Merger-related fees and expenses, consisting primarily of SEC filing fees, fees and expenses of investment bankers, attorneys and accountants, and financial printing and other related charges, are estimated to be approximately $90 million. These fees and expenses have been reflected in the unaudited pro forma condensed combined balance sheet as of December 31, 1998. These charges are not reflected in the unaudited pro forma condensed combined statements of income or the pro forma combined per share data.</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I-37</w:t>
      </w:r>
    </w:p>
    <w:p>
      <w:pPr>
        <w:sectPr>
          <w:pgSz w:w="11900" w:h="16838" w:orient="portrait"/>
          <w:cols w:equalWidth="0" w:num="1">
            <w:col w:w="10239"/>
          </w:cols>
          <w:pgMar w:left="220" w:top="78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estimate that costs of approximately $2.0 billion ($1.3 billion after-tax) will be incurred for severance and other integration-related expenses, including the elimination of duplicate facilities and excess capacity, operational realignment and related workforce reductions. These expenditures are necessary to reduce costs and operate efficiently. The unaudited pro forma condensed combined financial statements reflect neither the impact of these charges nor the benefits from the expected synergies. The costs for severance and other integration-related expenses will be charged to operations in the periods the obligations occur.</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6.</w:t>
        <w:tab/>
        <w:t>Other Pro Forma Adjustments</w:t>
      </w:r>
    </w:p>
    <w:p>
      <w:pPr>
        <w:spacing w:after="0" w:line="173" w:lineRule="exact"/>
        <w:rPr>
          <w:sz w:val="20"/>
          <w:szCs w:val="20"/>
          <w:color w:val="auto"/>
        </w:rPr>
      </w:pPr>
    </w:p>
    <w:p>
      <w:pPr>
        <w:ind w:left="260" w:right="3519" w:firstLine="265"/>
        <w:spacing w:after="0" w:line="252" w:lineRule="auto"/>
        <w:tabs>
          <w:tab w:leader="none" w:pos="86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adjustment has been made to consolidate the accounts of certain refining, marketing and chemicals operations that are jointly controlled by the combining companies and which were accounted for by Exxon and Mobil as separate companies using the equity method.</w:t>
      </w:r>
    </w:p>
    <w:p>
      <w:pPr>
        <w:spacing w:after="0" w:line="162" w:lineRule="exact"/>
        <w:rPr>
          <w:rFonts w:ascii="Courier New" w:cs="Courier New" w:eastAsia="Courier New" w:hAnsi="Courier New"/>
          <w:sz w:val="14"/>
          <w:szCs w:val="14"/>
          <w:color w:val="auto"/>
        </w:rPr>
      </w:pPr>
    </w:p>
    <w:p>
      <w:pPr>
        <w:ind w:left="260" w:right="3519" w:firstLine="265"/>
        <w:spacing w:after="0" w:line="251" w:lineRule="auto"/>
        <w:tabs>
          <w:tab w:leader="none" w:pos="86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adjustment has been made to reflect the cancellation of Mobil common stock accounted for as treasury stock and the assumed issuance of approximately 1.0 billion shares of Exxon Mobil common stock in exchange for all of the outstanding Mobil common stock (based on the exchange ratio of 1.32015). The actual number of shares of Exxon Mobil common stock to be issued in connection with the merger will be based on the number of shares of Mobil common stock issued and outstanding at the effective time.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I-38</w:t>
      </w:r>
    </w:p>
    <w:p>
      <w:pPr>
        <w:sectPr>
          <w:pgSz w:w="11900" w:h="16838" w:orient="portrait"/>
          <w:cols w:equalWidth="0" w:num="1">
            <w:col w:w="10239"/>
          </w:cols>
          <w:pgMar w:left="220" w:top="782" w:right="1440" w:bottom="1440" w:gutter="0" w:footer="0" w:header="0"/>
        </w:sectPr>
      </w:pPr>
    </w:p>
    <w:bookmarkStart w:id="47" w:name="page48"/>
    <w:bookmarkEnd w:id="4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OPINIONS OF FINANCIAL ADVISORS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each retained our own financial advisor to assist us and our Boards in our consideration of valuation, financial and other matters relating to the merger. Exxon retained J.P. Morgan Securities Inc. as its financial advisor and Mobil retained Goldman, Sachs &amp; Co. as its financial advisor.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Exxon Financial Advisor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December 1, 1998 meeting of the Exxon Board, J.P. Morgan gave its opinion to the Exxon Board that, as of such date and based upon and subject to the various considerations set forth in its opinion, the consideration to be paid by Exxon in connection with the proposed merger was fair from a financial point of view to Exxon. J.P. Morgan has reaffirmed its December 1, 1998 opinion in its written opinion to the Exxon Board dated as of April 2,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full text of the updated opinion of J.P. Morgan, which sets forth among other things the assumptions made, procedures followed, matters considered and limitations on the scope of the review undertaken by J.P. Morgan in rendering its opinion, is attached as Annex C and is incorporated by reference with the consent of J.P. Morgan. This opinion should be read carefully and in its entirety. J.P. Morgan's opinion is addressed to the Exxon Board, is directed only to the fairness of the consideration to be paid in the merger, does not address any other aspect of the merger and does not constitute a recommendation to any Exxon shareholder as to how to vote with respect to the merger. The summary of the opinion of J.P. Morgan set forth in this joint proxy statement/prospectus is qualified in its entirety by reference to the full text of such opinion.</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rendering its opinions, J.P. Morgan reviewed:</w:t>
      </w:r>
    </w:p>
    <w:p>
      <w:pPr>
        <w:spacing w:after="0" w:line="173" w:lineRule="exact"/>
        <w:rPr>
          <w:sz w:val="20"/>
          <w:szCs w:val="20"/>
          <w:color w:val="auto"/>
        </w:rPr>
      </w:pPr>
    </w:p>
    <w:p>
      <w:pPr>
        <w:ind w:left="960" w:hanging="263"/>
        <w:spacing w:after="0"/>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its updated opinion, this document;</w:t>
      </w:r>
    </w:p>
    <w:p>
      <w:pPr>
        <w:spacing w:after="0" w:line="172"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publicly available information concerning the business of Mobil and of certain other companies engaged in businesses that J.P. Morgan deemed comparable to those of Mobil, and the reported market prices for the securities of certain other companies that J.P. Morgan deemed comparable;</w:t>
      </w:r>
    </w:p>
    <w:p>
      <w:pPr>
        <w:spacing w:after="0" w:line="164" w:lineRule="exact"/>
        <w:rPr>
          <w:rFonts w:ascii="Courier New" w:cs="Courier New" w:eastAsia="Courier New" w:hAnsi="Courier New"/>
          <w:sz w:val="14"/>
          <w:szCs w:val="14"/>
          <w:color w:val="auto"/>
        </w:rPr>
      </w:pPr>
    </w:p>
    <w:p>
      <w:pPr>
        <w:ind w:left="960" w:right="3419" w:hanging="263"/>
        <w:spacing w:after="0" w:line="252"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publicly available terms of certain transactions involving companies comparable to Mobil and the consideration received for such companies;</w:t>
      </w:r>
    </w:p>
    <w:p>
      <w:pPr>
        <w:spacing w:after="0" w:line="162"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and historical market prices of the Exxon common stock and the Mobil common stock;</w:t>
      </w:r>
    </w:p>
    <w:p>
      <w:pPr>
        <w:spacing w:after="0" w:line="159" w:lineRule="exact"/>
        <w:rPr>
          <w:rFonts w:ascii="Courier New" w:cs="Courier New" w:eastAsia="Courier New" w:hAnsi="Courier New"/>
          <w:sz w:val="14"/>
          <w:szCs w:val="14"/>
          <w:color w:val="auto"/>
        </w:rPr>
      </w:pPr>
    </w:p>
    <w:p>
      <w:pPr>
        <w:ind w:left="960" w:right="3519" w:hanging="263"/>
        <w:spacing w:after="0" w:line="252"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financial statements of Exxon and Mobil for the fiscal year ended December 31, 1997, and the unaudited condensed financial statements of Exxon and Mobil for the period ended September 30, 1998;</w:t>
      </w:r>
    </w:p>
    <w:p>
      <w:pPr>
        <w:spacing w:after="0" w:line="162"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its updated opinion, the audited financial statements of Exxon and Mobil for the fiscal year ended December 31, 1998;</w:t>
      </w:r>
    </w:p>
    <w:p>
      <w:pPr>
        <w:spacing w:after="0" w:line="159"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presentations made by Exxon and Mobil in 1998 to equity analysts regarding the performance of their respective businesses;</w:t>
      </w:r>
    </w:p>
    <w:p>
      <w:pPr>
        <w:spacing w:after="0" w:line="159" w:lineRule="exact"/>
        <w:rPr>
          <w:rFonts w:ascii="Courier New" w:cs="Courier New" w:eastAsia="Courier New" w:hAnsi="Courier New"/>
          <w:sz w:val="14"/>
          <w:szCs w:val="14"/>
          <w:color w:val="auto"/>
        </w:rPr>
      </w:pPr>
    </w:p>
    <w:p>
      <w:pPr>
        <w:ind w:left="960" w:right="3519" w:hanging="263"/>
        <w:spacing w:after="0" w:line="252"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internal financial analyses of potential synergies that may be realized from the merger prepared by Exxon and Mobil and their respective managements; and</w:t>
      </w:r>
    </w:p>
    <w:p>
      <w:pPr>
        <w:spacing w:after="0" w:line="162" w:lineRule="exact"/>
        <w:rPr>
          <w:rFonts w:ascii="Courier New" w:cs="Courier New" w:eastAsia="Courier New" w:hAnsi="Courier New"/>
          <w:sz w:val="14"/>
          <w:szCs w:val="14"/>
          <w:color w:val="auto"/>
        </w:rPr>
      </w:pPr>
    </w:p>
    <w:p>
      <w:pPr>
        <w:ind w:left="960" w:right="3779" w:hanging="263"/>
        <w:spacing w:after="0" w:line="255"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other business combinations that J.P. Morgan deemed relevant.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I-39</w:t>
      </w:r>
    </w:p>
    <w:p>
      <w:pPr>
        <w:sectPr>
          <w:pgSz w:w="11900" w:h="16838" w:orient="portrait"/>
          <w:cols w:equalWidth="0" w:num="1">
            <w:col w:w="10239"/>
          </w:cols>
          <w:pgMar w:left="220" w:top="78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J.P. Morgan participated in discussions with certain members of the management of Exxon and Mobil with respect to certain aspects of the merger, the past and current business operations of Exxon and Mobil, the financial condition and future prospects and operations of Exxon and Mobil, and certain other matters J.P. Morgan believed necessary or appropriate to its inquiry. J.P. Morgan reviewed such other financial studies and analyses and considered such other information as it deemed appropriate for the purposes of its opinion.</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giving its opinion, J.P. Morgan relied upon and assumed, without independent verification, the accuracy and completeness of all information that was publicly available or was furnished to it by Exxon and Mobil or otherwise reviewed by J.P. Morgan, and J.P. Morgan has not assumed any responsibility or liability therefor. J.P. Morgan has not conducted any evaluation or appraisal of any assets or liabilities, nor have any such valuations or appraisals been provided to J.P. Morgan. In relying on financial analyses provided to it of potential synergies that may be realized from the merger, J.P. Morgan has assumed that they have been reasonably prepared based on assumptions reflecting the best currently available estimates and judgments by management of Exxon as to such potential synergies. J.P. Morgan has also assumed that the merger will have the tax consequences and pooling of interests accounting treatment described in the merger agreement and this document, and that the transactions contemplated by the merger agreement will be consummated as described in the merger agreement and this document. J.P. Morgan relied as to all legal matters relevant to rendering its opinion upon the advice of counsel.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J.P. Morgan's opinion is necessarily based on economic, market and other conditions as in effect on, and the information made available to J.P. Morgan as of, the date of such opinion. Subsequent developments may affect its opinion, and J.P. Morgan does not have any obligation to update, or revise or reaffirm such opinion. J.P. Morgan expressed no opinion as to the price at which Exxon common stock will trade at any future time.</w:t>
      </w:r>
    </w:p>
    <w:p>
      <w:pPr>
        <w:spacing w:after="0" w:line="164" w:lineRule="exact"/>
        <w:rPr>
          <w:sz w:val="20"/>
          <w:szCs w:val="20"/>
          <w:color w:val="auto"/>
        </w:rPr>
      </w:pPr>
    </w:p>
    <w:p>
      <w:pPr>
        <w:jc w:val="both"/>
        <w:ind w:right="3859" w:firstLine="431"/>
        <w:spacing w:after="0" w:line="250" w:lineRule="auto"/>
        <w:rPr>
          <w:sz w:val="20"/>
          <w:szCs w:val="20"/>
          <w:color w:val="auto"/>
        </w:rPr>
      </w:pPr>
      <w:r>
        <w:rPr>
          <w:rFonts w:ascii="Courier New" w:cs="Courier New" w:eastAsia="Courier New" w:hAnsi="Courier New"/>
          <w:sz w:val="14"/>
          <w:szCs w:val="14"/>
          <w:color w:val="auto"/>
        </w:rPr>
        <w:t>In accordance with customary investment banking practice, J.P. Morgan employed generally accepted valuation methods in reaching its opinion. The following is a summary of the material financial analyses utilized by J.P.</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Morgan in connection with providing its December 1, 1998 opinion. J.P. Morgan utilized substantially the same types of analyses in connection with providing its updated opinion.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elements of J.P. Morgan's analyses included:</w:t>
      </w:r>
    </w:p>
    <w:p>
      <w:pPr>
        <w:spacing w:after="0" w:line="173" w:lineRule="exact"/>
        <w:rPr>
          <w:sz w:val="20"/>
          <w:szCs w:val="20"/>
          <w:color w:val="auto"/>
        </w:rPr>
      </w:pPr>
    </w:p>
    <w:p>
      <w:pPr>
        <w:ind w:left="960" w:right="3779" w:hanging="263"/>
        <w:spacing w:after="0" w:line="255" w:lineRule="auto"/>
        <w:tabs>
          <w:tab w:leader="none" w:pos="9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assessing the potential value creation as a result of the merger (paragraphs 1-3);</w:t>
      </w:r>
    </w:p>
    <w:p>
      <w:pPr>
        <w:spacing w:after="0" w:line="159" w:lineRule="exact"/>
        <w:rPr>
          <w:rFonts w:ascii="Courier New" w:cs="Courier New" w:eastAsia="Courier New" w:hAnsi="Courier New"/>
          <w:sz w:val="14"/>
          <w:szCs w:val="14"/>
          <w:color w:val="auto"/>
        </w:rPr>
      </w:pPr>
    </w:p>
    <w:p>
      <w:pPr>
        <w:ind w:left="960" w:right="3779" w:hanging="263"/>
        <w:spacing w:after="0" w:line="252" w:lineRule="auto"/>
        <w:tabs>
          <w:tab w:leader="none" w:pos="9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assessing the sharing of the combined pro forma entity given the historical and forecast contributions of each company, and the sharing of the potential value creation (paragraphs 4-6);</w:t>
      </w:r>
    </w:p>
    <w:p>
      <w:pPr>
        <w:spacing w:after="0" w:line="162" w:lineRule="exact"/>
        <w:rPr>
          <w:rFonts w:ascii="Courier New" w:cs="Courier New" w:eastAsia="Courier New" w:hAnsi="Courier New"/>
          <w:sz w:val="14"/>
          <w:szCs w:val="14"/>
          <w:color w:val="auto"/>
        </w:rPr>
      </w:pPr>
    </w:p>
    <w:p>
      <w:pPr>
        <w:ind w:left="960" w:right="3679" w:hanging="263"/>
        <w:spacing w:after="0" w:line="252" w:lineRule="auto"/>
        <w:tabs>
          <w:tab w:leader="none" w:pos="9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testing the results on pro-forma Exxon earnings per share for the potential accretion/dilution of earnings for the next 3 years (paragraph 7); and</w:t>
      </w:r>
    </w:p>
    <w:p>
      <w:pPr>
        <w:spacing w:after="0" w:line="16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checking the premium to be paid by Exxon in the merger against market precedent (paragraph 8).</w:t>
      </w:r>
    </w:p>
    <w:p>
      <w:pPr>
        <w:spacing w:after="0" w:line="160" w:lineRule="exact"/>
        <w:rPr>
          <w:sz w:val="20"/>
          <w:szCs w:val="20"/>
          <w:color w:val="auto"/>
        </w:rPr>
      </w:pPr>
    </w:p>
    <w:p>
      <w:pPr>
        <w:ind w:right="3419" w:firstLine="611"/>
        <w:spacing w:after="0" w:line="251" w:lineRule="auto"/>
        <w:tabs>
          <w:tab w:leader="none" w:pos="9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Return on Capital Employed. J.P. Morgan reviewed and analyzed the return on capital employed ("ROCE") of both Exxon and Mobil since 1993. J.P. Morgan observed that Exxon's ROCE has consistently been 2-3% above that of Mobil. J.P. Morgan's analysis indicated that if Mobil were to be merged with Exxon, the combined entity's capital productivity would eventually be higher than the pro forma capital productivity of Exxon and Mobil. J.P. Morgan indicated that it would be reasonable to assume that the benefits of this capital productivity increase would occur within three years of the closing of the merger. J.P. Morgan pointed out, however, that its views in this respect were based on discussions with senior management at Exxon and that there could be no assurance that this increase in capital productivity would be realized.</w:t>
      </w:r>
    </w:p>
    <w:p>
      <w:pPr>
        <w:spacing w:after="0" w:line="163"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P/E Analysis. J.P. Morgan performed an analysis comparing Exxon's price to earnings multiples with Mobil's price to earnings multiples for the past five years. The source for these price to earnings multiples was</w:t>
      </w:r>
    </w:p>
    <w:p>
      <w:pPr>
        <w:spacing w:after="0" w:line="1" w:lineRule="exact"/>
        <w:rPr>
          <w:rFonts w:ascii="Courier New" w:cs="Courier New" w:eastAsia="Courier New" w:hAnsi="Courier New"/>
          <w:sz w:val="14"/>
          <w:szCs w:val="14"/>
          <w:color w:val="auto"/>
        </w:rPr>
      </w:pPr>
    </w:p>
    <w:p>
      <w:pPr>
        <w:ind w:right="4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one and two year prospective price to earnings multiple estimates by I/B/E/S International Inc. and First Call, organizations which compile brokers' earnings estimates on public companies. Such analysis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I-40</w:t>
      </w:r>
    </w:p>
    <w:p>
      <w:pPr>
        <w:sectPr>
          <w:pgSz w:w="11900" w:h="16838" w:orient="portrait"/>
          <w:cols w:equalWidth="0" w:num="1">
            <w:col w:w="10239"/>
          </w:cols>
          <w:pgMar w:left="220" w:top="782" w:right="1440" w:bottom="1440" w:gutter="0" w:footer="0" w:header="0"/>
        </w:sectPr>
      </w:pPr>
    </w:p>
    <w:bookmarkStart w:id="49" w:name="page50"/>
    <w:bookmarkEnd w:id="4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indicated that Mobil has been trading in the recent past at an 8% to 15% discount to Exxon. J.P. Morgan's analysis indicated that if Mobil were to be valued at price to earnings multiples comparable to those of Exxon, there would be an enhancement of value to its shareholders of approximately $11 billion. Finally, this analysis suggested that the combined company might enjoy an overall increase in its price to earnings multiple due to the potential for improved capital productivity and the expected strategic benefits of the merger. According to J.P. Morgan's analysis, a price to earnings multiple increase of 1 for Exxon Mobil would result in an enhancement of value to shareholders of approximately $10 billion. J.P. Morgan pointed out, however, that there could be no assurance that these values would be realized.</w:t>
      </w:r>
    </w:p>
    <w:p>
      <w:pPr>
        <w:spacing w:after="0" w:line="163" w:lineRule="exact"/>
        <w:rPr>
          <w:sz w:val="20"/>
          <w:szCs w:val="20"/>
          <w:color w:val="auto"/>
        </w:rPr>
      </w:pPr>
    </w:p>
    <w:p>
      <w:pPr>
        <w:ind w:right="3339" w:firstLine="611"/>
        <w:spacing w:after="0" w:line="251" w:lineRule="auto"/>
        <w:tabs>
          <w:tab w:leader="none" w:pos="86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Pre-Tax Synergies. J.P. Morgan reviewed and analyzed the future synergies expected to result from the merger, estimated by management at $2.8 billion annually on a pre-tax basis. J.P. Morgan also analyzed stock-for-stock merger transactions over the past three years where the market capitalization of the smaller entity pre-announcement was greater than $5 billion. The analysis indicated that for industrially logical mergers, the market granted a post-announcement value pick-up to the companies of 6-9 times the anticipated synergy benefits identified by management on a pre-tax basis. In cases where management also had a good track record of cost cutting, J.P. Morgan indicated that the market might be expected to capitalize synergies at a multiple of 8-9 times on a pre-tax basis. Based on the estimated synergies of $2.8 billion expected to result from the merger, this suggested a potential value creation in the short term of approximately $22-25 billion.</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J.P. Morgan also indicated that the value of the potential synergies for the combined company could be greater in the long term if management achieved its stated objectives and the expected synergies were demonstrated to the market. On this basis, J.P. Morgan estimated that as much as $11 billion in value could be created in excess of the short term impact, in addition to the potential enhancement of value described in paragraph 2 above.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addition to expressing no opinion as to the potential future trading price of the Exxon common stock, J.P. Morgan also pointed out that there could be no assurance that either these short-term or long-term values would be realized.</w:t>
      </w:r>
    </w:p>
    <w:p>
      <w:pPr>
        <w:spacing w:after="0" w:line="162" w:lineRule="exact"/>
        <w:rPr>
          <w:sz w:val="20"/>
          <w:szCs w:val="20"/>
          <w:color w:val="auto"/>
        </w:rPr>
      </w:pPr>
    </w:p>
    <w:p>
      <w:pPr>
        <w:ind w:right="3679" w:firstLine="611"/>
        <w:spacing w:after="0" w:line="255" w:lineRule="auto"/>
        <w:tabs>
          <w:tab w:leader="none" w:pos="86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Sharing of Future Benefits of the Merger. J.P. Morgan reviewed the elements of potential value creation, which were:</w:t>
      </w:r>
    </w:p>
    <w:p>
      <w:pPr>
        <w:spacing w:after="0" w:line="160" w:lineRule="exact"/>
        <w:rPr>
          <w:sz w:val="20"/>
          <w:szCs w:val="20"/>
          <w:color w:val="auto"/>
        </w:rPr>
      </w:pPr>
    </w:p>
    <w:p>
      <w:pPr>
        <w:ind w:left="700" w:hanging="261"/>
        <w:spacing w:after="0"/>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value pick-up based on estimated pre-tax synergies; and</w:t>
      </w:r>
    </w:p>
    <w:p>
      <w:pPr>
        <w:spacing w:after="0" w:line="7" w:lineRule="exact"/>
        <w:rPr>
          <w:rFonts w:ascii="Courier New" w:cs="Courier New" w:eastAsia="Courier New" w:hAnsi="Courier New"/>
          <w:sz w:val="14"/>
          <w:szCs w:val="14"/>
          <w:color w:val="auto"/>
        </w:rPr>
      </w:pPr>
    </w:p>
    <w:p>
      <w:pPr>
        <w:ind w:left="700" w:right="3519" w:hanging="261"/>
        <w:spacing w:after="0" w:line="250" w:lineRule="auto"/>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long-term value pick-up that could result from the possible o realization of anticipated synergies,</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price to earnings multiple re-rating for Mobil, and</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price to earnings multiple re-rating for the combined company.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J.P. Morgan's review suggested that over the long term, the potential for value creation from these elements could be as much as $47-57 billion. Since Exxon's market capitalization is significantly larger than Mobil's, Exxon's shareholders would enjoy a greater proportion of the value creation if no premium were paid by Exxon in the merger. By offering a premium to Mobil's shareholders, this potential value creation was instead shared in approximately equal proportions between the companies' shareholders and such sharing was deemed to be a reasonable allocation of value creation.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I-41</w:t>
      </w:r>
    </w:p>
    <w:p>
      <w:pPr>
        <w:sectPr>
          <w:pgSz w:w="11900" w:h="16838" w:orient="portrait"/>
          <w:cols w:equalWidth="0" w:num="1">
            <w:col w:w="10239"/>
          </w:cols>
          <w:pgMar w:left="220" w:top="78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80" w:firstLine="439"/>
        <w:spacing w:after="0" w:line="252" w:lineRule="auto"/>
        <w:tabs>
          <w:tab w:leader="none" w:pos="68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Contribution Analysis. J.P. Morgan reviewed and analyzed the relative historical contribution of both Exxon and Mobil to the combined pro forma entity.</w:t>
      </w:r>
    </w:p>
    <w:p>
      <w:pPr>
        <w:spacing w:after="0" w:line="163" w:lineRule="exact"/>
        <w:rPr>
          <w:sz w:val="20"/>
          <w:szCs w:val="20"/>
          <w:color w:val="auto"/>
        </w:rPr>
      </w:pPr>
    </w:p>
    <w:p>
      <w:pPr>
        <w:ind w:right="860" w:firstLine="431"/>
        <w:spacing w:after="0" w:line="255" w:lineRule="auto"/>
        <w:rPr>
          <w:sz w:val="20"/>
          <w:szCs w:val="20"/>
          <w:color w:val="auto"/>
        </w:rPr>
      </w:pPr>
      <w:r>
        <w:rPr>
          <w:rFonts w:ascii="Courier New" w:cs="Courier New" w:eastAsia="Courier New" w:hAnsi="Courier New"/>
          <w:sz w:val="14"/>
          <w:szCs w:val="14"/>
          <w:color w:val="auto"/>
        </w:rPr>
        <w:t>The following table illustrates the historical relative market capitalization contribution by Exxon to a combined Exxon Mobil entity: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4"/>
          </w:tcPr>
          <w:p>
            <w:pPr>
              <w:spacing w:after="0"/>
              <w:rPr>
                <w:sz w:val="20"/>
                <w:szCs w:val="20"/>
                <w:color w:val="auto"/>
              </w:rPr>
            </w:pPr>
            <w:r>
              <w:rPr>
                <w:rFonts w:ascii="Courier New" w:cs="Courier New" w:eastAsia="Courier New" w:hAnsi="Courier New"/>
                <w:sz w:val="14"/>
                <w:szCs w:val="14"/>
                <w:color w:val="auto"/>
              </w:rPr>
              <w:t>At closing on November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8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1998.......................................</w:t>
            </w:r>
          </w:p>
        </w:tc>
        <w:tc>
          <w:tcPr>
            <w:tcW w:w="2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Average for the one</w:t>
            </w:r>
          </w:p>
        </w:tc>
        <w:tc>
          <w:tcPr>
            <w:tcW w:w="1340" w:type="dxa"/>
            <w:vAlign w:val="bottom"/>
            <w:gridSpan w:val="3"/>
          </w:tcPr>
          <w:p>
            <w:pPr>
              <w:jc w:val="right"/>
              <w:ind w:right="21"/>
              <w:spacing w:after="0"/>
              <w:rPr>
                <w:sz w:val="20"/>
                <w:szCs w:val="20"/>
                <w:color w:val="auto"/>
              </w:rPr>
            </w:pPr>
            <w:r>
              <w:rPr>
                <w:rFonts w:ascii="Courier New" w:cs="Courier New" w:eastAsia="Courier New" w:hAnsi="Courier New"/>
                <w:sz w:val="14"/>
                <w:szCs w:val="14"/>
                <w:color w:val="auto"/>
              </w:rPr>
              <w:t>month prior to</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November 20,</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74.9%</w:t>
            </w:r>
          </w:p>
        </w:tc>
      </w:tr>
      <w:tr>
        <w:trPr>
          <w:trHeight w:val="166"/>
        </w:trPr>
        <w:tc>
          <w:tcPr>
            <w:tcW w:w="3020" w:type="dxa"/>
            <w:vAlign w:val="bottom"/>
            <w:gridSpan w:val="6"/>
          </w:tcPr>
          <w:p>
            <w:pPr>
              <w:spacing w:after="0"/>
              <w:rPr>
                <w:sz w:val="20"/>
                <w:szCs w:val="20"/>
                <w:color w:val="auto"/>
              </w:rPr>
            </w:pPr>
            <w:r>
              <w:rPr>
                <w:rFonts w:ascii="Courier New" w:cs="Courier New" w:eastAsia="Courier New" w:hAnsi="Courier New"/>
                <w:sz w:val="14"/>
                <w:szCs w:val="14"/>
                <w:color w:val="auto"/>
              </w:rPr>
              <w:t>Average for the three months prior</w:t>
            </w:r>
          </w:p>
        </w:tc>
        <w:tc>
          <w:tcPr>
            <w:tcW w:w="31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to November 20, 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the six</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prior to</w:t>
            </w:r>
          </w:p>
        </w:tc>
        <w:tc>
          <w:tcPr>
            <w:tcW w:w="31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November 20, 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twelve</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months prior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to November</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20, 1998..............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r>
    </w:tbl>
    <w:p>
      <w:pPr>
        <w:spacing w:after="0" w:line="170" w:lineRule="exact"/>
        <w:rPr>
          <w:sz w:val="20"/>
          <w:szCs w:val="20"/>
          <w:color w:val="auto"/>
        </w:rPr>
      </w:pPr>
    </w:p>
    <w:p>
      <w:pPr>
        <w:ind w:right="600" w:firstLine="431"/>
        <w:spacing w:after="0" w:line="255" w:lineRule="auto"/>
        <w:rPr>
          <w:sz w:val="20"/>
          <w:szCs w:val="20"/>
          <w:color w:val="auto"/>
        </w:rPr>
      </w:pPr>
      <w:r>
        <w:rPr>
          <w:rFonts w:ascii="Courier New" w:cs="Courier New" w:eastAsia="Courier New" w:hAnsi="Courier New"/>
          <w:sz w:val="14"/>
          <w:szCs w:val="14"/>
          <w:color w:val="auto"/>
        </w:rPr>
        <w:t>The source for the table above was Datastream, an organization which compiles share prices for public companies.</w:t>
      </w:r>
    </w:p>
    <w:p>
      <w:pPr>
        <w:spacing w:after="0" w:line="160" w:lineRule="exact"/>
        <w:rPr>
          <w:sz w:val="20"/>
          <w:szCs w:val="20"/>
          <w:color w:val="auto"/>
        </w:rPr>
      </w:pPr>
    </w:p>
    <w:p>
      <w:pPr>
        <w:ind w:right="80" w:firstLine="431"/>
        <w:spacing w:after="0" w:line="252" w:lineRule="auto"/>
        <w:rPr>
          <w:sz w:val="20"/>
          <w:szCs w:val="20"/>
          <w:color w:val="auto"/>
        </w:rPr>
      </w:pPr>
      <w:r>
        <w:rPr>
          <w:rFonts w:ascii="Courier New" w:cs="Courier New" w:eastAsia="Courier New" w:hAnsi="Courier New"/>
          <w:sz w:val="14"/>
          <w:szCs w:val="14"/>
          <w:color w:val="auto"/>
        </w:rPr>
        <w:t>The following table illustrates the historical relative contribution by Exxon to a combined Exxon Mobil entity for the different financial and physical performance measures that were reviewed: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0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Firm value........................</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After tax earnings before change</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in accounting principles.......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78.6%</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71.7%</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74.4%</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73.1%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Pre-tax earnings before interest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and pre-extraordinary items....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70.5%</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67.3%</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67.9%</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Earnings before interest, tax,</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pre-extraordinary items........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68.1%</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66.5%</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65.6%</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65.9%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Dividends distributed.............</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73.4%</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73.4%</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72.8%</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72.2%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After tax operating cash flow.....</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69.6%</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69.1%</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68.1%</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68.3%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Capital employed..................</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65.3%</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65.2%</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66.8%</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67.1%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 tax earnings before interest,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exploration expense pre-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extraordinary items............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fixed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reserves..............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Refinery capacity.................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SEC-10............................</w:t>
      </w:r>
    </w:p>
    <w:p>
      <w:pPr>
        <w:spacing w:after="0" w:line="338"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J.P. Morgan observed that the relative contribution by Exxon to a combined Exxon Mobil entity in the most recent full year of Exxon would have been between 61% and 73% depending on the measure used. J.P. Morgan compared this range of relative contribution with the approximately 70% continuing ownership stake that Exxon's shareholders would have in the combined company following the merger. Sources for the historical financial information used in connection with the ratios were Exxon's and Mobil's annual reports for the years 1992-1997, inclusive, and first nine months results of 1998 as announced by both companies.</w:t>
      </w:r>
    </w:p>
    <w:p>
      <w:pPr>
        <w:spacing w:after="0" w:line="164" w:lineRule="exact"/>
        <w:rPr>
          <w:sz w:val="20"/>
          <w:szCs w:val="20"/>
          <w:color w:val="auto"/>
        </w:rPr>
      </w:pPr>
    </w:p>
    <w:p>
      <w:pPr>
        <w:ind w:right="80" w:firstLine="611"/>
        <w:spacing w:after="0" w:line="251" w:lineRule="auto"/>
        <w:tabs>
          <w:tab w:leader="none" w:pos="86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Forecast Contribution Analysis. J.P. Morgan reviewed and analyzed the then most current First Call earnings and after-tax operating cash flow forecasts for 1998, 1999 and 2000. J.P. Morgan observed that Exxon was forecast to contribute between 70% and 73% of the future earnings and cash flow of a combined Exxon Mobil</w:t>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9 months to</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w w:val="99"/>
              </w:rPr>
              <w:t>Sep 30, 1998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71.3%</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73.0%</w:t>
            </w:r>
          </w:p>
        </w:tc>
      </w:tr>
      <w:tr>
        <w:trPr>
          <w:trHeight w:val="166"/>
        </w:trPr>
        <w:tc>
          <w:tcPr>
            <w:tcW w:w="7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67.6%</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68.7%</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71.7%</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72.1%</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72.6%</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66.0%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66.7%</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68.4%</w:t>
            </w: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66.1%</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67.1%</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68.6%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71.5%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70.5%</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68.5%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69.1%</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71.5%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66.4%</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67.2%</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66.3%</w:t>
            </w:r>
          </w:p>
        </w:tc>
      </w:tr>
      <w:tr>
        <w:trPr>
          <w:trHeight w:val="663"/>
        </w:trPr>
        <w:tc>
          <w:tcPr>
            <w:tcW w:w="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66.8%</w:t>
            </w:r>
          </w:p>
        </w:tc>
        <w:tc>
          <w:tcPr>
            <w:tcW w:w="12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73.0%</w:t>
            </w:r>
          </w:p>
        </w:tc>
        <w:tc>
          <w:tcPr>
            <w:tcW w:w="1200" w:type="dxa"/>
            <w:vAlign w:val="bottom"/>
          </w:tcPr>
          <w:p>
            <w:pPr>
              <w:spacing w:after="0"/>
              <w:rPr>
                <w:sz w:val="14"/>
                <w:szCs w:val="14"/>
                <w:color w:val="auto"/>
              </w:rPr>
            </w:pPr>
          </w:p>
        </w:tc>
      </w:tr>
    </w:tbl>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66.6%</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65.7%</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61.9%</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61.2%</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63.1%</w:t>
      </w:r>
    </w:p>
    <w:p>
      <w:pPr>
        <w:sectPr>
          <w:pgSz w:w="11900" w:h="16838" w:orient="portrait"/>
          <w:cols w:equalWidth="0" w:num="2">
            <w:col w:w="6900" w:space="340"/>
            <w:col w:w="2999"/>
          </w:cols>
          <w:pgMar w:left="220" w:top="782" w:right="1440" w:bottom="1440" w:gutter="0" w:footer="0" w:header="0"/>
        </w:sectPr>
      </w:pPr>
    </w:p>
    <w:bookmarkStart w:id="51" w:name="page52"/>
    <w:bookmarkEnd w:id="5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entity. J.P. Morgan compared this range of forecasted contribution with the approximately 70% continuing ownership stake that Exxon's shareholders would have in the combined company following the merger.</w:t>
      </w:r>
    </w:p>
    <w:p>
      <w:pPr>
        <w:spacing w:after="0" w:line="163" w:lineRule="exact"/>
        <w:rPr>
          <w:sz w:val="20"/>
          <w:szCs w:val="20"/>
          <w:color w:val="auto"/>
        </w:rPr>
      </w:pPr>
    </w:p>
    <w:p>
      <w:pPr>
        <w:ind w:right="3339" w:firstLine="611"/>
        <w:spacing w:after="0" w:line="251" w:lineRule="auto"/>
        <w:tabs>
          <w:tab w:leader="none" w:pos="8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Pro Forma Merger Analysis. J.P. Morgan analyzed the then-current pro forma Exxon earnings per share forecasts for 1999, 2000 and 2001 based on First Call estimates. The analysis showed, assuming $2.8 billion in synergies phased in over three years, on an equivalent share basis, that the merger would be accretive from 1999 to Exxon's shareholders, excluding non-recurring integration-related costs.</w:t>
      </w:r>
    </w:p>
    <w:p>
      <w:pPr>
        <w:spacing w:after="0" w:line="164"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of Selected Comparable Transactions. J.P. Morgan reviewed 38 recently announced or closed large capitalization stock-for-stock transactions. J.P. Morgan then compared the implied premiums resulting from the smaller company's share of the pro forma combined company resulting from the transaction as compared with the smaller company's market capitalization relative to the combined market capitalization of the companies prior to announcement of the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J.P. Morgan's analysis showed that for transactions involving smaller companies with a relative market capitalization comparable to that of Mobil pre-announcement, a premium of 15% to 25% matched market precedent. The analysis indicated that, based on the closing share prices on November 30, 1998, the day prior to announcement of the merger, the implied premium paid to Mobil shareholders would be approximately 10%. The analysis also indicated that, based on closing share prices on November 24, 1998, two trading days before Exxon and Mobil issued a joint press release confirming that they were in discussions concerning a possible merger, the implied premium paid to Mobil shareholders would be approximately 20%.</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summary set forth above is not a complete description of the analyses or data presented by J.P. Morgan. The preparation of a fairness opinion is a complex process and is not necessarily susceptible to partial analysis or summary description. In arriving at its opinion, J.P. Morgan considered the results of all of its analyses as a whole and did not attribute any particular weight to any analysis or factor considered by it. Furthermore, J.P. Morgan believes that selecting any portion of its analyses, without considering all analyses, would create an incomplete view of the process underlying its opinion. In addition, J.P. Morgan may have given various analyses and factors more or less weight than other analyses and factors, and may have deemed various assumptions more or less probable than other assumptions, so that the ranges of valuation resulting from any particular analysis described should not be taken as J.P. Morgan's view of the actual value of Exxon or Mobil. In performing its analyses, J.P. Morgan made numerous assumptions with respect to industry performance, general business and economic conditions and other matters, many of which are beyond the control of Exxon and Mobil. Any estimates contained in J.P. Morgan's analyses are not necessarily indicative of future results or actual values, which may be significantly more or less favorable than those suggested by such estimates.</w:t>
      </w:r>
    </w:p>
    <w:p>
      <w:pPr>
        <w:spacing w:after="0" w:line="33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 J.P. Morgan was selected to advise Exxon and to deliver a fairness opinion with respect to the merger on the basis of such experience and its familiarity with Exxon.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a letter agreement dated November 9, 1998, Exxon engaged J.P. Morgan as its exclusive financial advisor in connection with the merger. Pursuant to the terms of the J.P. Morgan engagement letter, Exxon has agreed to pay J.P. Morgan a fee equal to (i) $100,000 per month and (ii) $8,000,000 payable upon the consummation of the merger or acquisition of a majority of the common stock or assets of Mobil by Exxon, with up to $2,400,000 of the fees paid pursuant to clause (i) above to be creditable to any fees that become payable pursuant to clause (ii) above. In addition, Exxon has agreed to reimburse J.P. Morgan for its reasonable expenses incurred in connection with its services, including the fees and disbursements of counsel, and will indemnify J.P. Morgan against certain liabilities arising out of J.P. Morgan's engagement, including liabilities under the federal securities laws. The SEC has taken the position that such indemnification under the federal securities laws may not be enforceable if it is found to be against public policy.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I-43</w:t>
      </w:r>
    </w:p>
    <w:p>
      <w:pPr>
        <w:sectPr>
          <w:pgSz w:w="11900" w:h="16838" w:orient="portrait"/>
          <w:cols w:equalWidth="0" w:num="1">
            <w:col w:w="10239"/>
          </w:cols>
          <w:pgMar w:left="220" w:top="78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J.P. Morgan has in the past provided financial advisory services to a subsidiary of Exxon, and in the past has provided financial advisory and other services to Mobil. In addition, Mr. Raymond has been a member of J.P. Morgan's board of directors since 1987. As a result, a potential conflict of interest could be deemed to exist. The Exxon Board did not consider this potential conflict to be significant either to the selection of J.P. Morgan as financial advisor or to relying on J.P. Morgan's opinion. In the ordinary course of their businesses, J.P. Morgan and its affiliates may actively trade the debt and equity securities of Exxon or Mobil for their own account or for the accounts of customers and, accordingly, they may at any time hold long or short positions in such securities.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Mobil Financial Advisor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1, 1998, Goldman Sachs delivered its written opinion to the Mobil Board that, as of the date of such opinion, the exchange ratio pursuant to the merger agreement was fair from a financial point of view to the holders of Mobil common stock. Goldman Sachs reconfirmed its December 1, 1998 opinion by delivery of its written opinion dated as of April 2, 1999.</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full text of the written opinion of Goldman Sachs, dated April 2, 1999, which sets forth assumptions made, matters considered and limitations on the review undertaken in connection with the opinion is attached as Annex D and is incorporated by reference. Mobil shareholders are urged to, and should, read such opinion in its entirety.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its opinion, Goldman Sachs reviewed, among other things:</w:t>
      </w:r>
    </w:p>
    <w:p>
      <w:pPr>
        <w:spacing w:after="0" w:line="173" w:lineRule="exact"/>
        <w:rPr>
          <w:sz w:val="20"/>
          <w:szCs w:val="20"/>
          <w:color w:val="auto"/>
        </w:rPr>
      </w:pPr>
    </w:p>
    <w:p>
      <w:pPr>
        <w:ind w:left="1040" w:hanging="343"/>
        <w:spacing w:after="0"/>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option agreement;</w:t>
      </w:r>
    </w:p>
    <w:p>
      <w:pPr>
        <w:spacing w:after="0" w:line="172" w:lineRule="exact"/>
        <w:rPr>
          <w:rFonts w:ascii="Courier New" w:cs="Courier New" w:eastAsia="Courier New" w:hAnsi="Courier New"/>
          <w:sz w:val="14"/>
          <w:szCs w:val="14"/>
          <w:color w:val="auto"/>
        </w:rPr>
      </w:pPr>
    </w:p>
    <w:p>
      <w:pPr>
        <w:ind w:left="1040" w:right="3339" w:hanging="343"/>
        <w:spacing w:after="0" w:line="251"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Reports to Stockholders and Annual Reports on Form 10-K of Mobil and Exxon for the five years ended December 31, 1997 and, in the case of its reconfirmed opinion, the Annual Reports on Form 10-K of Mobil and Exxon for the year ended December 31, 1998 and this document;</w:t>
      </w:r>
    </w:p>
    <w:p>
      <w:pPr>
        <w:spacing w:after="0" w:line="164"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interim reports to shareholders and Quarterly Reports on Form 10-Q of Mobil and Exxon;</w:t>
      </w:r>
    </w:p>
    <w:p>
      <w:pPr>
        <w:spacing w:after="0" w:line="159" w:lineRule="exact"/>
        <w:rPr>
          <w:rFonts w:ascii="Courier New" w:cs="Courier New" w:eastAsia="Courier New" w:hAnsi="Courier New"/>
          <w:sz w:val="14"/>
          <w:szCs w:val="14"/>
          <w:color w:val="auto"/>
        </w:rPr>
      </w:pPr>
    </w:p>
    <w:p>
      <w:pPr>
        <w:ind w:left="1040" w:right="4199" w:hanging="343"/>
        <w:spacing w:after="0" w:line="255"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communications from Mobil and Exxon to their respective shareholders;</w:t>
      </w:r>
    </w:p>
    <w:p>
      <w:pPr>
        <w:spacing w:after="0" w:line="159"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internal financial analyses and forecasts for Mobil prepared by its management; and</w:t>
      </w:r>
    </w:p>
    <w:p>
      <w:pPr>
        <w:spacing w:after="0" w:line="159" w:lineRule="exact"/>
        <w:rPr>
          <w:rFonts w:ascii="Courier New" w:cs="Courier New" w:eastAsia="Courier New" w:hAnsi="Courier New"/>
          <w:sz w:val="14"/>
          <w:szCs w:val="14"/>
          <w:color w:val="auto"/>
        </w:rPr>
      </w:pPr>
    </w:p>
    <w:p>
      <w:pPr>
        <w:ind w:left="960" w:right="4019" w:hanging="263"/>
        <w:spacing w:after="0" w:line="255" w:lineRule="auto"/>
        <w:tabs>
          <w:tab w:leader="none" w:pos="9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cost savings and operating synergies projected by the managements of Mobil and Exxon to result from the merger.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Goldman Sachs also held discussions with members of the senior management of Mobil regarding the strategic rationale for, and the potential benefits of, the merger and Mobil's past and current business operations, financial condition and future prospects. Goldman Sachs reviewed forecasts regarding selected measures of future operating and financial performance of Exxon in summary form prepared by management of Mobil based on its discussions with management of Exxon. Internal financial analyses and forecasts prepared by Exxon were not otherwise made available for review by Goldman Sachs. In addition, Goldman Sachs:</w:t>
      </w:r>
    </w:p>
    <w:p>
      <w:pPr>
        <w:spacing w:after="0" w:line="329" w:lineRule="exact"/>
        <w:rPr>
          <w:sz w:val="20"/>
          <w:szCs w:val="20"/>
          <w:color w:val="auto"/>
        </w:rPr>
      </w:pPr>
    </w:p>
    <w:p>
      <w:pPr>
        <w:ind w:left="960" w:right="3679" w:hanging="263"/>
        <w:spacing w:after="0" w:line="255" w:lineRule="auto"/>
        <w:tabs>
          <w:tab w:leader="none" w:pos="9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 and trading activity for Mobil common stock and Exxon common stock;</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certain financial and stock market information for Mobil and Exxon with similar information for certain other companies the securities of which are publicly traded;</w:t>
      </w:r>
    </w:p>
    <w:p>
      <w:pPr>
        <w:spacing w:after="0" w:line="16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certain recent business combinations; and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I-44</w:t>
      </w:r>
    </w:p>
    <w:p>
      <w:pPr>
        <w:sectPr>
          <w:pgSz w:w="11900" w:h="16838" w:orient="portrait"/>
          <w:cols w:equalWidth="0" w:num="1">
            <w:col w:w="10239"/>
          </w:cols>
          <w:pgMar w:left="220" w:top="782" w:right="1440" w:bottom="1440" w:gutter="0" w:footer="0" w:header="0"/>
        </w:sectPr>
      </w:pPr>
    </w:p>
    <w:bookmarkStart w:id="53" w:name="page54"/>
    <w:bookmarkEnd w:id="5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4279" w:hanging="263"/>
        <w:spacing w:after="0" w:line="255" w:lineRule="auto"/>
        <w:tabs>
          <w:tab w:leader="none" w:pos="9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studies and analyses as it considered appropriate.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Goldman Sachs relied upon the accuracy and completeness of all of the financial and other information reviewed by it and assumed such accuracy and completeness for purposes of rendering its opinion. In that regard, Goldman Sachs assumed, with the consent of the Mobil Board, that the synergies were reasonably prepared on a basis reflecting the best available estimates and judgments of Mobil and Exxon as of the date of its opinion. Goldman Sachs also assumed, with the consent of the Mobil Board, that the merger will be accounted for as a pooling of interests under generally accepted accounting principles. Goldman Sachs also has assumed that all material governmental, regulatory or other consents and approvals necessary for the completion of the merger will be obtained without any meaningful adverse effect on Mobil or Exxon. In addition, Goldman Sachs did not make an independent evaluation or appraisal of the assets and liabilities of Mobil or Exxon or any of their subsidiaries and Goldman Sachs was not furnished with any such evaluation or appraisal. The opinion of Goldman Sachs was provided for the information and assistance of the Mobil Board in connection with its consideration of the merger and is not a recommendation as to how any holder of shares of Mobil common stock should vote.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is a summary of the material financial analyses used by Goldman Sachs in connection with providing its written opinion to the Mobil Board on December 1, 1998. Goldman Sachs utilized substantially the same types of financial analyses in connection with providing its opinion dated April 2, 1999.</w:t>
      </w:r>
    </w:p>
    <w:p>
      <w:pPr>
        <w:spacing w:after="0" w:line="165" w:lineRule="exact"/>
        <w:rPr>
          <w:sz w:val="20"/>
          <w:szCs w:val="20"/>
          <w:color w:val="auto"/>
        </w:rPr>
      </w:pPr>
    </w:p>
    <w:p>
      <w:pPr>
        <w:ind w:right="3419" w:firstLine="611"/>
        <w:spacing w:after="0" w:line="251" w:lineRule="auto"/>
        <w:tabs>
          <w:tab w:leader="none" w:pos="86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Stock Trading Analysis. Goldman Sachs reviewed the average historical trading prices for the shares of Mobil common stock. In addition, Goldman Sachs analyzed the consideration to be received by holders of Mobil common stock pursuant to the merger agreement in relation to the average per share closing price of Mobil common stock for the one week, one month, three month, six month, one year, three year, five year and ten year periods ended November 24, 1998 and in relation to the closing price of Mobil common stock on November 24, 1998 and November 30, 1998. November 24, 1998 was chosen as a reference date because it was the last trading day prior to public reports that Mobil and Exxon were discussing a potential business combination transaction.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analysis was based on the exchange ratio of 1.32015 and the per share price of Exxon common stock of $75.00 on November 30, 1998, the last trading day prior to the announcement of the execution of the merger agreement. The analysis indicated that the consideration per share of Mobil common stock to be received by holders of Mobil common stock pursuant to the merger agreement:</w:t>
      </w:r>
    </w:p>
    <w:p>
      <w:pPr>
        <w:spacing w:after="0" w:line="165" w:lineRule="exact"/>
        <w:rPr>
          <w:sz w:val="20"/>
          <w:szCs w:val="20"/>
          <w:color w:val="auto"/>
        </w:rPr>
      </w:pPr>
    </w:p>
    <w:p>
      <w:pPr>
        <w:ind w:left="960" w:right="3339" w:hanging="263"/>
        <w:spacing w:after="0" w:line="252" w:lineRule="auto"/>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average closing price for the one week, one month, three month, six month and one year periods ending November 24, 1998, represented a premium of 33.4%, 33.6%, 31.5%, 32.5% and 33.4%, respectively;</w:t>
      </w:r>
    </w:p>
    <w:p>
      <w:pPr>
        <w:spacing w:after="0" w:line="162" w:lineRule="exact"/>
        <w:rPr>
          <w:rFonts w:ascii="Courier New" w:cs="Courier New" w:eastAsia="Courier New" w:hAnsi="Courier New"/>
          <w:sz w:val="14"/>
          <w:szCs w:val="14"/>
          <w:color w:val="auto"/>
        </w:rPr>
      </w:pPr>
    </w:p>
    <w:p>
      <w:pPr>
        <w:jc w:val="both"/>
        <w:ind w:left="960" w:right="3599" w:hanging="263"/>
        <w:spacing w:after="0" w:line="252" w:lineRule="auto"/>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closing price of Mobil common stock on November 24, 1998 and November 30, 1998, represented a premium of 32.1% and 15.1%, respectively; and</w:t>
      </w:r>
    </w:p>
    <w:p>
      <w:pPr>
        <w:spacing w:after="0" w:line="162" w:lineRule="exact"/>
        <w:rPr>
          <w:rFonts w:ascii="Courier New" w:cs="Courier New" w:eastAsia="Courier New" w:hAnsi="Courier New"/>
          <w:sz w:val="14"/>
          <w:szCs w:val="14"/>
          <w:color w:val="auto"/>
        </w:rPr>
      </w:pPr>
    </w:p>
    <w:p>
      <w:pPr>
        <w:ind w:left="960" w:right="3419" w:hanging="263"/>
        <w:spacing w:after="0" w:line="252" w:lineRule="auto"/>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closing price of Mobil common stock on May 1, 1998, the date of Mobil's all time high closing stock price prior to November 25, 1998, represented a premium of 19.9%.</w:t>
      </w:r>
    </w:p>
    <w:p>
      <w:pPr>
        <w:spacing w:after="0" w:line="163" w:lineRule="exact"/>
        <w:rPr>
          <w:sz w:val="20"/>
          <w:szCs w:val="20"/>
          <w:color w:val="auto"/>
        </w:rPr>
      </w:pPr>
    </w:p>
    <w:p>
      <w:pPr>
        <w:ind w:right="3339" w:firstLine="611"/>
        <w:spacing w:after="0" w:line="251" w:lineRule="auto"/>
        <w:tabs>
          <w:tab w:leader="none" w:pos="86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Ratio Analysis. Goldman Sachs calculated the average of the historical daily exchange ratios of Exxon common stock to Mobil common stock based on the closing prices of Exxon common stock and Mobil common stock for the one week, one month, three month, six month and one year periods ended November 24, 1998. Such analysis indicated:</w:t>
      </w:r>
    </w:p>
    <w:p>
      <w:pPr>
        <w:spacing w:after="0" w:line="165" w:lineRule="exact"/>
        <w:rPr>
          <w:sz w:val="20"/>
          <w:szCs w:val="20"/>
          <w:color w:val="auto"/>
        </w:rPr>
      </w:pPr>
    </w:p>
    <w:p>
      <w:pPr>
        <w:ind w:left="960" w:right="3339" w:hanging="263"/>
        <w:spacing w:after="0" w:line="252" w:lineRule="auto"/>
        <w:tabs>
          <w:tab w:leader="none" w:pos="9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average exchange ratios over such periods were 1.041, 1.035, 1.064, 1.059 and 1.096, respectively, compared to the exchange ratio of 1.32015 pursuant to the merger agreement;</w:t>
      </w:r>
    </w:p>
    <w:p>
      <w:pPr>
        <w:spacing w:after="0" w:line="162" w:lineRule="exact"/>
        <w:rPr>
          <w:rFonts w:ascii="Courier New" w:cs="Courier New" w:eastAsia="Courier New" w:hAnsi="Courier New"/>
          <w:sz w:val="14"/>
          <w:szCs w:val="14"/>
          <w:color w:val="auto"/>
        </w:rPr>
      </w:pPr>
    </w:p>
    <w:p>
      <w:pPr>
        <w:ind w:left="960" w:right="3779" w:hanging="263"/>
        <w:spacing w:after="0" w:line="252" w:lineRule="auto"/>
        <w:tabs>
          <w:tab w:leader="none" w:pos="9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average exchange ratio since the closing price of Mobil common stock on May 1, 1998, the date of Mobil's all time high closing price prior to November 25, 1998, was 1.092; and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I-45</w:t>
      </w:r>
    </w:p>
    <w:p>
      <w:pPr>
        <w:sectPr>
          <w:pgSz w:w="11900" w:h="16838" w:orient="portrait"/>
          <w:cols w:equalWidth="0" w:num="1">
            <w:col w:w="10239"/>
          </w:cols>
          <w:pgMar w:left="220" w:top="78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419" w:hanging="263"/>
        <w:spacing w:after="0" w:line="252" w:lineRule="auto"/>
        <w:tabs>
          <w:tab w:leader="none" w:pos="9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exchange ratio of 1.147 for the closing price of Exxon common stock to Mobil common stock on November 30, 1998, as compared to the exchange ratio of 1.32015 pursuant to the merger agreement.</w:t>
      </w:r>
    </w:p>
    <w:p>
      <w:pPr>
        <w:spacing w:after="0" w:line="163" w:lineRule="exact"/>
        <w:rPr>
          <w:sz w:val="20"/>
          <w:szCs w:val="20"/>
          <w:color w:val="auto"/>
        </w:rPr>
      </w:pPr>
    </w:p>
    <w:p>
      <w:pPr>
        <w:ind w:right="3339" w:firstLine="611"/>
        <w:spacing w:after="0" w:line="250" w:lineRule="auto"/>
        <w:tabs>
          <w:tab w:leader="none" w:pos="86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Analysis. Goldman Sachs reviewed certain historical and estimated future operating and financial information, including, among other things, equity market value, levered value, total assets, shareholders' equity, earnings before interest, taxes, depreciation and amortization ("EBITDA"), net income and discretionary cash flow for Exxon, Mobil and the pro forma combined company resulting from the merger. Levered value is market value of equity plus book value of debt less cash. Discretionary cash flow is net income plus depreciation, depletion, amortization, deferred taxes and exploration expenses. This analysis indicated that, excluding shares of Mobil common stock held in trust pursuant to the Trust Agreement, dated June 29, 1992, as amended, between Mobil and Bankers Trust (Delaware), holders of Mobil common stock would receive 30% of the outstanding common equity of the pro forma combined company after the merger based on the exchange ratio of 1.32015 and contribute 25%, 26%, 31% and 34% of the equity market value, levered value, total assets and 1997 EBITDA of the pro forma combined company, respectively.</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Goldman Sachs also analyzed the relative income statement contribution of Mobil and Exxon to the pro forma combined company resulting from the merger, before taking into account any of the possible benefits that may be realized following the merger, for 1997 and estimated years 1998, 1999 and 2000, based on I/B/E/S International Inc. estimates of earnings and cash flows.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these analyses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Contribution</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of Mobil</w:t>
            </w:r>
          </w:p>
        </w:tc>
        <w:tc>
          <w:tcPr>
            <w:tcW w:w="4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29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to the Pro Forma Combined Company</w:t>
            </w:r>
          </w:p>
        </w:tc>
      </w:tr>
      <w:tr>
        <w:trPr>
          <w:trHeight w:val="166"/>
        </w:trPr>
        <w:tc>
          <w:tcPr>
            <w:tcW w:w="3580" w:type="dxa"/>
            <w:vAlign w:val="bottom"/>
          </w:tcPr>
          <w:p>
            <w:pPr>
              <w:spacing w:after="0"/>
              <w:rPr>
                <w:sz w:val="14"/>
                <w:szCs w:val="14"/>
                <w:color w:val="auto"/>
              </w:rPr>
            </w:pPr>
          </w:p>
        </w:tc>
        <w:tc>
          <w:tcPr>
            <w:tcW w:w="29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1998E</w:t>
            </w:r>
          </w:p>
        </w:tc>
        <w:tc>
          <w:tcPr>
            <w:tcW w:w="8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1999E</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rPr>
              <w:t>2000E</w:t>
            </w:r>
          </w:p>
        </w:tc>
      </w:tr>
      <w:tr>
        <w:trPr>
          <w:trHeight w:val="166"/>
        </w:trPr>
        <w:tc>
          <w:tcPr>
            <w:tcW w:w="358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29%</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w w:val="95"/>
              </w:rPr>
              <w:t>30%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Discretionary Cash Flow.................</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w w:val="95"/>
              </w:rPr>
              <w:t>33%</w:t>
            </w:r>
          </w:p>
        </w:tc>
      </w:tr>
    </w:tbl>
    <w:p>
      <w:pPr>
        <w:spacing w:after="0" w:line="335" w:lineRule="exact"/>
        <w:rPr>
          <w:sz w:val="20"/>
          <w:szCs w:val="20"/>
          <w:color w:val="auto"/>
        </w:rPr>
      </w:pPr>
    </w:p>
    <w:p>
      <w:pPr>
        <w:ind w:right="3339" w:firstLine="611"/>
        <w:spacing w:after="0" w:line="252" w:lineRule="auto"/>
        <w:tabs>
          <w:tab w:leader="none" w:pos="86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Companies Analysis. Goldman Sachs reviewed and compared certain financial information, ratios and public market multiples relating to Mobil to corresponding financial information, ratios and public market multiples for the following six publicly traded companies:</w:t>
      </w:r>
    </w:p>
    <w:p>
      <w:pPr>
        <w:spacing w:after="0" w:line="162" w:lineRule="exact"/>
        <w:rPr>
          <w:sz w:val="20"/>
          <w:szCs w:val="20"/>
          <w:color w:val="auto"/>
        </w:rPr>
      </w:pPr>
    </w:p>
    <w:p>
      <w:pPr>
        <w:ind w:left="1040" w:hanging="343"/>
        <w:spacing w:after="0"/>
        <w:tabs>
          <w:tab w:leader="none" w:pos="10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British Petroleum Company plc,</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Chevron Corporation,</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Royal Dutch Petroleum Company,</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Shell Transport &amp; Trading Co. plc, and</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Texaco Inc.</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selected companies were chosen because they are publicly traded companies that for purposes of analysis may be considered similar to Mobil.</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Goldman Sachs calculated and compared various financial multiples and ratios. The multiples of Mobil were calculated using a price of $74.94 per share, the closing price of Mobil common stock on November 24, 1998, the last trading day prior to public reports that Mobil and Exxon were discussing a potential business combination. The multiples and ratios for Mobil and for each of the selected companies were based on the most recent publicly available information.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I-46</w:t>
      </w:r>
    </w:p>
    <w:p>
      <w:pPr>
        <w:sectPr>
          <w:pgSz w:w="11900" w:h="16838" w:orient="portrait"/>
          <w:cols w:equalWidth="0" w:num="1">
            <w:col w:w="10239"/>
          </w:cols>
          <w:pgMar w:left="220" w:top="782" w:right="1440" w:bottom="1440" w:gutter="0" w:footer="0" w:header="0"/>
        </w:sectPr>
      </w:pPr>
    </w:p>
    <w:bookmarkStart w:id="55" w:name="page56"/>
    <w:bookmarkEnd w:id="5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these analyses are as follows:</w:t>
      </w:r>
    </w:p>
    <w:p>
      <w:pPr>
        <w:spacing w:after="0" w:line="338"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The Selected Companies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5680" w:val="left"/>
        </w:tabs>
        <w:rPr>
          <w:sz w:val="20"/>
          <w:szCs w:val="20"/>
          <w:color w:val="auto"/>
        </w:rPr>
      </w:pPr>
      <w:r>
        <w:rPr>
          <w:rFonts w:ascii="Courier New" w:cs="Courier New" w:eastAsia="Courier New" w:hAnsi="Courier New"/>
          <w:sz w:val="14"/>
          <w:szCs w:val="14"/>
          <w:color w:val="auto"/>
        </w:rPr>
        <w:t>1998E range</w:t>
      </w:r>
      <w:r>
        <w:rPr>
          <w:sz w:val="20"/>
          <w:szCs w:val="20"/>
          <w:color w:val="auto"/>
        </w:rPr>
        <w:tab/>
      </w:r>
      <w:r>
        <w:rPr>
          <w:rFonts w:ascii="Courier New" w:cs="Courier New" w:eastAsia="Courier New" w:hAnsi="Courier New"/>
          <w:sz w:val="14"/>
          <w:szCs w:val="14"/>
          <w:color w:val="auto"/>
        </w:rPr>
        <w:t>1999E range</w:t>
      </w:r>
    </w:p>
    <w:p>
      <w:pPr>
        <w:spacing w:after="0" w:line="7" w:lineRule="exact"/>
        <w:rPr>
          <w:sz w:val="20"/>
          <w:szCs w:val="20"/>
          <w:color w:val="auto"/>
        </w:rPr>
      </w:pPr>
    </w:p>
    <w:p>
      <w:pPr>
        <w:ind w:left="398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040" w:val="left"/>
          <w:tab w:leader="none" w:pos="5580" w:val="left"/>
        </w:tabs>
        <w:rPr>
          <w:sz w:val="20"/>
          <w:szCs w:val="20"/>
          <w:color w:val="auto"/>
        </w:rPr>
      </w:pPr>
      <w:r>
        <w:rPr>
          <w:rFonts w:ascii="Courier New" w:cs="Courier New" w:eastAsia="Courier New" w:hAnsi="Courier New"/>
          <w:sz w:val="14"/>
          <w:szCs w:val="14"/>
          <w:color w:val="auto"/>
        </w:rPr>
        <w:t>Price/earnings ratio........................</w:t>
      </w:r>
      <w:r>
        <w:rPr>
          <w:sz w:val="20"/>
          <w:szCs w:val="20"/>
          <w:color w:val="auto"/>
        </w:rPr>
        <w:tab/>
      </w:r>
      <w:r>
        <w:rPr>
          <w:rFonts w:ascii="Courier New" w:cs="Courier New" w:eastAsia="Courier New" w:hAnsi="Courier New"/>
          <w:sz w:val="14"/>
          <w:szCs w:val="14"/>
          <w:color w:val="auto"/>
        </w:rPr>
        <w:t>26.4x - 29.6x</w:t>
      </w:r>
      <w:r>
        <w:rPr>
          <w:sz w:val="20"/>
          <w:szCs w:val="20"/>
          <w:color w:val="auto"/>
        </w:rPr>
        <w:tab/>
      </w:r>
      <w:r>
        <w:rPr>
          <w:rFonts w:ascii="Courier New" w:cs="Courier New" w:eastAsia="Courier New" w:hAnsi="Courier New"/>
          <w:sz w:val="14"/>
          <w:szCs w:val="14"/>
          <w:color w:val="auto"/>
        </w:rPr>
        <w:t>19.3x - 23.8x</w:t>
      </w:r>
    </w:p>
    <w:p>
      <w:pPr>
        <w:spacing w:after="0" w:line="7" w:lineRule="exact"/>
        <w:rPr>
          <w:sz w:val="20"/>
          <w:szCs w:val="20"/>
          <w:color w:val="auto"/>
        </w:rPr>
      </w:pPr>
    </w:p>
    <w:p>
      <w:pPr>
        <w:spacing w:after="0"/>
        <w:tabs>
          <w:tab w:leader="none" w:pos="4040" w:val="left"/>
          <w:tab w:leader="none" w:pos="5680" w:val="left"/>
        </w:tabs>
        <w:rPr>
          <w:sz w:val="20"/>
          <w:szCs w:val="20"/>
          <w:color w:val="auto"/>
        </w:rPr>
      </w:pPr>
      <w:r>
        <w:rPr>
          <w:rFonts w:ascii="Courier New" w:cs="Courier New" w:eastAsia="Courier New" w:hAnsi="Courier New"/>
          <w:sz w:val="14"/>
          <w:szCs w:val="14"/>
          <w:color w:val="auto"/>
        </w:rPr>
        <w:t>Price/cash flow ratio.......................</w:t>
      </w:r>
      <w:r>
        <w:rPr>
          <w:sz w:val="20"/>
          <w:szCs w:val="20"/>
          <w:color w:val="auto"/>
        </w:rPr>
        <w:tab/>
      </w:r>
      <w:r>
        <w:rPr>
          <w:rFonts w:ascii="Courier New" w:cs="Courier New" w:eastAsia="Courier New" w:hAnsi="Courier New"/>
          <w:sz w:val="14"/>
          <w:szCs w:val="14"/>
          <w:color w:val="auto"/>
        </w:rPr>
        <w:t>10.0x - 13.6x</w:t>
      </w:r>
      <w:r>
        <w:rPr>
          <w:sz w:val="20"/>
          <w:szCs w:val="20"/>
          <w:color w:val="auto"/>
        </w:rPr>
        <w:tab/>
      </w:r>
      <w:r>
        <w:rPr>
          <w:rFonts w:ascii="Courier New" w:cs="Courier New" w:eastAsia="Courier New" w:hAnsi="Courier New"/>
          <w:sz w:val="14"/>
          <w:szCs w:val="14"/>
          <w:color w:val="auto"/>
        </w:rPr>
        <w:t>8.5x - 12.5x</w:t>
      </w:r>
    </w:p>
    <w:p>
      <w:pPr>
        <w:spacing w:after="0" w:line="338" w:lineRule="exact"/>
        <w:rPr>
          <w:sz w:val="20"/>
          <w:szCs w:val="20"/>
          <w:color w:val="auto"/>
        </w:rPr>
      </w:pPr>
    </w:p>
    <w:p>
      <w:pPr>
        <w:ind w:firstLine="431"/>
        <w:spacing w:after="0" w:line="255" w:lineRule="auto"/>
        <w:rPr>
          <w:sz w:val="20"/>
          <w:szCs w:val="20"/>
          <w:color w:val="auto"/>
        </w:rPr>
      </w:pPr>
      <w:r>
        <w:rPr>
          <w:rFonts w:ascii="Courier New" w:cs="Courier New" w:eastAsia="Courier New" w:hAnsi="Courier New"/>
          <w:sz w:val="14"/>
          <w:szCs w:val="14"/>
          <w:color w:val="auto"/>
        </w:rPr>
        <w:t>The review also indicated that the dividend yield of the selected companies ranged from 2.22% to 3.12%, compared to 3.04% for Mobil.</w:t>
      </w:r>
    </w:p>
    <w:p>
      <w:pPr>
        <w:spacing w:after="0" w:line="160" w:lineRule="exact"/>
        <w:rPr>
          <w:sz w:val="20"/>
          <w:szCs w:val="20"/>
          <w:color w:val="auto"/>
        </w:rPr>
      </w:pPr>
    </w:p>
    <w:p>
      <w:pPr>
        <w:ind w:firstLine="611"/>
        <w:spacing w:after="0" w:line="251" w:lineRule="auto"/>
        <w:tabs>
          <w:tab w:leader="none" w:pos="86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Merger Analysis. Goldman Sachs prepared a pro forma analysis of the financial impact of the merger. Using I/B/E/S International Inc. earnings estimates for 1999 and 2000, Goldman Sachs compared the earnings per share of Mobil common stock on a stand-alone basis and Exxon common stock on a stand-alone basis, to the earnings per share of the common stock of the pro forma combined company. Goldman Sachs performed this analysis based on the exchange ratio of 1.32015 and under three scenarios reflecting cost savings and operating synergies projected by the management of Mobil and Exxon to result from the merger:</w:t>
      </w:r>
    </w:p>
    <w:p>
      <w:pPr>
        <w:spacing w:after="0" w:line="329" w:lineRule="exact"/>
        <w:rPr>
          <w:sz w:val="20"/>
          <w:szCs w:val="20"/>
          <w:color w:val="auto"/>
        </w:rPr>
      </w:pPr>
    </w:p>
    <w:p>
      <w:pPr>
        <w:ind w:left="960" w:hanging="349"/>
        <w:spacing w:after="0"/>
        <w:tabs>
          <w:tab w:leader="none" w:pos="9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Scenario I - assuming no synergies;</w:t>
      </w:r>
    </w:p>
    <w:p>
      <w:pPr>
        <w:spacing w:after="0" w:line="172" w:lineRule="exact"/>
        <w:rPr>
          <w:rFonts w:ascii="Courier New" w:cs="Courier New" w:eastAsia="Courier New" w:hAnsi="Courier New"/>
          <w:sz w:val="14"/>
          <w:szCs w:val="14"/>
          <w:color w:val="auto"/>
        </w:rPr>
      </w:pPr>
    </w:p>
    <w:p>
      <w:pPr>
        <w:jc w:val="both"/>
        <w:ind w:left="960" w:hanging="349"/>
        <w:spacing w:after="0" w:line="252" w:lineRule="auto"/>
        <w:tabs>
          <w:tab w:leader="none" w:pos="9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Scenario II - assuming $950 million in pre-tax synergies are realized in 1999 and $1,820 million in pre-tax synergies are realized in 2000; and</w:t>
      </w:r>
    </w:p>
    <w:p>
      <w:pPr>
        <w:spacing w:after="0" w:line="162" w:lineRule="exact"/>
        <w:rPr>
          <w:rFonts w:ascii="Courier New" w:cs="Courier New" w:eastAsia="Courier New" w:hAnsi="Courier New"/>
          <w:sz w:val="14"/>
          <w:szCs w:val="14"/>
          <w:color w:val="auto"/>
        </w:rPr>
      </w:pPr>
    </w:p>
    <w:p>
      <w:pPr>
        <w:ind w:left="960" w:right="520" w:hanging="349"/>
        <w:spacing w:after="0" w:line="255" w:lineRule="auto"/>
        <w:tabs>
          <w:tab w:leader="none" w:pos="9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Scenario III - assuming $2,800 million in pre-tax synergies are realized in each of 1999 and 2000.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analysis indicated that:</w:t>
      </w:r>
    </w:p>
    <w:p>
      <w:pPr>
        <w:spacing w:after="0" w:line="173" w:lineRule="exact"/>
        <w:rPr>
          <w:sz w:val="20"/>
          <w:szCs w:val="20"/>
          <w:color w:val="auto"/>
        </w:rPr>
      </w:pPr>
    </w:p>
    <w:p>
      <w:pPr>
        <w:ind w:left="960" w:hanging="263"/>
        <w:spacing w:after="0" w:line="251" w:lineRule="auto"/>
        <w:tabs>
          <w:tab w:leader="none" w:pos="9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Scenario I, the merger would be dilutive - that is, would represent a reduction - to both 1999 and 2000 earnings per share of Exxon common stock on a stand-alone basis and would be accretive-that is, would represent an addition - to 1999 and 2000 earnings per share of Mobil common stock on a stand-alone basis; and</w:t>
      </w:r>
    </w:p>
    <w:p>
      <w:pPr>
        <w:spacing w:after="0" w:line="164" w:lineRule="exact"/>
        <w:rPr>
          <w:rFonts w:ascii="Courier New" w:cs="Courier New" w:eastAsia="Courier New" w:hAnsi="Courier New"/>
          <w:sz w:val="14"/>
          <w:szCs w:val="14"/>
          <w:color w:val="auto"/>
        </w:rPr>
      </w:pPr>
    </w:p>
    <w:p>
      <w:pPr>
        <w:ind w:left="960" w:hanging="263"/>
        <w:spacing w:after="0" w:line="252" w:lineRule="auto"/>
        <w:tabs>
          <w:tab w:leader="none" w:pos="9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Scenario II or Scenario III, the merger would be accretive in 1999 and 2000 to the earnings per share of Exxon common stock on a stand-alone basis and the earnings per share of Mobil common stock on a stand-alone basis.</w:t>
      </w:r>
    </w:p>
    <w:p>
      <w:pPr>
        <w:spacing w:after="0" w:line="162" w:lineRule="exact"/>
        <w:rPr>
          <w:sz w:val="20"/>
          <w:szCs w:val="20"/>
          <w:color w:val="auto"/>
        </w:rPr>
      </w:pPr>
    </w:p>
    <w:p>
      <w:pPr>
        <w:ind w:firstLine="611"/>
        <w:spacing w:after="0" w:line="251" w:lineRule="auto"/>
        <w:tabs>
          <w:tab w:leader="none" w:pos="86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Transactions Analysis. Goldman Sachs analyzed certain information relating to the proposed transaction in relation to certain publicly available information for 28 stock-for-stock transactions, substantially all of which were in excess of $10 billion. Such analysis indicated that for the selected transactions the premiums paid in such transactions as compared to:</w:t>
      </w:r>
    </w:p>
    <w:p>
      <w:pPr>
        <w:spacing w:after="0" w:line="165" w:lineRule="exact"/>
        <w:rPr>
          <w:sz w:val="20"/>
          <w:szCs w:val="20"/>
          <w:color w:val="auto"/>
        </w:rPr>
      </w:pPr>
    </w:p>
    <w:p>
      <w:pPr>
        <w:ind w:left="960" w:right="180" w:hanging="263"/>
        <w:spacing w:after="0" w:line="252"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price one day prior to the announcement of the transaction, ranged from a low of (5.8)% to a high of 58.8%, with a median of 12.1% and a mean of 17.0%, as compared to 15.1% for the proposed merger;</w:t>
      </w:r>
    </w:p>
    <w:p>
      <w:pPr>
        <w:spacing w:after="0" w:line="162" w:lineRule="exact"/>
        <w:rPr>
          <w:rFonts w:ascii="Courier New" w:cs="Courier New" w:eastAsia="Courier New" w:hAnsi="Courier New"/>
          <w:sz w:val="14"/>
          <w:szCs w:val="14"/>
          <w:color w:val="auto"/>
        </w:rPr>
      </w:pPr>
    </w:p>
    <w:p>
      <w:pPr>
        <w:ind w:left="960" w:hanging="263"/>
        <w:spacing w:after="0" w:line="250"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price one day prior to the date of any disclosure of the possible transaction (the "Disclosure Date"), ranged from a low of (5.2%) to a high of 70.5%, with a median of 20.7% and a mean of</w:t>
      </w:r>
    </w:p>
    <w:p>
      <w:pPr>
        <w:spacing w:after="0" w:line="1"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 as compared to 32.1% for the proposed transaction;</w:t>
      </w:r>
    </w:p>
    <w:p>
      <w:pPr>
        <w:spacing w:after="0" w:line="172" w:lineRule="exact"/>
        <w:rPr>
          <w:rFonts w:ascii="Courier New" w:cs="Courier New" w:eastAsia="Courier New" w:hAnsi="Courier New"/>
          <w:sz w:val="14"/>
          <w:szCs w:val="14"/>
          <w:color w:val="auto"/>
        </w:rPr>
      </w:pPr>
    </w:p>
    <w:p>
      <w:pPr>
        <w:ind w:left="960" w:right="440" w:hanging="263"/>
        <w:spacing w:after="0" w:line="252"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30-day average price prior to the Disclosure Date, ranged from a low of (1.8)% to a high of 76.0%, with a median of 18.6% and a mean of 28.1%, as compared to 33.6% for the proposed transaction;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4"/>
          <w:szCs w:val="14"/>
          <w:color w:val="auto"/>
        </w:rPr>
        <w:t>Mobil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Courier New" w:cs="Courier New" w:eastAsia="Courier New" w:hAnsi="Courier New"/>
                <w:sz w:val="14"/>
                <w:szCs w:val="14"/>
                <w:color w:val="auto"/>
              </w:rPr>
              <w:t>1998E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1999E</w:t>
            </w: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25.0x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20.1x</w:t>
            </w: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10.9x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9.6x</w:t>
            </w:r>
          </w:p>
        </w:tc>
      </w:tr>
    </w:tbl>
    <w:p>
      <w:pPr>
        <w:sectPr>
          <w:pgSz w:w="11900" w:h="16838" w:orient="portrait"/>
          <w:cols w:equalWidth="0" w:num="2">
            <w:col w:w="6900" w:space="520"/>
            <w:col w:w="2819"/>
          </w:cols>
          <w:pgMar w:left="220" w:top="78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779" w:hanging="263"/>
        <w:spacing w:after="0" w:line="252" w:lineRule="auto"/>
        <w:tabs>
          <w:tab w:leader="none" w:pos="9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90-day average price prior to the Disclosure Date, ranged from a low of (6.8)% to a high of 82.8%, with a median of 21.9% and a mean of 28.7%, as compared to 31.5% for the proposed transaction; and</w:t>
      </w:r>
    </w:p>
    <w:p>
      <w:pPr>
        <w:spacing w:after="0" w:line="162" w:lineRule="exact"/>
        <w:rPr>
          <w:rFonts w:ascii="Courier New" w:cs="Courier New" w:eastAsia="Courier New" w:hAnsi="Courier New"/>
          <w:sz w:val="14"/>
          <w:szCs w:val="14"/>
          <w:color w:val="auto"/>
        </w:rPr>
      </w:pPr>
    </w:p>
    <w:p>
      <w:pPr>
        <w:ind w:left="960" w:right="3419" w:hanging="263"/>
        <w:spacing w:after="0" w:line="250" w:lineRule="auto"/>
        <w:tabs>
          <w:tab w:leader="none" w:pos="9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daily exchange ratios for the 90-day period prior to the Disclosure Date, ranged from a low of (8.8)% to a high of 53.6%, with a median of 16.9% and a mean of 18.6%, as compared to</w:t>
      </w:r>
    </w:p>
    <w:p>
      <w:pPr>
        <w:spacing w:after="0" w:line="1"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 for the proposed transaction.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analysis further indicated that for the selected transactions, the premium resulting from the target's share of the pro forma combined company resulting from the transaction as compared with the target's market capitalization relative to the combined market capitalization of the target and the acquirer one day prior to the Disclosure Date ranged from a low of (4.4)% to a high of 45.0%, with a median of 9.0% and a mean of 13.0%, as compared to 22.4% for the proposed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such analyses. No company or transaction used in the above analyses as a comparison is directly comparable to Mobil or Exxon or the contemplated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analyses were prepared solely for purposes of Goldman Sachs' providing its opinion to the Mobil Board as to the fairness from a financial point of view of the exchange ratio to the holders, other than Exxon or any of its subsidiaries or affiliates, of the outstanding shares of Mobil common stock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Mobil, Exxon, Goldman Sachs nor any other person assumes responsibility if future results are materially different from those forecast.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described above, Goldman Sachs' opinion to the Mobil Board was one of many factors taken into consideration by the Mobil Board in making its determination to approve the merger agreement. The foregoing summary does not purport to be a complete description of the analysis performed by Goldman Sachs in connection with such opinion and is qualified by reference to the written opinion of Goldman Sachs set forth in Annex D.</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Mobil selected Goldman Sachs to render its opinion because it is a nationally recognized investment banking firm that has substantial experience in transactions similar to the merger. Goldman Sachs is familiar with Mobil having provided certain investment banking services to Mobil from time to time, including having acted as dealer on Mobil's commercial paper program; having acted as agent on Mobil's stock repurchase program and medium term note program; and having acted as lead-managing underwriter of a public offering of Mobil Corporation Pass Through Certificates, Series 1997-A in May 1997. Goldman Sachs also has provided certain investment banking services to Exxon from time to time, and may provide investment banking services to Exxon in the future.</w:t>
      </w:r>
    </w:p>
    <w:p>
      <w:pPr>
        <w:spacing w:after="0" w:line="17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Goldman Sachs provides a full range of financial advisory and securities services and, in the course of its normal trading activities, may from time to time effect transactions and hold securities, including derivative securities, of Mobil or Exxon for its own account and for the accounts of customers.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I-48</w:t>
      </w:r>
    </w:p>
    <w:p>
      <w:pPr>
        <w:sectPr>
          <w:pgSz w:w="11900" w:h="16838" w:orient="portrait"/>
          <w:cols w:equalWidth="0" w:num="1">
            <w:col w:w="10239"/>
          </w:cols>
          <w:pgMar w:left="220" w:top="782" w:right="1440" w:bottom="1440" w:gutter="0" w:footer="0" w:header="0"/>
        </w:sectPr>
      </w:pPr>
    </w:p>
    <w:bookmarkStart w:id="57" w:name="page58"/>
    <w:bookmarkEnd w:id="5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a letter agreement dated November 22, 1998, Mobil engaged Goldman Sachs to render its opinion in connection with the merger. Pursuant to the terms of the Goldman Sachs engagement letter, Mobil has agreed to pay Goldman Sachs a fee equal to (i) $100,000 per month beginning on November 30, 1998 and (ii) $8,000,000 payable upon the consummation of the merger or acquisition of a majority of the common stock or assets of Mobil by Exxon, with up to $2,400,000 of the fees paid pursuant to clause (i) above to be creditable to any fees that become payable pursuant to clause (ii) above. From time to time, Goldman Sachs has also provided other financial advisory services to Mobil. Payment for certain of these services would be accelerated if the merger is consummated. Mobil has also agreed to reimburse Goldman Sachs for its reasonable out-of-pocket expenses, including attorney's fees, and to indemnify Goldman Sachs against certain liabilities, including certain liabilities under the federal securities laws. The SEC has taken the position that such indemnification under the federal securities laws may not be enforceable if it is found to be against public policy.</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considering the recommendation of the Mobil Board with respect to the merger agreement, shareholders should be aware that certain members of the management of Mobil and the Mobil Board have interests in the merger that may be different from, or in addition to, the interests of the other shareholders of Mobil generally.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has agreed that, as of the closing, it will cause Mr. Noto and Mr. Renna and four other persons who immediately prior to the closing were directors but not employees of Mobil, to be elected to the Exxon Mobil Board. See "The Merger Agreement--Exxon Mobil Board and Related Matters" on page I-55. It is expected that Donald V. Fites, Charles A. Heimbold, Jr., Helene L. Kaplan and J. Richard Munro will be the non-employee directors of Mobil who will be elected to the Exxon Mobil Board as of the closing. For information about the benefits received by Exxon directors, see "Chapter Four--Board of Directors Proposal: Election of Directors--Director Compensation" on page IV-6.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Directors' and Officers' Insurance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seven years after the closing, Exxon has agreed to indemnify, to the extent provided under Mobil's charter and by-laws in effect on December 1, 1998, the individuals who on or before the closing were officers, directors and employees of Mobil or its subsidiaries with respect to all acts or omissions before the closing by these individuals in these capacities. Exxon has further agreed to cause Mobil to honor all its indemnification agreements, including under Mobil's by-laws, in effect on December 1, 1998. Exxon has also agreed to provide, for seven years after the closing, directors' and officers' liability insurance in respect of acts or omissions occurring before the closing covering each person currently covered by Mobil's directors' and officers' liability insurance policy. Exxon can discharge this obligation by providing an insurance policy underwritten by a wholly-owned subsidiary of Exxon. See "The Merger Agreement--Certain Covenants--Indemnification and Insurance of Mobil Directors and Officers" on page I-57.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Severance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25, 1998, upon the recommendation of the Management Compensation and Organization Committee of the Mobil Board (the "MCOC"), the Mobil Board revoked Mobil's prior severance arrangements in the event of a change in control of Mobil and adopted a cash-based employee severance plan. Generally, all Mobil employees on the U.S. payroll who work a regular schedule of at least 20 hours per week are eligible to participate in the severance plan. However, temporary employees, employees represented by a collective bargaining agent or subject to a collective bargaining agreement, leased employees, employees of Mobil-owned and operated service stations and any person retained pursuant to a written contract are not eligible to participate in the severance plan.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I-49</w:t>
      </w:r>
    </w:p>
    <w:p>
      <w:pPr>
        <w:sectPr>
          <w:pgSz w:w="11900" w:h="16838" w:orient="portrait"/>
          <w:cols w:equalWidth="0" w:num="1">
            <w:col w:w="10239"/>
          </w:cols>
          <w:pgMar w:left="220" w:top="78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Tier 1 employees comprising 19 senior executives, including Messrs. Noto, Renna, Thomas C. DeLoach, Jr., Harold R. Cramer and Stephen D. Pryor and all other executive officers of Mobil, as well as approximately 112 Tier 2 employees, approximately 1,329 Tier 3 employees and approximately 10,801 Tier 4 employees are eligible to receive severance benefits in the event of a qualifying termination of their employment on or within two years following a change in control, as such term is defined in the severance plan. In the following discussion, we refer collectively to the employees listed in the previous sentence as the covered employees and to Messrs. Noto, Renna, DeLoach, Cramer and Pryor collectively as the Mobil named executive officers. A qualifying termination of employment under the severance plan means (1) a termination by the employer other than for "cause" (as defined in the severance plan) or (2) a termination by the covered employee for "good reason" (as defined in the severance plan). A termination by the covered employee for good reason under the severance plan, in respect of a Tier 1, Tier 2 or Tier 3 employee means:</w:t>
      </w:r>
    </w:p>
    <w:p>
      <w:pPr>
        <w:spacing w:after="0" w:line="328" w:lineRule="exact"/>
        <w:rPr>
          <w:sz w:val="20"/>
          <w:szCs w:val="20"/>
          <w:color w:val="auto"/>
        </w:rPr>
      </w:pPr>
    </w:p>
    <w:p>
      <w:pPr>
        <w:ind w:left="960" w:right="3339" w:hanging="263"/>
        <w:spacing w:after="0" w:line="252" w:lineRule="auto"/>
        <w:tabs>
          <w:tab w:leader="none" w:pos="9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covered employee's base salary or incentive compensation opportunity in effect immediately prior to the change in control,</w:t>
      </w:r>
    </w:p>
    <w:p>
      <w:pPr>
        <w:spacing w:after="0" w:line="162"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covered employee of duties that in the aggregate are inconsistent with the covered employee's level of responsibility immediately before the change in control or any decline in the nature or status of the covered employee's responsibilities from those in effect immediately before the change in control and including, in the case of a Tier 1 or Tier 2 employee who was, immediately before the change in control, an executive officer, that employee ceasing to be an executive officer of a public company, or</w:t>
      </w:r>
    </w:p>
    <w:p>
      <w:pPr>
        <w:spacing w:after="0" w:line="329" w:lineRule="exact"/>
        <w:rPr>
          <w:rFonts w:ascii="Courier New" w:cs="Courier New" w:eastAsia="Courier New" w:hAnsi="Courier New"/>
          <w:sz w:val="14"/>
          <w:szCs w:val="14"/>
          <w:color w:val="auto"/>
        </w:rPr>
      </w:pPr>
    </w:p>
    <w:p>
      <w:pPr>
        <w:ind w:left="960" w:right="3779" w:hanging="263"/>
        <w:spacing w:after="0" w:line="252" w:lineRule="auto"/>
        <w:tabs>
          <w:tab w:leader="none" w:pos="9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relocation of the covered employee's principal place of employment to a location more than 50 miles from that employee's principal place of employment immediately before the change in control.</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covered Tier 1, Tier 2 or Tier 3 employee who incurs a qualifying termination of employment will be entitled to receive a cash lump sum severance payment equal to:</w:t>
      </w:r>
    </w:p>
    <w:p>
      <w:pPr>
        <w:spacing w:after="0" w:line="163" w:lineRule="exact"/>
        <w:rPr>
          <w:sz w:val="20"/>
          <w:szCs w:val="20"/>
          <w:color w:val="auto"/>
        </w:rPr>
      </w:pPr>
    </w:p>
    <w:p>
      <w:pPr>
        <w:ind w:left="960" w:right="3339" w:hanging="263"/>
        <w:spacing w:after="0" w:line="251" w:lineRule="auto"/>
        <w:tabs>
          <w:tab w:leader="none" w:pos="9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his or her annual base salary, plus the highest annual bonus received in the three years immediately before the change in control, plus the value of contributions or allocations made, as applicable, by Mobil on that employee's behalf to the employees savings plan of Mobil Oil Corporation and the supplemental savings benefit plan of Mobil Oil Corporation in the calendar year before the change in control,</w:t>
      </w:r>
    </w:p>
    <w:p>
      <w:pPr>
        <w:spacing w:after="0" w:line="164" w:lineRule="exact"/>
        <w:rPr>
          <w:sz w:val="20"/>
          <w:szCs w:val="20"/>
          <w:color w:val="auto"/>
        </w:rPr>
      </w:pPr>
    </w:p>
    <w:p>
      <w:pPr>
        <w:ind w:left="960" w:right="3599" w:hanging="349"/>
        <w:spacing w:after="0" w:line="255" w:lineRule="auto"/>
        <w:tabs>
          <w:tab w:leader="none" w:pos="9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multiplied by 3 for Tier 1 employees, 2.5 for Tier 2 employees and 2.0 for Tier 3 employees.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 Tier 1, Tier 2 or Tier 3 employee who incurs a qualifying termination of employment will also be provided with welfare benefits as if that employee had continued to be employed by Mobil until the earlier to occur of:</w:t>
      </w:r>
    </w:p>
    <w:p>
      <w:pPr>
        <w:spacing w:after="0" w:line="163" w:lineRule="exact"/>
        <w:rPr>
          <w:sz w:val="20"/>
          <w:szCs w:val="20"/>
          <w:color w:val="auto"/>
        </w:rPr>
      </w:pPr>
    </w:p>
    <w:p>
      <w:pPr>
        <w:ind w:left="960" w:right="3519" w:hanging="263"/>
        <w:spacing w:after="0" w:line="255" w:lineRule="auto"/>
        <w:tabs>
          <w:tab w:leader="none" w:pos="9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years from the date of the qualifying termination of employment and</w:t>
      </w:r>
    </w:p>
    <w:p>
      <w:pPr>
        <w:spacing w:after="0" w:line="159"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employee obtaining employment providing substantially similar welfare benefits.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severance plan, Mobil is required, if necessary, to make an additional gross-up payment to any covered employee to offset fully the effect of any excise tax imposed by Section 4999 of the Internal Revenue Code on any excess parachute payment, whether made to that employee under the severance plan or otherwise. In general, Section 4999 imposes an excise tax on the recipient of any excess parachute payment equal to 20% of that payment. A parachute payment is any payment that is contingent on a change in control. Excess parachute payments consist of the excess of parachute payments over an individual's average taxable compensation received by him from the employer during the five taxable years preceding the year in which the change in control occurs. If the individual has been employed for fewer than five taxable years, the individual's entire period of employment will be used to calculate the excess parachute payment.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I-50</w:t>
      </w:r>
    </w:p>
    <w:p>
      <w:pPr>
        <w:sectPr>
          <w:pgSz w:w="11900" w:h="16838" w:orient="portrait"/>
          <w:cols w:equalWidth="0" w:num="1">
            <w:col w:w="10239"/>
          </w:cols>
          <w:pgMar w:left="220" w:top="782" w:right="1440" w:bottom="1440" w:gutter="0" w:footer="0" w:header="0"/>
        </w:sectPr>
      </w:pPr>
    </w:p>
    <w:bookmarkStart w:id="59" w:name="page60"/>
    <w:bookmarkEnd w:id="5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merger will constitute a change in control under the severance plan.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closing had occurred on March 1, 1999 and if each of Messrs. Noto, Renna,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DeLoach, Cramer and Pryor had incurred a qualifying termination of employment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following that date, the approximate amount of the cash severance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payable to each of the named executive officers would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$7,850,424 to Mr. Noto; $5,213,610 to Mr. Renna; $2,959,290 to Mr. DeLoach;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$2,352,000 to Mr. Cramer; and $2,342,190 to Mr. Pryor and the gross-up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would not be expected to exceed $5,712,767 to Mr. Noto; $3,413,624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Renna; $2,256,999 to Mr. DeLoach; $1,823,450 to Mr. Cramer; and $1,802,655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Mr. Pryor.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and Stock Ownership Plans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each outstanding option granted by Mobil to purchase shares of Mobil common stock will be assumed by Exxon Mobil and will, after the effective time, constitute an option to acquire, on the same terms and conditions as applied to the Mobil stock option prior to the effective time, the number, rounded down to the nearest whole number, of shares of Exxon Mobil common stock determined by multiplying:</w:t>
      </w:r>
    </w:p>
    <w:p>
      <w:pPr>
        <w:spacing w:after="0" w:line="164" w:lineRule="exact"/>
        <w:rPr>
          <w:sz w:val="20"/>
          <w:szCs w:val="20"/>
          <w:color w:val="auto"/>
        </w:rPr>
      </w:pPr>
    </w:p>
    <w:p>
      <w:pPr>
        <w:ind w:left="960" w:right="3779" w:hanging="263"/>
        <w:spacing w:after="0" w:line="255" w:lineRule="auto"/>
        <w:tabs>
          <w:tab w:leader="none" w:pos="9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Mobil common stock subject to the option immediately before the effective time by</w:t>
      </w:r>
    </w:p>
    <w:p>
      <w:pPr>
        <w:spacing w:after="0" w:line="159"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exercise price of each of these options will be a price per share of Exxon Mobil common stock, rounded up to the nearest cent, equal to:</w:t>
      </w:r>
    </w:p>
    <w:p>
      <w:pPr>
        <w:spacing w:after="0" w:line="160" w:lineRule="exact"/>
        <w:rPr>
          <w:sz w:val="20"/>
          <w:szCs w:val="20"/>
          <w:color w:val="auto"/>
        </w:rPr>
      </w:pPr>
    </w:p>
    <w:p>
      <w:pPr>
        <w:ind w:left="960" w:right="3599" w:hanging="263"/>
        <w:spacing w:after="0" w:line="255" w:lineRule="auto"/>
        <w:tabs>
          <w:tab w:leader="none" w:pos="9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exercise price for Mobil common stock that otherwise could have been purchased under the Mobil stock option divided by</w:t>
      </w:r>
    </w:p>
    <w:p>
      <w:pPr>
        <w:spacing w:after="0" w:line="159"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the merger agreement, each other stock-based award granted by Mobil under its employee or director plans or arrangements maintained as of December 1, 1998 will be converted, as of the effective time, into a similar Exxon Mobil stock-based award, adjusted as appropriate to preserve the award's inherent value.</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other terms and conditions of these other stock-based awards, and the plans or agreements under which they were issued, will continue to apply in accordance with their terms and conditions as these terms and conditions have been interpreted and applied by Mobil in accordance with its past practice.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Upon a change in control, with respect to long-term conditional performance shares previously granted to Mobil employees under Mobil's 1995 incentive compensation and stock ownership plan and predecessor and successor plans, Exxon Mobil will assume that all long-term incentive award performance factors have been achieved at a 100% level. With respect to each employee and former employee who has been granted performance shares relating to performance cycles in which the change in control occurs, Exxon Mobil will calculate a prorated</w:t>
      </w:r>
    </w:p>
    <w:p>
      <w:pPr>
        <w:spacing w:after="0" w:line="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number of the performance shares originally granted with respect to each performance cycle. This number will be prorated for the number of months completed in each performance cycle, to the date of the change in control. Exxon Mobil will also calculate all notional dividends accrued to the date of the change in control relating to all performance shares originally granted with respect to each performance cycle. Similarly, Exxon Mobil will calculate any notional dividends which are or may be accrued from the date of the change in control relating to performance shares and notional dividends calculated as provided above. Unless the employee, including a Mobil named executive officer, before the end of the applicable performance cycle, is terminated for cause, engages in willful misconduct, or voluntarily terminates his or her employment to join a competitor, Exxon Mobil will pay the employee a cash amount in respect of the performance shares and notional dividends calculated as provided above in respect of the performance cycle at the same time and in the same manner as would have been the case in the absence of a change in control. The merger will constitute a change in control under the incentive plans.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I-51</w:t>
      </w:r>
    </w:p>
    <w:p>
      <w:pPr>
        <w:sectPr>
          <w:pgSz w:w="11900" w:h="16838" w:orient="portrait"/>
          <w:cols w:equalWidth="0" w:num="1">
            <w:col w:w="10239"/>
          </w:cols>
          <w:pgMar w:left="220" w:top="78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upon a change in control, current and former Mobil employees, including the Mobil named executive officers, who are eligible to receive annual short-term incentive cash awards granted under incentive plans with respect to a year in which a change in control occurs will receive an immediate payment of that award for the year in which the change in control occurs, prorated for the number of months completed in the year before the date of the change in control. The award will be calculated by using the most current year information available with respect to the attainment of applicable performance factors, or where no current year information is available, using information from the full preceding year.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all long-term incentive award payments under the incentive plans will be made on future dates, and because such payments will be based on the closing prices of Exxon Mobil stock and the number of performance shares and notional dividends in a participant's account on these future dates, it is impossible to calculate what payments, if any, an employee, including a Mobil named executive officer, with one or more outstanding conditional long-term incentive awards may become entitled to receive.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the closing had occurred on March 1, 1999, each Mobil named executive officer would have become entitled to a payment upon the closing of the merger of a short-term incentive cash award for 1998, estimated to equal the following amounts: $256,283 to Mr. Noto; $145,750 to Mr. Renna; $70,417 to Mr. DeLoach; $56,250 to Mr. Cramer; and $56,250 to Mr. Pryor.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Retention Plan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management retention plan provides for conditional retention awards to selected executives of Mobil, including all of the Mobil named executive officers and eight other executive officers. Generally, payment under the management retention plan is only made after normal retirement, an approved early retirement, or the death or disability of a participant, provided that the participant's performance was at a level satisfactory to Mobil over the period the award remained conditional. Before the merger, the MCOC determined that all current management retention plan participants had rendered long-term service to Mobil at a level satisfactory to Mobil. In the merger agreement, Exxon acknowledged that the MCOC had determined that all participants covered by the management retention plan had performed at a level satisfactory to Mobil over the period that the conditional retention awards were outstanding and, accordingly, that all participants would be entitled to full payment under the management retention plan were they to retire or otherwise terminate their employment with Mobil. Exxon agreed to give considerable weight to such determination in administering the management retention plan after the merger, given the significant length of time that has elapsed since the award grants.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the closing had occurred on March 1, 1999, and if the employment of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named executive officer had terminated immediately following that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payable under the management retention plan in respect of retention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awards, based upon the per share closing price of Mobil stock on March 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$81 would have been $2,185,704 to Mr. Noto; $1,985,553 to Mr. Renna;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$1,385,019 to Mr. DeLoach; $923,238 to Mr. Cramer; and $461,538 to Mr. Pryor.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Rabbi Trust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Mobil maintains an irrevocable "rabbi trust" which secures Mobil's obligations under certain employee benefit and executive compensation programs, including the management retention plan and the obligations under the severance plan relating to employees, including all executive officers, in salary group 20 or higher. As of December 31, 1998, the rabbi trust held assets valued at approximately $692,951,000. The rabbi trust will continue to hold assets following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of Past Practices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has agreed that the incentive plans, the management retention plan, the supplemental pension annuity program of Mobil Oil Corporation, the executive life insurance program of Mobil Oil Corporation and the severance plan, as well as any award made under any of these executive arrangements, will be administered in accordance with the past practices and interpretations of the Mobil Board and the MCOC with respect to eligibility,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I-52</w:t>
      </w:r>
    </w:p>
    <w:p>
      <w:pPr>
        <w:sectPr>
          <w:pgSz w:w="11900" w:h="16838" w:orient="portrait"/>
          <w:cols w:equalWidth="0" w:num="1">
            <w:col w:w="10239"/>
          </w:cols>
          <w:pgMar w:left="220" w:top="782" w:right="1440" w:bottom="1440" w:gutter="0" w:footer="0" w:header="0"/>
        </w:sectPr>
      </w:pPr>
    </w:p>
    <w:bookmarkStart w:id="61" w:name="page62"/>
    <w:bookmarkEnd w:id="61"/>
    <w:p>
      <w:pPr>
        <w:jc w:val="right"/>
        <w:ind w:right="3519"/>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vesting, term and payment, among other matters.</w:t>
        <w:tab/>
        <w:t>Any question regarding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past practices and interpretations of the Mobil Board and the MCOC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of these past practices and interpretations to the type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facts and circumstances in a given case will be referred to Mr. Noto or</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his designee for a final decision.</w:t>
        <w:tab/>
        <w:t>This decision shall not be inconsistent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intention of the merger agreement and the merger.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I-53</w:t>
      </w:r>
    </w:p>
    <w:p>
      <w:pPr>
        <w:sectPr>
          <w:pgSz w:w="11900" w:h="16838" w:orient="portrait"/>
          <w:cols w:equalWidth="0" w:num="1">
            <w:col w:w="10239"/>
          </w:cols>
          <w:pgMar w:left="220" w:top="78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Chapter One - The Merger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summary of the merger agreement is qualified by reference to the complete text of the merger agreement, which is incorporated by reference and attached as Annex 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of the Merger</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Under the merger agreement, an Exxon subsidiary will merge into Mobil so that Mobil becomes a wholly-owned subsidiary of Exxon Mobil.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Timing of Closing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closing will occur within three business days after the day on which the last of the conditions set forth in the merger agreement has been satisfied or waived, unless Exxon and Mobil agree to a different date. We expect that, immediately upon the closing of the merger, we will file a merger certificate with the Secretary of State of the State of Delaware, at which time the merger will be effective.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each share of Mobil common stock outstanding immediately prior to the effective time will, at the effective time, be converted into the right to receive 1.32015 shares of Exxon Mobil common stock. However, any shares of Mobil common stock held by Mobil as treasury stock or owned by Exxon or any subsidiary of Exxon will be canceled without any payment for those shares. Shares held in Mobil's rabbi trust will not be treated as treasury stock for this purpose.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each outstanding share of Mobil ESOP preferred stock held in the leveraged ESOP portion of the Employees Savings Plan of Mobil Oil Corporation will, at the effective time, be converted into the right to receive one share of a new series of Exxon preferred stock (the "Exxon Mobil ESOP preferred stock") having, to the extent possible, terms identical to those of the Mobil ESOP preferred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Mobil Stock Options; Other Mobil Stock-Based Awards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each outstanding option granted by Mobil to purchase shares of Mobil common stock will be converted into an option to acquire Exxon Mobil common stock having the same terms and conditions as the Mobil stock option had before the effective time. The number of shares that the new Exxon Mobil option will be exercisable for and the exercise price of the new Exxon Mobil option will reflect the exchange ratio in the merger.</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Each other stock-based award granted by Mobil under its employee or director plans or arrangements maintained as of December 1, 1998 will be converted, as of the effective time, into a similar Exxon Mobil stock-based award, adjusted as appropriate to preserve the award's inherent value. For additional information on Mobil stock-based awards, see "Interests of Certain Persons in the Merger" on page I-49.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will appoint an exchange agent to handle the exchange of Mobil stock certificates in the merger for Exxon Mobil stock and the payment of cash for fractional shares of Mobil stock. Soon after the closing, the exchange agent will send to each holder of Mobil stock a letter of transmittal for use in the exchange and instructions explaining how to surrender Mobil stock certificates to the exchange agent. Holders of Mobil stock that surrender their certificates to the exchange agent, together with a properly completed letter of transmittal, will receive the appropriate merger consideration. Holders of unexchanged shares of Mobil stock will not be entitled to receive any dividends or other distributions payable by Exxon Mobil after the closing until their certificates are surrendered.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I-54</w:t>
      </w:r>
    </w:p>
    <w:p>
      <w:pPr>
        <w:sectPr>
          <w:pgSz w:w="11900" w:h="16838" w:orient="portrait"/>
          <w:cols w:equalWidth="0" w:num="1">
            <w:col w:w="10239"/>
          </w:cols>
          <w:pgMar w:left="220" w:top="782" w:right="1440" w:bottom="1440" w:gutter="0" w:footer="0" w:header="0"/>
        </w:sectPr>
      </w:pPr>
    </w:p>
    <w:bookmarkStart w:id="63" w:name="page64"/>
    <w:bookmarkEnd w:id="6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Exxon Mobil will not issue any fractional shares in the merger. Holders of Mobil common stock will receive a cash payment in the amount of the proceeds from the sale of their fractional shares in the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Mobil Board and Related Matters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Exxon has agreed to take the necessary corporate action so that, as of the closing:</w:t>
      </w:r>
    </w:p>
    <w:p>
      <w:pPr>
        <w:spacing w:after="0" w:line="160" w:lineRule="exact"/>
        <w:rPr>
          <w:sz w:val="20"/>
          <w:szCs w:val="20"/>
          <w:color w:val="auto"/>
        </w:rPr>
      </w:pPr>
    </w:p>
    <w:p>
      <w:pPr>
        <w:ind w:left="960" w:hanging="263"/>
        <w:spacing w:after="0"/>
        <w:tabs>
          <w:tab w:leader="none" w:pos="9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Exxon Mobil Board size will be increased from 13 to 19.</w:t>
      </w:r>
    </w:p>
    <w:p>
      <w:pPr>
        <w:spacing w:after="0" w:line="17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employee directors of Mobil will become directors of Exxon Mobil. They are expected to be Lucio A. Noto and Eugene A. Renna.</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non-employee directors of Mobil will become directors of Exxon Mobil. They are expected to be Donald V. Fites, Charles A. Heimbold, Jr., Helene L. Kaplan and J. Richard Munro.</w:t>
      </w:r>
    </w:p>
    <w:p>
      <w:pPr>
        <w:spacing w:after="0" w:line="16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Noto will become Vice-Chairman of the Exxon Mobil Board.</w:t>
      </w:r>
    </w:p>
    <w:p>
      <w:pPr>
        <w:spacing w:after="0" w:line="17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one Mobil designee will become a member of each of the Exxon Mobil Audit Committee and the Exxon Mobil Compensation Committee.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the closing is within nine months of the next regularly scheduled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shareholders of Exxon Mobil, Exxon has agreed, in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 as of such next annual meeting, * to nominate the Mobil designees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Exxon Mobil Board, * to elect Mr. Noto as Vice Chairman, and *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at least one Mobil designee on each of the Compensation Committee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 of Exxon Mobil.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Each of Exxon and Mobil has undertaken certain covenants in the merger agreement. The following summarizes the more significant of these covenants.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 Solicitation by Mobil. Mobil has agreed that it and its subsidiaries and their officers, directors, employees and advisers will not take action to solicit or encourage an offer for an alternative acquisition transaction involving Mobil of a nature defined in the merger agreement.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Restricted actions include engaging in discussions or negotiations with any potential bidder, or disclosing non-public information relating to Mobil or its subsidiaries or affording access to their properties, books or records to a potential bidder. These actions are permitted in response to an</w:t>
      </w:r>
    </w:p>
    <w:p>
      <w:pPr>
        <w:spacing w:after="0" w:line="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unsolicited bona fide offer so long as prior to doing so: * the Mobil Board by a majority vote determines in its good faith judgment that it is necessary to do so to comply with its fiduciary duty to shareholders, after receiving the advice of outside legal counsel, and * Mobil receives from such person an executed confidentiality agreement with terms no less favorable to Mobil than those contained in the existing confidentiality agreement between Exxon and Mobil.</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Mobil must keep Exxon informed of the identity of any potential bidder and the terms and status of any offer. If its Board reaches the fiduciary duty determination described in the previous paragraph that it is necessary to do so, Mobil can withhold that information.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Mobil Board's Covenant to Recommend. The Mobil Board has agreed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 the approval and adoption of the merger agreement to Mobil's</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shareholders.</w:t>
        <w:tab/>
        <w:t>However, the Mobil Board is permitted not to make,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 or to modify in a manner adverse to Exxon this recommendation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the Mobil Board by a majority vote determines in its good faith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judgment that it is necessary to do so to comply with its fiduciary duty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under applicable law, after receiving the advice of outside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counsel, and * Mobil and the senior officers and directors of Mobil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substantially complied with their obligations under the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covenant described above under "--No Solicitation by Mobil."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I-55</w:t>
      </w:r>
    </w:p>
    <w:p>
      <w:pPr>
        <w:sectPr>
          <w:pgSz w:w="11900" w:h="16838" w:orient="portrait"/>
          <w:cols w:equalWidth="0" w:num="1">
            <w:col w:w="10239"/>
          </w:cols>
          <w:pgMar w:left="220" w:top="78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Board's Covenant to Recommend. The Exxon Board has agreed to recommend the approval of the Exxon Merger Proposals to Exxon's shareholders. However, the Exxon Board is permitted not to make, to withdraw or to modify in a manner adverse to Mobil this recommendation if the Exxon Board by a majority vote determines in its good faith judgment that it is necessary to do so to comply with its fiduciary duty to shareholders under applicable law, after receiving the advice of outside legal counsel.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Interim Operations of Exxon and Mobil. Each of Exxon and Mobil has undertaken a separate covenant that places restrictions on it and its subsidiaries until either the effective time or the merger agreement is terminated. In general, Exxon and its subsidiaries and Mobil and its subsidiaries are required to conduct their business in the ordinary course consistent with past practice and to use their reasonable best efforts to preserve intact their business organizations and relationships with third parties. The companies have also agreed to some specific restrictions which are subject to exceptions described in the merger agreement. The following table summarizes the more significant of these restrictions undertaken by each company:</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Restriction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Mobil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ind w:left="100" w:hanging="85"/>
        <w:spacing w:after="0" w:line="292" w:lineRule="auto"/>
        <w:rPr>
          <w:sz w:val="20"/>
          <w:szCs w:val="20"/>
          <w:color w:val="auto"/>
        </w:rPr>
      </w:pPr>
      <w:r>
        <w:rPr>
          <w:rFonts w:ascii="Courier New" w:cs="Courier New" w:eastAsia="Courier New" w:hAnsi="Courier New"/>
          <w:sz w:val="12"/>
          <w:szCs w:val="12"/>
          <w:color w:val="auto"/>
        </w:rPr>
        <w:t>amending its organizational documents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entering into any merger, liquidation or other significant</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transaction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issuing or disposing of equity securities, options or other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securities convertible into or exercisable for equity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securities, except to a limited extent to employees or</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splitting, combining or reclassifying its capital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declaring dividends, except for regular quarterly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dividends as they may periodically be increased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consistent with past practice and required dividends on</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redeeming or repurchasing its capital stock, except in</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firstLine="258"/>
        <w:spacing w:after="0" w:line="292" w:lineRule="auto"/>
        <w:rPr>
          <w:sz w:val="20"/>
          <w:szCs w:val="20"/>
          <w:color w:val="auto"/>
        </w:rPr>
      </w:pPr>
      <w:r>
        <w:rPr>
          <w:rFonts w:ascii="Courier New" w:cs="Courier New" w:eastAsia="Courier New" w:hAnsi="Courier New"/>
          <w:sz w:val="12"/>
          <w:szCs w:val="12"/>
          <w:color w:val="auto"/>
        </w:rPr>
        <w:t>limited instances to prevent dilution ................................................................ amending the terms of any outstanding stock options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making capital expenditures, subject to certain ordinary</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course exceptions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increasing employee compensation or benefits except for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normal ordinary course increases consistent with past</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practice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acquiring or disposing of material assets, except for</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disposing of assets pursuant to existing commitments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changing its accounting policies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entering into any material joint venture or partnership</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taking any other action that would make any representation</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100" w:firstLine="172"/>
        <w:spacing w:after="0" w:line="337" w:lineRule="auto"/>
        <w:rPr>
          <w:sz w:val="20"/>
          <w:szCs w:val="20"/>
          <w:color w:val="auto"/>
        </w:rPr>
      </w:pPr>
      <w:r>
        <w:rPr>
          <w:rFonts w:ascii="Courier New" w:cs="Courier New" w:eastAsia="Courier New" w:hAnsi="Courier New"/>
          <w:sz w:val="12"/>
          <w:szCs w:val="12"/>
          <w:color w:val="auto"/>
        </w:rPr>
        <w:t>or warranty by it inaccurate in any material respect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5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line="8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Best Efforts Covenant. Exxon and Mobil have agreed to cooperate with each other and use their best efforts to take all actions and do all things necessary or advisable under the merger agreement and applicable laws to complete the merger and the other transactions contemplated by the merger agreement. However, neither Exxon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I-56</w:t>
      </w:r>
    </w:p>
    <w:p>
      <w:pPr>
        <w:sectPr>
          <w:pgSz w:w="11900" w:h="16838" w:orient="portrait"/>
          <w:cols w:equalWidth="0" w:num="1">
            <w:col w:w="10239"/>
          </w:cols>
          <w:pgMar w:left="220" w:top="782" w:right="1440" w:bottom="1440" w:gutter="0" w:footer="0" w:header="0"/>
          <w:type w:val="continuous"/>
        </w:sectPr>
      </w:pPr>
    </w:p>
    <w:bookmarkStart w:id="65" w:name="page66"/>
    <w:bookmarkEnd w:id="6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nor Mobil is required to take any action if the result would give Exxon the right to decline to close the merger because such action could reasonably be expected to result in a substantial detriment to Exxon, Mobil and their subsidiaries, taken as a whole.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Employee Benefits Matters. The merger agreement provides that Exxon Mobil will cause Mobil to honor in accordance with their terms all obligations under Mobil's executive benefit arrangements and under all other existing Mobil employee and retiree arrangements and plans to the extent entitlements or rights exist under those arrangements or plans as of the closing.</w:t>
      </w:r>
    </w:p>
    <w:p>
      <w:pPr>
        <w:spacing w:after="0" w:line="16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Exxon has also agreed, following the closing, to provide Mobil employees who were employed by Mobil or its subsidiaries at the closing and who continue as employees of Exxon Mobil or its subsidiaries, for so long as they remain so employed, employee benefits, other than salary or incentive compensation,</w:t>
      </w:r>
    </w:p>
    <w:p>
      <w:pPr>
        <w:spacing w:after="0" w:line="2" w:lineRule="exact"/>
        <w:rPr>
          <w:sz w:val="20"/>
          <w:szCs w:val="20"/>
          <w:color w:val="auto"/>
        </w:rPr>
      </w:pPr>
    </w:p>
    <w:p>
      <w:pPr>
        <w:ind w:right="3779" w:firstLine="8"/>
        <w:spacing w:after="0" w:line="251" w:lineRule="auto"/>
        <w:tabs>
          <w:tab w:leader="none" w:pos="17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benefit plans and arrangements as provided to those employees immediately prior to the closing, or * pursuant to benefit plans and arrangements maintained by Exxon Mobil providing coverage and benefits which, in the aggregate, are no less favorable than those provided to employees of Exxon Mobil in positions comparable to the positions held by the continuing Mobil employees.</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In addition, Exxon has agreed that, following the closing, Exxon Mobil will continue to provide former employees of Mobil and its subsidiaries (and to Mobil employees whose employment terminates prior to the closing) post retirement benefits, other than pensions, * pursuant to benefit plans and arrangements applicable to those retirees as in effect as of December 1, 1998, or * pursuant to benefit plans or arrangements maintained by Exxon Mobil or its subsidiaries providing post-retirement coverage and benefits, other than pensions, which, in the aggregate, are no less favorable than those provided to former employees of Exxon.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Please see "Interests of Certain Persons in the Merger," beginning on page I-49, for additional information on employee benefits matters covered in the merger agreement.</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Indemnification and Insurance of Mobil Directors and Officers. Exxon has agreed that:</w:t>
      </w:r>
    </w:p>
    <w:p>
      <w:pPr>
        <w:spacing w:after="0" w:line="160" w:lineRule="exact"/>
        <w:rPr>
          <w:sz w:val="20"/>
          <w:szCs w:val="20"/>
          <w:color w:val="auto"/>
        </w:rPr>
      </w:pPr>
    </w:p>
    <w:p>
      <w:pPr>
        <w:ind w:left="960" w:right="3419" w:hanging="263"/>
        <w:spacing w:after="0" w:line="251" w:lineRule="auto"/>
        <w:tabs>
          <w:tab w:leader="none" w:pos="9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seven years after closing, it will indemnify former Mobil directors, officers and employees for liabilities from their acts or omissions in those capacities occurring prior to closing to the extent provided under Mobil's charter and by-laws as in effect on December 1, 1998.</w:t>
      </w:r>
    </w:p>
    <w:p>
      <w:pPr>
        <w:spacing w:after="0" w:line="164" w:lineRule="exact"/>
        <w:rPr>
          <w:rFonts w:ascii="Courier New" w:cs="Courier New" w:eastAsia="Courier New" w:hAnsi="Courier New"/>
          <w:sz w:val="14"/>
          <w:szCs w:val="14"/>
          <w:color w:val="auto"/>
        </w:rPr>
      </w:pPr>
    </w:p>
    <w:p>
      <w:pPr>
        <w:jc w:val="both"/>
        <w:ind w:left="960" w:right="3419" w:hanging="263"/>
        <w:spacing w:after="0" w:line="252" w:lineRule="auto"/>
        <w:tabs>
          <w:tab w:leader="none" w:pos="9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will cause Mobil to honor all indemnification agreements with its former directors, officers and employees in effect as of December 1, 1998.</w:t>
      </w:r>
    </w:p>
    <w:p>
      <w:pPr>
        <w:spacing w:after="0" w:line="162"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seven years after closing, it will provide officers' and directors' liability insurance covering acts or omissions occurring prior to closing by each person currently covered by Mobil's officers' and directors' liability insurance policy. This Exxon Mobil policy must be no less favorable than the Mobil policy in effect on December 1, 1998, except that Exxon Mobil will only be obligated to pay up to 300% of the annual premium paid by Mobil for such insurance as of December 1, 1998. Exxon may provide this coverage through a policy underwritten by a wholly-owned Exxon subsidiary.</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Certain Other Covenants. The merger agreement contains mutual covenants of the parties, the most significant of which are that each party agrees:</w:t>
      </w:r>
    </w:p>
    <w:p>
      <w:pPr>
        <w:spacing w:after="0" w:line="160" w:lineRule="exact"/>
        <w:rPr>
          <w:sz w:val="20"/>
          <w:szCs w:val="20"/>
          <w:color w:val="auto"/>
        </w:rPr>
      </w:pPr>
    </w:p>
    <w:p>
      <w:pPr>
        <w:ind w:left="960" w:right="3679" w:hanging="263"/>
        <w:spacing w:after="0" w:line="255" w:lineRule="auto"/>
        <w:tabs>
          <w:tab w:leader="none" w:pos="9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jeopardize the intended tax or accounting treatment of the merger, and</w:t>
      </w:r>
    </w:p>
    <w:p>
      <w:pPr>
        <w:spacing w:after="0" w:line="159"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transition committee to plan the integration of Exxon and Mobil after the closing.</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I-57</w:t>
      </w:r>
    </w:p>
    <w:p>
      <w:pPr>
        <w:sectPr>
          <w:pgSz w:w="11900" w:h="16838" w:orient="portrait"/>
          <w:cols w:equalWidth="0" w:num="1">
            <w:col w:w="10239"/>
          </w:cols>
          <w:pgMar w:left="220" w:top="78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merger agreement contains substantially reciprocal representations and warranties made by Exxon and Mobil to each other. The most significant of these relate to:</w:t>
      </w:r>
    </w:p>
    <w:p>
      <w:pPr>
        <w:spacing w:after="0" w:line="163" w:lineRule="exact"/>
        <w:rPr>
          <w:sz w:val="20"/>
          <w:szCs w:val="20"/>
          <w:color w:val="auto"/>
        </w:rPr>
      </w:pPr>
    </w:p>
    <w:p>
      <w:pPr>
        <w:ind w:left="620" w:hanging="181"/>
        <w:spacing w:after="0"/>
        <w:tabs>
          <w:tab w:leader="none" w:pos="6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authorization to enter into the contemplated transaction</w:t>
      </w:r>
    </w:p>
    <w:p>
      <w:pPr>
        <w:spacing w:after="0" w:line="7" w:lineRule="exact"/>
        <w:rPr>
          <w:rFonts w:ascii="Courier New" w:cs="Courier New" w:eastAsia="Courier New" w:hAnsi="Courier New"/>
          <w:sz w:val="14"/>
          <w:szCs w:val="14"/>
          <w:color w:val="auto"/>
        </w:rPr>
      </w:pPr>
    </w:p>
    <w:p>
      <w:pPr>
        <w:ind w:left="440" w:right="3939" w:hanging="1"/>
        <w:spacing w:after="0" w:line="250" w:lineRule="auto"/>
        <w:tabs>
          <w:tab w:leader="none" w:pos="61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votes required to approve the contemplated transaction * governmental approvals required in connection with the contemplated transaction * absence of any breach of organizational documents, law or certain material agreements as a result of the contemplated transaction * capitalization * ownership of subsidiaries * filings with the SEC * information provided by it for inclusion in this joint proxy statement/prospectus * financial statements * absence of certain material changes since a specified balance sheet date * absence of undisclosed material liabilities * litigation * tax matters * employee benefits matters *</w:t>
      </w:r>
    </w:p>
    <w:p>
      <w:pPr>
        <w:spacing w:after="0" w:line="4" w:lineRule="exact"/>
        <w:rPr>
          <w:rFonts w:ascii="Courier New" w:cs="Courier New" w:eastAsia="Courier New" w:hAnsi="Courier New"/>
          <w:sz w:val="14"/>
          <w:szCs w:val="14"/>
          <w:color w:val="auto"/>
        </w:rPr>
      </w:pPr>
    </w:p>
    <w:p>
      <w:pPr>
        <w:ind w:left="440" w:right="39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 finders' or advisors' fees * environmental matters * absence of circumstances inconsistent with the intended accounting treatment of the merger and * the receipt of accountant's letters regarding accounting treatment of the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Mobil represents and warrants to Exxon as to certain other matters, including the inapplicability of the Delaware anti-takeover statute and Mobil's shareholder rights plan to the merger and the Mobil stock option. For information about the anti-takeover statute and the rights plan, see "Chapter Three--Certain Legal Information--Comparison of Shareholder Rights--Shareholder Rights Plan" and "Certain Business Combinations" on pages III-4 and III-6.</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representations and warranties in the merger agreement do not survive the closing or termination of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Merger</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Mutual Closing Conditions. The obligations of Exxon and Mobil to complete the merger are subject to the satisfaction or, to the extent legally permissible, waiver of the following conditions:</w:t>
      </w:r>
    </w:p>
    <w:p>
      <w:pPr>
        <w:spacing w:after="0" w:line="163" w:lineRule="exact"/>
        <w:rPr>
          <w:sz w:val="20"/>
          <w:szCs w:val="20"/>
          <w:color w:val="auto"/>
        </w:rPr>
      </w:pPr>
    </w:p>
    <w:p>
      <w:pPr>
        <w:ind w:left="960" w:hanging="263"/>
        <w:spacing w:after="0"/>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Exxon and Mobil shareholders</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the HSR Act waiting period</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European Commission of the contemplated transactions</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legal prohibition on completion of the merger</w:t>
      </w:r>
    </w:p>
    <w:p>
      <w:pPr>
        <w:spacing w:after="0" w:line="172"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Exxon's registration statement on Form S-4, which includes this proxy statement/prospectus, being effective and not subject to any stop order by the SEC</w:t>
      </w:r>
    </w:p>
    <w:p>
      <w:pPr>
        <w:spacing w:after="0" w:line="162" w:lineRule="exact"/>
        <w:rPr>
          <w:rFonts w:ascii="Courier New" w:cs="Courier New" w:eastAsia="Courier New" w:hAnsi="Courier New"/>
          <w:sz w:val="14"/>
          <w:szCs w:val="14"/>
          <w:color w:val="auto"/>
        </w:rPr>
      </w:pPr>
    </w:p>
    <w:p>
      <w:pPr>
        <w:ind w:left="960" w:right="3679" w:hanging="263"/>
        <w:spacing w:after="0" w:line="255" w:lineRule="auto"/>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for the listing on the NYSE of the shares of Exxon Mobil common stock to be issued in the merger</w:t>
      </w:r>
    </w:p>
    <w:p>
      <w:pPr>
        <w:spacing w:after="0" w:line="159" w:lineRule="exact"/>
        <w:rPr>
          <w:rFonts w:ascii="Courier New" w:cs="Courier New" w:eastAsia="Courier New" w:hAnsi="Courier New"/>
          <w:sz w:val="14"/>
          <w:szCs w:val="14"/>
          <w:color w:val="auto"/>
        </w:rPr>
      </w:pPr>
    </w:p>
    <w:p>
      <w:pPr>
        <w:ind w:left="960" w:right="3519" w:hanging="263"/>
        <w:spacing w:after="0" w:line="252" w:lineRule="auto"/>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letters from the independent public accountants of Exxon and Mobil reconfirming their concurrence with Exxon's and Mobil's managements, respectively, that "pooling of interests" accounting treatment for the merger is appropriate</w:t>
      </w:r>
    </w:p>
    <w:p>
      <w:pPr>
        <w:spacing w:after="0" w:line="162"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opinions of Exxon's and Mobil's counsel that the merger will qualify as a tax-free reorganization</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material adverse effect or any reasonable expectation of a material adverse effect on Exxon or Mobil during the period from December 1, 1998 until closing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I-58</w:t>
      </w:r>
    </w:p>
    <w:p>
      <w:pPr>
        <w:sectPr>
          <w:pgSz w:w="11900" w:h="16838" w:orient="portrait"/>
          <w:cols w:equalWidth="0" w:num="1">
            <w:col w:w="10239"/>
          </w:cols>
          <w:pgMar w:left="220" w:top="782" w:right="1440" w:bottom="1440" w:gutter="0" w:footer="0" w:header="0"/>
        </w:sectPr>
      </w:pPr>
    </w:p>
    <w:bookmarkStart w:id="67" w:name="page68"/>
    <w:bookmarkEnd w:id="6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419" w:hanging="263"/>
        <w:spacing w:after="0" w:line="255" w:lineRule="auto"/>
        <w:tabs>
          <w:tab w:leader="none" w:pos="9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as of closing of the representations and warranties made by the other party to the extent specified in the merger agreement</w:t>
      </w:r>
    </w:p>
    <w:p>
      <w:pPr>
        <w:spacing w:after="0" w:line="159" w:lineRule="exact"/>
        <w:rPr>
          <w:rFonts w:ascii="Courier New" w:cs="Courier New" w:eastAsia="Courier New" w:hAnsi="Courier New"/>
          <w:sz w:val="14"/>
          <w:szCs w:val="14"/>
          <w:color w:val="auto"/>
        </w:rPr>
      </w:pPr>
    </w:p>
    <w:p>
      <w:pPr>
        <w:ind w:left="960" w:right="3679" w:hanging="263"/>
        <w:spacing w:after="0" w:line="255" w:lineRule="auto"/>
        <w:tabs>
          <w:tab w:leader="none" w:pos="9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in all material respects by the other party of the obligations required to be performed by it at or prior to closing</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Additional Closing Conditions for Exxon's Benefit. Exxon's obligation to complete the merger is subject to the following additional conditions:</w:t>
      </w:r>
    </w:p>
    <w:p>
      <w:pPr>
        <w:spacing w:after="0" w:line="160" w:lineRule="exact"/>
        <w:rPr>
          <w:sz w:val="20"/>
          <w:szCs w:val="20"/>
          <w:color w:val="auto"/>
        </w:rPr>
      </w:pPr>
    </w:p>
    <w:p>
      <w:pPr>
        <w:ind w:left="960" w:right="3339" w:hanging="263"/>
        <w:spacing w:after="0" w:line="252" w:lineRule="auto"/>
        <w:tabs>
          <w:tab w:leader="none" w:pos="9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being no proceeding seeking to limit Exxon's ownership of Mobil or to compel divestiture of assets, in either case to an extent that could reasonably be expected to result in a substantial detriment to Exxon and Mobil taken as a whole</w:t>
      </w:r>
    </w:p>
    <w:p>
      <w:pPr>
        <w:spacing w:after="0" w:line="162"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regulatory approvals for the merger being obtained on terms that are not reasonably likely to result in such a substantial detriment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Right to Terminate. The merger agreement may be terminated at any time prior to the closing in any of the following ways:</w:t>
      </w:r>
    </w:p>
    <w:p>
      <w:pPr>
        <w:spacing w:after="0" w:line="160" w:lineRule="exact"/>
        <w:rPr>
          <w:sz w:val="20"/>
          <w:szCs w:val="20"/>
          <w:color w:val="auto"/>
        </w:rPr>
      </w:pPr>
    </w:p>
    <w:p>
      <w:pPr>
        <w:ind w:left="260" w:right="3599" w:firstLine="265"/>
        <w:spacing w:after="0" w:line="255" w:lineRule="auto"/>
        <w:tabs>
          <w:tab w:leader="none" w:pos="86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mutual written consent of Exxon and Mobil.</w:t>
      </w:r>
    </w:p>
    <w:p>
      <w:pPr>
        <w:spacing w:after="0" w:line="159"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either Exxon or Mobil if:</w:t>
      </w:r>
    </w:p>
    <w:p>
      <w:pPr>
        <w:spacing w:after="0" w:line="173" w:lineRule="exact"/>
        <w:rPr>
          <w:sz w:val="20"/>
          <w:szCs w:val="20"/>
          <w:color w:val="auto"/>
        </w:rPr>
      </w:pPr>
    </w:p>
    <w:p>
      <w:pPr>
        <w:ind w:left="2160" w:right="3339" w:hanging="429"/>
        <w:spacing w:after="0" w:line="251" w:lineRule="auto"/>
        <w:tabs>
          <w:tab w:leader="none" w:pos="216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December 1, 1999. However, that date becomes June 30, 2000 if the reason for not closing by December 1, 1999 is that the regulatory conditions specified in the merger agreement have not been satisfied by that date,</w:t>
      </w:r>
    </w:p>
    <w:p>
      <w:pPr>
        <w:spacing w:after="0" w:line="164" w:lineRule="exact"/>
        <w:rPr>
          <w:rFonts w:ascii="Courier New" w:cs="Courier New" w:eastAsia="Courier New" w:hAnsi="Courier New"/>
          <w:sz w:val="14"/>
          <w:szCs w:val="14"/>
          <w:color w:val="auto"/>
        </w:rPr>
      </w:pPr>
    </w:p>
    <w:p>
      <w:pPr>
        <w:ind w:left="2160" w:right="3419" w:hanging="429"/>
        <w:spacing w:after="0" w:line="255" w:lineRule="auto"/>
        <w:tabs>
          <w:tab w:leader="none" w:pos="216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or Mobil shareholders fail to give the necessary approval at a duly held meeting, or</w:t>
      </w:r>
    </w:p>
    <w:p>
      <w:pPr>
        <w:spacing w:after="0" w:line="159" w:lineRule="exact"/>
        <w:rPr>
          <w:rFonts w:ascii="Courier New" w:cs="Courier New" w:eastAsia="Courier New" w:hAnsi="Courier New"/>
          <w:sz w:val="14"/>
          <w:szCs w:val="14"/>
          <w:color w:val="auto"/>
        </w:rPr>
      </w:pPr>
    </w:p>
    <w:p>
      <w:pPr>
        <w:ind w:left="2160" w:right="3519" w:hanging="429"/>
        <w:spacing w:after="0" w:line="255" w:lineRule="auto"/>
        <w:tabs>
          <w:tab w:leader="none" w:pos="216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permanent legal prohibition to closing the merger.</w:t>
      </w:r>
    </w:p>
    <w:p>
      <w:pPr>
        <w:spacing w:after="0" w:line="159" w:lineRule="exact"/>
        <w:rPr>
          <w:rFonts w:ascii="Courier New" w:cs="Courier New" w:eastAsia="Courier New" w:hAnsi="Courier New"/>
          <w:sz w:val="14"/>
          <w:szCs w:val="14"/>
          <w:color w:val="auto"/>
        </w:rPr>
      </w:pPr>
    </w:p>
    <w:p>
      <w:pPr>
        <w:ind w:left="260" w:right="3599" w:firstLine="265"/>
        <w:spacing w:after="0" w:line="252" w:lineRule="auto"/>
        <w:tabs>
          <w:tab w:leader="none" w:pos="863"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Exxon if the Mobil Board fails to recommend the merger or withdraws or modifies in a manner adverse to Exxon its approval or recommendation of the merger, breaches its agreement to call the Mobil meeting or recommends a superior offer.</w:t>
      </w:r>
    </w:p>
    <w:p>
      <w:pPr>
        <w:spacing w:after="0" w:line="16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Mobil if:</w:t>
      </w:r>
    </w:p>
    <w:p>
      <w:pPr>
        <w:spacing w:after="0" w:line="172" w:lineRule="exact"/>
        <w:rPr>
          <w:rFonts w:ascii="Courier New" w:cs="Courier New" w:eastAsia="Courier New" w:hAnsi="Courier New"/>
          <w:sz w:val="14"/>
          <w:szCs w:val="14"/>
          <w:color w:val="auto"/>
        </w:rPr>
      </w:pPr>
    </w:p>
    <w:p>
      <w:pPr>
        <w:ind w:left="2160" w:right="3339" w:hanging="429"/>
        <w:spacing w:after="0" w:line="251" w:lineRule="auto"/>
        <w:tabs>
          <w:tab w:leader="none" w:pos="216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Mobil Board authorizes Mobil, subject to complying with the merger agreement, to enter into a binding written agreement concerning an acquisition proposal for at least a majority of the Mobil stock on terms the Mobil Board determines, in good faith after consultation with its financial advisors, are more favorable to Mobil shareholders than the merger, and Mobil notifies Exxon in writing that it intends to enter into such an agreement, attaching the most current version of the agreement or a description of all its material terms and conditions,</w:t>
      </w:r>
    </w:p>
    <w:p>
      <w:pPr>
        <w:spacing w:after="0" w:line="163" w:lineRule="exact"/>
        <w:rPr>
          <w:rFonts w:ascii="Courier New" w:cs="Courier New" w:eastAsia="Courier New" w:hAnsi="Courier New"/>
          <w:sz w:val="14"/>
          <w:szCs w:val="14"/>
          <w:color w:val="auto"/>
        </w:rPr>
      </w:pPr>
    </w:p>
    <w:p>
      <w:pPr>
        <w:ind w:left="2160" w:right="3519" w:hanging="429"/>
        <w:spacing w:after="0" w:line="252" w:lineRule="auto"/>
        <w:tabs>
          <w:tab w:leader="none" w:pos="216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does not make an offer, within three business days after receiving the notice, that the Mobil Board determines, in good faith after consultation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I-59</w:t>
      </w:r>
    </w:p>
    <w:p>
      <w:pPr>
        <w:sectPr>
          <w:pgSz w:w="11900" w:h="16838" w:orient="portrait"/>
          <w:cols w:equalWidth="0" w:num="1">
            <w:col w:w="10239"/>
          </w:cols>
          <w:pgMar w:left="220" w:top="782"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with its financial advisors, is at least as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favorable to the Mobil shareholders as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superior proposal, and</w:t>
      </w:r>
    </w:p>
    <w:p>
      <w:pPr>
        <w:spacing w:after="0" w:line="173" w:lineRule="exact"/>
        <w:rPr>
          <w:sz w:val="20"/>
          <w:szCs w:val="20"/>
          <w:color w:val="auto"/>
        </w:rPr>
      </w:pPr>
    </w:p>
    <w:p>
      <w:pPr>
        <w:ind w:left="2160" w:right="3339" w:hanging="429"/>
        <w:spacing w:after="0" w:line="255" w:lineRule="auto"/>
        <w:tabs>
          <w:tab w:leader="none" w:pos="216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paid Exxon the cash termination fee described under "--Termination Fees Payable by Mobil" below.</w:t>
      </w:r>
    </w:p>
    <w:p>
      <w:pPr>
        <w:spacing w:after="0" w:line="159" w:lineRule="exact"/>
        <w:rPr>
          <w:rFonts w:ascii="Courier New" w:cs="Courier New" w:eastAsia="Courier New" w:hAnsi="Courier New"/>
          <w:sz w:val="14"/>
          <w:szCs w:val="14"/>
          <w:color w:val="auto"/>
        </w:rPr>
      </w:pPr>
    </w:p>
    <w:p>
      <w:pPr>
        <w:ind w:left="260" w:right="3599" w:firstLine="265"/>
        <w:spacing w:after="0" w:line="252" w:lineRule="auto"/>
        <w:tabs>
          <w:tab w:leader="none" w:pos="86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Mobil if the Exxon Board fails to recommend the merger or withdraws or modifies in a manner adverse to Mobil its approval or recommendation of the merger or breaches its agreement to call the Exxon meeting.</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Neither Exxon nor Mobil can terminate the merger agreement for the reasons described in the first bullet under paragraph (b) above if its failure to fulfill in any material respect its obligations under the merger agreement has resulted in the failure to complete the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merger agreement is validly terminated, the agreement will become void without any liability on the part of any party unless such party is in willful breach thereof. However, the provisions of the merger agreement relating to expenses and termination fees, as well as the confidentiality agreement and the stock option agreement entered into between Exxon and Mobil, will continue in effect notwithstanding termination of the merger agreement.</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Termination Fees Payable by Mobil. Mobil has agreed to pay Exxon a cash amount equal to $1.5 billion in any of the following circumstances:</w:t>
      </w:r>
    </w:p>
    <w:p>
      <w:pPr>
        <w:spacing w:after="0" w:line="160" w:lineRule="exact"/>
        <w:rPr>
          <w:sz w:val="20"/>
          <w:szCs w:val="20"/>
          <w:color w:val="auto"/>
        </w:rPr>
      </w:pPr>
    </w:p>
    <w:p>
      <w:pPr>
        <w:ind w:left="960" w:right="3519" w:hanging="263"/>
        <w:spacing w:after="0" w:line="255" w:lineRule="auto"/>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terminates the merger agreement as described in paragraph (d) under "--Right to Terminate" above</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terminates the merger agreement as described in paragraph (c) under "--Right to Terminate" above, unless at the relevant time Exxon is in material breach in the manner described in the merger agreement</w:t>
      </w:r>
    </w:p>
    <w:p>
      <w:pPr>
        <w:spacing w:after="0" w:line="162" w:lineRule="exact"/>
        <w:rPr>
          <w:rFonts w:ascii="Courier New" w:cs="Courier New" w:eastAsia="Courier New" w:hAnsi="Courier New"/>
          <w:sz w:val="14"/>
          <w:szCs w:val="14"/>
          <w:color w:val="auto"/>
        </w:rPr>
      </w:pPr>
    </w:p>
    <w:p>
      <w:pPr>
        <w:ind w:left="960" w:right="4199" w:hanging="263"/>
        <w:spacing w:after="0" w:line="255" w:lineRule="auto"/>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Exxon or Mobil terminates the merger agreement in circumstances where the following three conditions are met:</w:t>
      </w:r>
    </w:p>
    <w:p>
      <w:pPr>
        <w:spacing w:after="0" w:line="159"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Mobil's shareholders do not vote in favor of the merger,</w:t>
      </w:r>
    </w:p>
    <w:p>
      <w:pPr>
        <w:spacing w:after="0" w:line="172" w:lineRule="exact"/>
        <w:rPr>
          <w:rFonts w:ascii="Courier New" w:cs="Courier New" w:eastAsia="Courier New" w:hAnsi="Courier New"/>
          <w:sz w:val="14"/>
          <w:szCs w:val="14"/>
          <w:color w:val="auto"/>
        </w:rPr>
      </w:pPr>
    </w:p>
    <w:p>
      <w:pPr>
        <w:ind w:left="1220" w:right="34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a third party has made a proposal for an alternative transaction, and</w:t>
      </w:r>
    </w:p>
    <w:p>
      <w:pPr>
        <w:spacing w:after="0" w:line="159" w:lineRule="exact"/>
        <w:rPr>
          <w:rFonts w:ascii="Courier New" w:cs="Courier New" w:eastAsia="Courier New" w:hAnsi="Courier New"/>
          <w:sz w:val="14"/>
          <w:szCs w:val="14"/>
          <w:color w:val="auto"/>
        </w:rPr>
      </w:pPr>
    </w:p>
    <w:p>
      <w:pPr>
        <w:jc w:val="both"/>
        <w:ind w:left="1220" w:right="333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within twelve months of the termination of the merger agreement Mobil enters into an agreement for an alternative transaction with that third party, or with another third party at a value per Mobil share higher than $95.96.</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Termination Fees Payable by Exxon. Exxon has agreed to pay Mobil a cash amount equal to $1.5 billion if Mobil terminates the merger agreement as described in paragraph (e) under "--Right to Terminate" above, unless at the relevant time Mobil is in material breach in the manner described in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Except as described above and subject to an exception relating to the payment of transfer taxes, all costs and expenses incurred in connection with the merger agreement and related transactions will be paid by the party incurring such costs or expenses. We estimate that merger-related fees and expenses, consisting primarily of SEC filing fees, fees and expenses of investment bankers, attorneys and accountants, and financial printing and other related charges, will total approximately $90 million assuming the merger is completed.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I-60</w:t>
      </w:r>
    </w:p>
    <w:p>
      <w:pPr>
        <w:sectPr>
          <w:pgSz w:w="11900" w:h="16838" w:orient="portrait"/>
          <w:cols w:equalWidth="0" w:num="1">
            <w:col w:w="10239"/>
          </w:cols>
          <w:pgMar w:left="220" w:top="782" w:right="1440" w:bottom="1440" w:gutter="0" w:footer="0" w:header="0"/>
        </w:sectPr>
      </w:pPr>
    </w:p>
    <w:bookmarkStart w:id="69" w:name="page70"/>
    <w:bookmarkEnd w:id="6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Waivers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provision of the merger agreement may be amended or waived prior to closing if the amendment or waiver is in writing and signed, in the case of an amendment, by Mobil, Exxon and the merger subsidiary or, in the case of a waiver, by the party against whom the waiver is to be effective. After the approval of the merger agreement by the shareholders of Mobil, no amendment or waiver that by law requires further approval by shareholders may be made without the further approval of such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The following summary of the stock option agreement is qualified by reference to the complete text of the agreement, which is incorporated by reference and attached as Annex B.</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General. At the same time that Exxon and Mobil entered into the merger agreement, they also entered into a stock option agreement. Under the stock option agreement, Mobil granted Exxon an irrevocable option to purchase up to 136.5 million shares of Mobil common stock at a price per share of $95.96. The option is exercisable in the circumstances described below.</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Exercise of the Stock Option. Exxon can exercise the option in whole or in part at any time after the occurrence of any event, which we call a trigger event in this section, entitling Exxon to receive the cash termination fee payable by Mobil pursuant to the merger agreement (see "--Termination of the Merger Agreement--Termination Fees Payable by Mobil") and prior to termination of the option.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option terminates upon the earliest to occur of</w:t>
      </w:r>
    </w:p>
    <w:p>
      <w:pPr>
        <w:spacing w:after="0" w:line="173" w:lineRule="exact"/>
        <w:rPr>
          <w:sz w:val="20"/>
          <w:szCs w:val="20"/>
          <w:color w:val="auto"/>
        </w:rPr>
      </w:pPr>
    </w:p>
    <w:p>
      <w:pPr>
        <w:ind w:left="960" w:hanging="435"/>
        <w:spacing w:after="0"/>
        <w:tabs>
          <w:tab w:leader="none" w:pos="9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merger,</w:t>
      </w:r>
    </w:p>
    <w:p>
      <w:pPr>
        <w:spacing w:after="0" w:line="172" w:lineRule="exact"/>
        <w:rPr>
          <w:rFonts w:ascii="Courier New" w:cs="Courier New" w:eastAsia="Courier New" w:hAnsi="Courier New"/>
          <w:sz w:val="14"/>
          <w:szCs w:val="14"/>
          <w:color w:val="auto"/>
        </w:rPr>
      </w:pPr>
    </w:p>
    <w:p>
      <w:pPr>
        <w:ind w:left="960" w:hanging="435"/>
        <w:spacing w:after="0"/>
        <w:tabs>
          <w:tab w:leader="none" w:pos="9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 days after Mobil has paid the cash termination fee in full, or</w:t>
      </w:r>
    </w:p>
    <w:p>
      <w:pPr>
        <w:spacing w:after="0" w:line="172" w:lineRule="exact"/>
        <w:rPr>
          <w:rFonts w:ascii="Courier New" w:cs="Courier New" w:eastAsia="Courier New" w:hAnsi="Courier New"/>
          <w:sz w:val="14"/>
          <w:szCs w:val="14"/>
          <w:color w:val="auto"/>
        </w:rPr>
      </w:pPr>
    </w:p>
    <w:p>
      <w:pPr>
        <w:ind w:left="440" w:right="3419" w:firstLine="85"/>
        <w:spacing w:after="0" w:line="252" w:lineRule="auto"/>
        <w:tabs>
          <w:tab w:leader="none" w:pos="95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day after termination of the merger agreement so long as, in the case of this clause (3), no trigger event has occurred or could still occur.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a third party makes an offer to acquire Mobil at a value per share of Mobil common stock which is lower than the $95.96 exercise price specified above, the exercise price with respect to 1,000 option shares will be adjusted to be 90% of the per share value offered by the third party. The exercise price and number of option shares are also subject to certain anti-dilution and other adjustments specified in the stock option agreement.</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Any purchase of option shares is subject to specified closing conditions, including receipt of applicable regulatory approvals. The closing of any purchase of option shares may be postponed for up to nine months beyond the termination of the option pending satisfaction of the conditions to purchase.</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Cash Election. The stock option agreement further provides that, so long as the option is exercisable, Exxon may, instead of exercising the option, elect to require Mobil to pay to Exxon in exchange for the cancellation of the relevant portion of the option an amount in cash equal to the "spread" (as defined below) multiplied by the number of option shares as to which this cash election is made.</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"Spread" means the excess, if any, over the exercise price of the higher of</w:t>
      </w:r>
    </w:p>
    <w:p>
      <w:pPr>
        <w:spacing w:after="0" w:line="7" w:lineRule="exact"/>
        <w:rPr>
          <w:sz w:val="20"/>
          <w:szCs w:val="20"/>
          <w:color w:val="auto"/>
        </w:rPr>
      </w:pPr>
    </w:p>
    <w:p>
      <w:pPr>
        <w:ind w:right="3419" w:firstLine="8"/>
        <w:spacing w:after="0" w:line="251" w:lineRule="auto"/>
        <w:tabs>
          <w:tab w:leader="none" w:pos="3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price per share of Mobil common stock paid or proposed to be paid by any third party pursuant to an alternative acquisition proposal and (2) the average of the closing price of the Mobil common stock on the NYSE at the end of its regular session, as reported on the Consolidated Tape, for the five consecutive trading days ending on and including the date immediately preceding the date on which Exxon notifies Mobil of this cash election.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I-61</w:t>
      </w:r>
    </w:p>
    <w:p>
      <w:pPr>
        <w:sectPr>
          <w:pgSz w:w="11900" w:h="16838" w:orient="portrait"/>
          <w:cols w:equalWidth="0" w:num="1">
            <w:col w:w="10239"/>
          </w:cols>
          <w:pgMar w:left="220" w:top="78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Listing and Registration Rights. Mobil has agreed to list the option shares on the NYSE and to grant Exxon customary rights to require registration by Mobil of option shares for sale by Exxon under the securities laws.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Limitation on Total Profit. The stock option agreement provides that, notwithstanding any other provision of that agreement or the merger agreement, Exxon's Total Profit (as defined below) will not exceed $2 billion in the aggregate. If Exxon's Total Profit otherwise would exceed such amount, Exxon, at its sole election, may (a) pay cash to Mobil, (b) deliver to Mobil for cancellation Option Shares previously acquired by Exxon or (c) any combination thereof, so that Exxon's actually realized Total Profit does not exceed $2 billion after taking into account the foregoing actions.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purposes of the stock option agreement, "Total Profit" means the aggregate amount, before taxes, of the following: (1) (x) the cash amount actually received by Exxon in payment by Mobil of the termination fee under the merger agreement, less (y) any repayment by Exxon as described in the preceding paragraph; (2) the net cash amounts received by Exxon pursuant to the sale of option shares (or of any other securities into or for which such option shares are converted or exchanged), less Exxon's purchase price for such option shares (or other securities), plus (3) the aggregate amount received by Exxon pursuant to exercise of the cash election described under "--Cash Election" above.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stock option agreement also provides that, notwithstanding any other provision of the agreement, the option may not be exercised for a number of option shares that would, as of the date of exercise, result in a Notional Total Profit (as described below) exceeding $2 billion. For purposes of the stock option agreement, the "Notional Total Profit" with respect to the option shares for which Exxon may propose to exercise the option means the Total Profit determined as of the date Exxon notifies Mobil of its intent to exercise the option and assuming that the applicable option shares, together with all other option shares previously acquired upon exercise of the option and held by Exxon or its affiliates as of such date, were sold for cash at the NYSE closing price on the preceding trading day.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 of Option. The option is intended to make it more likely that the merger will be completed on the agreed terms and to compensate Exxon for its efforts and costs in case the merger is not completed under circumstances generally involving a third party proposal for a business combination with Mobil. Among other effects, the option could prevent an alternative business combination with Mobil from being accounted for as a "pooling of interests". The option may therefore discourage proposals for alternative business combinations with Mobil, even if a third party were prepared to offer Mobil shareholders consideration with a higher market value than the value of the Exxon Mobil stock to be exchanged for Mobil stock in the merger.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I-62</w:t>
      </w:r>
    </w:p>
    <w:p>
      <w:pPr>
        <w:sectPr>
          <w:pgSz w:w="11900" w:h="16838" w:orient="portrait"/>
          <w:cols w:equalWidth="0" w:num="1">
            <w:col w:w="10239"/>
          </w:cols>
          <w:pgMar w:left="220" w:top="782" w:right="1440" w:bottom="1440" w:gutter="0" w:footer="0" w:header="0"/>
        </w:sectPr>
      </w:pPr>
    </w:p>
    <w:bookmarkStart w:id="71" w:name="page72"/>
    <w:bookmarkEnd w:id="71"/>
    <w:p>
      <w:pPr>
        <w:jc w:val="center"/>
        <w:ind w:right="3259"/>
        <w:spacing w:after="0"/>
        <w:rPr>
          <w:sz w:val="20"/>
          <w:szCs w:val="20"/>
          <w:color w:val="auto"/>
        </w:rPr>
      </w:pPr>
      <w:r>
        <w:rPr>
          <w:rFonts w:ascii="Courier New" w:cs="Courier New" w:eastAsia="Courier New" w:hAnsi="Courier New"/>
          <w:sz w:val="14"/>
          <w:szCs w:val="14"/>
          <w:color w:val="auto"/>
        </w:rPr>
        <w:t>CHAPTER TWO</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INFORMATION ABOUT THE MEETINGS AND VOTING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Exxon's Board is using this joint proxy statement/prospectus to solicit proxies from the holders of Exxon common stock and Exxon Class A preferred stock for use at the Exxon meeting. Mobil's Board is also using this document to solicit proxies from the holders of Mobil common stock and Mobil ESOP preferred stock for use at the Mobil meeting. We are first mailing this joint proxy statement/prospectus and accompanying form of proxy to Exxon and Mobil shareholders on or about April 9,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Relating to the Meetings</w:t>
      </w:r>
    </w:p>
    <w:p>
      <w:pPr>
        <w:spacing w:after="0" w:line="338" w:lineRule="exact"/>
        <w:rPr>
          <w:sz w:val="20"/>
          <w:szCs w:val="20"/>
          <w:color w:val="auto"/>
        </w:rPr>
      </w:pPr>
    </w:p>
    <w:p>
      <w:pPr>
        <w:jc w:val="right"/>
        <w:ind w:right="1699"/>
        <w:spacing w:after="0"/>
        <w:tabs>
          <w:tab w:leader="none" w:pos="1100" w:val="left"/>
        </w:tabs>
        <w:rPr>
          <w:sz w:val="20"/>
          <w:szCs w:val="20"/>
          <w:color w:val="auto"/>
        </w:rPr>
      </w:pPr>
      <w:r>
        <w:rPr>
          <w:rFonts w:ascii="Courier New" w:cs="Courier New" w:eastAsia="Courier New" w:hAnsi="Courier New"/>
          <w:sz w:val="14"/>
          <w:szCs w:val="14"/>
          <w:color w:val="auto"/>
        </w:rPr>
        <w:t>Exxon Meeting</w:t>
      </w:r>
      <w:r>
        <w:rPr>
          <w:sz w:val="20"/>
          <w:szCs w:val="20"/>
          <w:color w:val="auto"/>
        </w:rPr>
        <w:tab/>
      </w:r>
      <w:r>
        <w:rPr>
          <w:rFonts w:ascii="Courier New" w:cs="Courier New" w:eastAsia="Courier New" w:hAnsi="Courier New"/>
          <w:sz w:val="14"/>
          <w:szCs w:val="14"/>
          <w:color w:val="auto"/>
        </w:rPr>
        <w:t>Mobil Meeting</w:t>
      </w:r>
    </w:p>
    <w:p>
      <w:pPr>
        <w:spacing w:after="0" w:line="7" w:lineRule="exact"/>
        <w:rPr>
          <w:sz w:val="20"/>
          <w:szCs w:val="20"/>
          <w:color w:val="auto"/>
        </w:rPr>
      </w:pPr>
    </w:p>
    <w:p>
      <w:pPr>
        <w:ind w:left="328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Time and Place:</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May 27, 1999</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10:00 a.m., Central Time</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Trinity Conference Center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Wyndham Anatole Hotel</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2201 Stemmons Freeway</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Dallas, Texas</w:t>
            </w: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Purpose of</w:t>
            </w: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1.  the merger, including the related</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Meeting is to Vote</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issuance of Exxon Mobil common stock,</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on the Following</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"The Merger</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Items</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Transaction--General" on page I-14;*</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2.  the amendments to the Exxon charter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"Chapter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Three--Description of Exxon Capital</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Stock--Amendment of Exxon Charter"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beginning on page III-10;*</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3.  the election of directors to the Exxon</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Board, as described under "Chapter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Four--Other Exxon Annual Meeting</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Proposals" beginning on page IV-1;</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4.  the ratification of the appointment of</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Exxon's independent accountants, as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"Chapter Four--Other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Exxon Annual Meeting Proposals"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beginning on page IV-19;</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5.  four Exxon shareholder proposals, as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"Chapter Four--Other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Exxon Annual Meeting Proposals"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beginning on page IV-19; and</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6.  such other matters as may properly come</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before the Exxon meeting, including the</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approval of any adjournment of the meeting.</w:t>
            </w:r>
          </w:p>
        </w:tc>
      </w:tr>
      <w:tr>
        <w:trPr>
          <w:trHeight w:val="331"/>
        </w:trPr>
        <w:tc>
          <w:tcPr>
            <w:tcW w:w="1600" w:type="dxa"/>
            <w:vAlign w:val="bottom"/>
          </w:tcPr>
          <w:p>
            <w:pPr>
              <w:spacing w:after="0"/>
              <w:rPr>
                <w:sz w:val="24"/>
                <w:szCs w:val="2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May 27, 1999</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10:00 a.m., Central Time</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Regency Ballroom</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Fairmont Hotel</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1717 North Akard Street</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ind w:left="350" w:right="579" w:hanging="350"/>
        <w:spacing w:after="0" w:line="252"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and the merger, as described under "The Merger Transaction--General" on page I-14;</w:t>
      </w:r>
    </w:p>
    <w:p>
      <w:pPr>
        <w:spacing w:after="0" w:line="162" w:lineRule="exact"/>
        <w:rPr>
          <w:rFonts w:ascii="Courier New" w:cs="Courier New" w:eastAsia="Courier New" w:hAnsi="Courier New"/>
          <w:sz w:val="14"/>
          <w:szCs w:val="14"/>
          <w:color w:val="auto"/>
        </w:rPr>
      </w:pPr>
    </w:p>
    <w:p>
      <w:pPr>
        <w:ind w:left="350" w:right="419" w:hanging="350"/>
        <w:spacing w:after="0" w:line="252"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directors to the Mobil Board, as described under "Chapter Five--Other Mobil Annual Meeting Proposals" beginning on page V-1;</w:t>
      </w:r>
    </w:p>
    <w:p>
      <w:pPr>
        <w:spacing w:after="0" w:line="162" w:lineRule="exact"/>
        <w:rPr>
          <w:rFonts w:ascii="Courier New" w:cs="Courier New" w:eastAsia="Courier New" w:hAnsi="Courier New"/>
          <w:sz w:val="14"/>
          <w:szCs w:val="14"/>
          <w:color w:val="auto"/>
        </w:rPr>
      </w:pPr>
    </w:p>
    <w:p>
      <w:pPr>
        <w:ind w:left="350" w:right="419" w:hanging="350"/>
        <w:spacing w:after="0" w:line="251"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of the appointment of Mobil's independent auditors, as described under "Chapter Five--Other Mobil Annual Meeting Proposals" on page V-4;</w:t>
      </w:r>
    </w:p>
    <w:p>
      <w:pPr>
        <w:spacing w:after="0" w:line="164" w:lineRule="exact"/>
        <w:rPr>
          <w:rFonts w:ascii="Courier New" w:cs="Courier New" w:eastAsia="Courier New" w:hAnsi="Courier New"/>
          <w:sz w:val="14"/>
          <w:szCs w:val="14"/>
          <w:color w:val="auto"/>
        </w:rPr>
      </w:pPr>
    </w:p>
    <w:p>
      <w:pPr>
        <w:ind w:left="350" w:right="579" w:hanging="350"/>
        <w:spacing w:after="0" w:line="252"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Mobil shareholder proposals, as described under "Chapter Five--Other Mobil Annual Meeting Proposals" beginning on page V-5; and</w:t>
      </w:r>
    </w:p>
    <w:p>
      <w:pPr>
        <w:spacing w:after="0" w:line="162" w:lineRule="exact"/>
        <w:rPr>
          <w:rFonts w:ascii="Courier New" w:cs="Courier New" w:eastAsia="Courier New" w:hAnsi="Courier New"/>
          <w:sz w:val="14"/>
          <w:szCs w:val="14"/>
          <w:color w:val="auto"/>
        </w:rPr>
      </w:pPr>
    </w:p>
    <w:p>
      <w:pPr>
        <w:ind w:left="350" w:right="759" w:hanging="350"/>
        <w:spacing w:after="0" w:line="252"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matters as may properly come before the Mobil meeting, including the approval of any adjournment of the meeting.</w:t>
      </w:r>
    </w:p>
    <w:p>
      <w:pPr>
        <w:spacing w:after="0" w:line="1487" w:lineRule="exact"/>
        <w:rPr>
          <w:sz w:val="20"/>
          <w:szCs w:val="20"/>
          <w:color w:val="auto"/>
        </w:rPr>
      </w:pPr>
    </w:p>
    <w:p>
      <w:pPr>
        <w:sectPr>
          <w:pgSz w:w="11900" w:h="16838" w:orient="portrait"/>
          <w:cols w:equalWidth="0" w:num="2">
            <w:col w:w="6040" w:space="170"/>
            <w:col w:w="4029"/>
          </w:cols>
          <w:pgMar w:left="220" w:top="616" w:right="1440" w:bottom="1440" w:gutter="0" w:footer="0" w:header="0"/>
          <w:type w:val="continuous"/>
        </w:sectPr>
      </w:pPr>
    </w:p>
    <w:p>
      <w:pPr>
        <w:jc w:val="both"/>
        <w:ind w:left="2340" w:right="3939" w:hanging="523"/>
        <w:spacing w:after="0" w:line="252" w:lineRule="auto"/>
        <w:tabs>
          <w:tab w:leader="none" w:pos="23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not be completed and the Exxon charter amendments will not be effected unless each is approved by Exxon shareholders.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type w:val="continuous"/>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338" w:lineRule="exact"/>
        <w:rPr>
          <w:sz w:val="20"/>
          <w:szCs w:val="20"/>
          <w:color w:val="auto"/>
        </w:rPr>
      </w:pPr>
    </w:p>
    <w:p>
      <w:pPr>
        <w:jc w:val="right"/>
        <w:ind w:right="1699"/>
        <w:spacing w:after="0"/>
        <w:tabs>
          <w:tab w:leader="none" w:pos="1100" w:val="left"/>
        </w:tabs>
        <w:rPr>
          <w:sz w:val="20"/>
          <w:szCs w:val="20"/>
          <w:color w:val="auto"/>
        </w:rPr>
      </w:pPr>
      <w:r>
        <w:rPr>
          <w:rFonts w:ascii="Courier New" w:cs="Courier New" w:eastAsia="Courier New" w:hAnsi="Courier New"/>
          <w:sz w:val="14"/>
          <w:szCs w:val="14"/>
          <w:color w:val="auto"/>
        </w:rPr>
        <w:t>Exxon Meeting</w:t>
      </w:r>
      <w:r>
        <w:rPr>
          <w:sz w:val="20"/>
          <w:szCs w:val="20"/>
          <w:color w:val="auto"/>
        </w:rPr>
        <w:tab/>
      </w:r>
      <w:r>
        <w:rPr>
          <w:rFonts w:ascii="Courier New" w:cs="Courier New" w:eastAsia="Courier New" w:hAnsi="Courier New"/>
          <w:sz w:val="14"/>
          <w:szCs w:val="14"/>
          <w:color w:val="auto"/>
        </w:rPr>
        <w:t>Mobil Meeting</w:t>
      </w:r>
    </w:p>
    <w:p>
      <w:pPr>
        <w:spacing w:after="0" w:line="7" w:lineRule="exact"/>
        <w:rPr>
          <w:sz w:val="20"/>
          <w:szCs w:val="20"/>
          <w:color w:val="auto"/>
        </w:rPr>
      </w:pPr>
    </w:p>
    <w:p>
      <w:pPr>
        <w:ind w:left="328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Record Date:</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 record date for shares entitled to vote is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March 29, 1999.</w:t>
            </w:r>
          </w:p>
        </w:tc>
      </w:tr>
      <w:tr>
        <w:trPr>
          <w:trHeight w:val="331"/>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Outstanding</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As of March 1, 1999, there were</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Held on</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2,427,925,038 shares of Exxon common stock</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Record Date:</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and 1,593,644 shares of Exxon Class A</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preferred stock outstanding.  All Exxon Class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 preferred stock is held of record by the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trustee under Exxon's Thrift Plan (the "Exxon</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ESOP").</w:t>
            </w:r>
          </w:p>
        </w:tc>
      </w:tr>
      <w:tr>
        <w:trPr>
          <w:trHeight w:val="497"/>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Entitled to</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Shares entitled to vote are Exxon common</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Vote:</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stock and Exxon Class A preferred stock held</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at the close of business on the record date,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March 29, 1999.</w:t>
            </w:r>
          </w:p>
        </w:tc>
      </w:tr>
      <w:tr>
        <w:trPr>
          <w:trHeight w:val="331"/>
        </w:trPr>
        <w:tc>
          <w:tcPr>
            <w:tcW w:w="168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Each share of Exxon common stock that you</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own entitles you to one vote. The Exxon Class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 preferred stock is entitled to vote on all</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matters submitted to a vote of holders of</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common stock, voting with the common stock</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as a single class.</w:t>
            </w:r>
          </w:p>
        </w:tc>
      </w:tr>
      <w:tr>
        <w:trPr>
          <w:trHeight w:val="331"/>
        </w:trPr>
        <w:tc>
          <w:tcPr>
            <w:tcW w:w="168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Each share of Exxon Class A preferred stock is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entitled to the number of votes equal to the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number of shares of common stock into which</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 share of Class A preferred stock could be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converted on the record date.  Each share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currently has two votes, subject to adjustment</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if certain dilutive events occur before the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record date.</w:t>
            </w:r>
          </w:p>
        </w:tc>
      </w:tr>
      <w:tr>
        <w:trPr>
          <w:trHeight w:val="331"/>
        </w:trPr>
        <w:tc>
          <w:tcPr>
            <w:tcW w:w="168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Each participant in the Exxon ESOP instructs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 trustee of the ESOP how to vote his or</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shares. As to unallocated shares and shares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with respect to which the trustee receives no</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timely voting instructions, the trustee,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pursuant to the ESOP Trust Agreement, votes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these shares in the same proportion as it votes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all the shares as to which it has received</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timely voting instructions.</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59"/>
        <w:spacing w:after="0" w:line="255" w:lineRule="auto"/>
        <w:rPr>
          <w:sz w:val="20"/>
          <w:szCs w:val="20"/>
          <w:color w:val="auto"/>
        </w:rPr>
      </w:pPr>
      <w:r>
        <w:rPr>
          <w:rFonts w:ascii="Courier New" w:cs="Courier New" w:eastAsia="Courier New" w:hAnsi="Courier New"/>
          <w:sz w:val="14"/>
          <w:szCs w:val="14"/>
          <w:color w:val="auto"/>
        </w:rPr>
        <w:t>The record date for shares entitled to vote is March 29, 1999.</w:t>
      </w:r>
    </w:p>
    <w:p>
      <w:pPr>
        <w:spacing w:after="0" w:line="160" w:lineRule="exact"/>
        <w:rPr>
          <w:sz w:val="20"/>
          <w:szCs w:val="20"/>
          <w:color w:val="auto"/>
        </w:rPr>
      </w:pPr>
    </w:p>
    <w:p>
      <w:pPr>
        <w:ind w:right="499"/>
        <w:spacing w:after="0" w:line="251" w:lineRule="auto"/>
        <w:rPr>
          <w:sz w:val="20"/>
          <w:szCs w:val="20"/>
          <w:color w:val="auto"/>
        </w:rPr>
      </w:pPr>
      <w:r>
        <w:rPr>
          <w:rFonts w:ascii="Courier New" w:cs="Courier New" w:eastAsia="Courier New" w:hAnsi="Courier New"/>
          <w:sz w:val="14"/>
          <w:szCs w:val="14"/>
          <w:color w:val="auto"/>
        </w:rPr>
        <w:t>As of March 1, 1999, there were 781,227,938 shares of Mobil common stock and 163,383 shares of Mobil ESOP preferred stock outstanding. All Mobil ESOP preferred stock is held of record by the trustee under Appendix A to the Employees Savings Plan of Mobil Oil Corporation (the "Mobil ESOP").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entitled to vote are Mobil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Mobil ESOP preferred stock 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close of business on the record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173" w:lineRule="exact"/>
        <w:rPr>
          <w:sz w:val="20"/>
          <w:szCs w:val="20"/>
          <w:color w:val="auto"/>
        </w:rPr>
      </w:pPr>
    </w:p>
    <w:p>
      <w:pPr>
        <w:ind w:right="159"/>
        <w:spacing w:after="0" w:line="251" w:lineRule="auto"/>
        <w:rPr>
          <w:sz w:val="20"/>
          <w:szCs w:val="20"/>
          <w:color w:val="auto"/>
        </w:rPr>
      </w:pPr>
      <w:r>
        <w:rPr>
          <w:rFonts w:ascii="Courier New" w:cs="Courier New" w:eastAsia="Courier New" w:hAnsi="Courier New"/>
          <w:sz w:val="14"/>
          <w:szCs w:val="14"/>
          <w:color w:val="auto"/>
        </w:rPr>
        <w:t>Each share of Mobil common stock that you own entitles you to one vote. The Mobil ESOP preferred stock is entitled to vote on all matters submitted to a vote of holders of common stock, voting with the common stock as a single class.</w:t>
      </w:r>
    </w:p>
    <w:p>
      <w:pPr>
        <w:spacing w:after="0" w:line="164" w:lineRule="exact"/>
        <w:rPr>
          <w:sz w:val="20"/>
          <w:szCs w:val="20"/>
          <w:color w:val="auto"/>
        </w:rPr>
      </w:pPr>
    </w:p>
    <w:p>
      <w:pPr>
        <w:ind w:right="239"/>
        <w:spacing w:after="0" w:line="251" w:lineRule="auto"/>
        <w:rPr>
          <w:sz w:val="20"/>
          <w:szCs w:val="20"/>
          <w:color w:val="auto"/>
        </w:rPr>
      </w:pPr>
      <w:r>
        <w:rPr>
          <w:rFonts w:ascii="Courier New" w:cs="Courier New" w:eastAsia="Courier New" w:hAnsi="Courier New"/>
          <w:sz w:val="14"/>
          <w:szCs w:val="14"/>
          <w:color w:val="auto"/>
        </w:rPr>
        <w:t>Each share of Mobil ESOP preferred stock is entitled to the number of votes equal to the number of shares of common stock into which the share of ESOP preferred stock could be converted on the record date. Each share currently has 100 votes, subject to adjustment if certain dilutive events occur before the record date.</w:t>
      </w:r>
    </w:p>
    <w:p>
      <w:pPr>
        <w:spacing w:after="0" w:line="164" w:lineRule="exact"/>
        <w:rPr>
          <w:sz w:val="20"/>
          <w:szCs w:val="20"/>
          <w:color w:val="auto"/>
        </w:rPr>
      </w:pPr>
    </w:p>
    <w:p>
      <w:pPr>
        <w:ind w:right="319"/>
        <w:spacing w:after="0" w:line="251" w:lineRule="auto"/>
        <w:rPr>
          <w:sz w:val="20"/>
          <w:szCs w:val="20"/>
          <w:color w:val="auto"/>
        </w:rPr>
      </w:pPr>
      <w:r>
        <w:rPr>
          <w:rFonts w:ascii="Courier New" w:cs="Courier New" w:eastAsia="Courier New" w:hAnsi="Courier New"/>
          <w:sz w:val="14"/>
          <w:szCs w:val="14"/>
          <w:color w:val="auto"/>
        </w:rPr>
        <w:t>Each participant in the Mobil ESOP instructs the trustee of the ESOP how to vote his or her shares. As to unallocated shares and shares with respect to which the trustee receives no timely voting instructions, the trustee, pursuant to the ESOP Trust Agreement, votes these shares in the same proportion as it votes all the shares allocated to the accounts of regular Mobil employees as to which it has received timely voting instructions.</w:t>
      </w:r>
    </w:p>
    <w:p>
      <w:pPr>
        <w:spacing w:after="0" w:line="163" w:lineRule="exact"/>
        <w:rPr>
          <w:sz w:val="20"/>
          <w:szCs w:val="20"/>
          <w:color w:val="auto"/>
        </w:rPr>
      </w:pPr>
    </w:p>
    <w:p>
      <w:pPr>
        <w:sectPr>
          <w:pgSz w:w="11900" w:h="16838" w:orient="portrait"/>
          <w:cols w:equalWidth="0" w:num="2">
            <w:col w:w="6040" w:space="180"/>
            <w:col w:w="4019"/>
          </w:cols>
          <w:pgMar w:left="220" w:top="616" w:right="1440" w:bottom="1440" w:gutter="0" w:footer="0" w:header="0"/>
          <w:type w:val="continuous"/>
        </w:sectPr>
      </w:pPr>
    </w:p>
    <w:p>
      <w:pPr>
        <w:ind w:left="1980"/>
        <w:spacing w:after="0" w:line="255" w:lineRule="auto"/>
        <w:rPr>
          <w:sz w:val="20"/>
          <w:szCs w:val="20"/>
          <w:color w:val="auto"/>
        </w:rPr>
      </w:pPr>
      <w:r>
        <w:rPr>
          <w:rFonts w:ascii="Courier New" w:cs="Courier New" w:eastAsia="Courier New" w:hAnsi="Courier New"/>
          <w:sz w:val="14"/>
          <w:szCs w:val="14"/>
          <w:color w:val="auto"/>
        </w:rPr>
        <w:t>Shares held by Exxon in its treasury are not voted.</w:t>
      </w:r>
    </w:p>
    <w:p>
      <w:pPr>
        <w:spacing w:after="0" w:line="20" w:lineRule="exact"/>
        <w:rPr>
          <w:sz w:val="20"/>
          <w:szCs w:val="20"/>
          <w:color w:val="auto"/>
        </w:rPr>
      </w:pPr>
      <w:r>
        <w:rPr>
          <w:sz w:val="20"/>
          <w:szCs w:val="20"/>
          <w:color w:val="auto"/>
        </w:rPr>
        <w:br w:type="column"/>
      </w:r>
    </w:p>
    <w:p>
      <w:pPr>
        <w:ind w:right="59"/>
        <w:spacing w:after="0" w:line="251" w:lineRule="auto"/>
        <w:rPr>
          <w:sz w:val="20"/>
          <w:szCs w:val="20"/>
          <w:color w:val="auto"/>
        </w:rPr>
      </w:pPr>
      <w:r>
        <w:rPr>
          <w:rFonts w:ascii="Courier New" w:cs="Courier New" w:eastAsia="Courier New" w:hAnsi="Courier New"/>
          <w:sz w:val="14"/>
          <w:szCs w:val="14"/>
          <w:color w:val="auto"/>
        </w:rPr>
        <w:t>Shares held by Mobil in its treasury are not voted. This does not include shares held in its rabbi trust, which are treated in a manner similar to treasury shares for accounting purposes only.</w:t>
      </w:r>
    </w:p>
    <w:p>
      <w:pPr>
        <w:spacing w:after="0" w:line="200" w:lineRule="exact"/>
        <w:rPr>
          <w:sz w:val="20"/>
          <w:szCs w:val="20"/>
          <w:color w:val="auto"/>
        </w:rPr>
      </w:pPr>
    </w:p>
    <w:p>
      <w:pPr>
        <w:sectPr>
          <w:pgSz w:w="11900" w:h="16838" w:orient="portrait"/>
          <w:cols w:equalWidth="0" w:num="2">
            <w:col w:w="5780" w:space="440"/>
            <w:col w:w="4019"/>
          </w:cols>
          <w:pgMar w:left="220" w:top="616" w:right="1440" w:bottom="1440" w:gutter="0" w:footer="0" w:header="0"/>
          <w:type w:val="continuous"/>
        </w:sectPr>
      </w:pPr>
    </w:p>
    <w:p>
      <w:pPr>
        <w:spacing w:after="0" w:line="1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type w:val="continuous"/>
        </w:sectPr>
      </w:pPr>
    </w:p>
    <w:bookmarkStart w:id="73" w:name="page74"/>
    <w:bookmarkEnd w:id="73"/>
    <w:p>
      <w:pPr>
        <w:ind w:left="1800"/>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ectPr>
          <w:pgSz w:w="11900" w:h="16838" w:orient="portrait"/>
          <w:cols w:equalWidth="0" w:num="1">
            <w:col w:w="10059"/>
          </w:cols>
          <w:pgMar w:left="40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Exxon Meeting</w:t>
      </w:r>
    </w:p>
    <w:p>
      <w:pPr>
        <w:spacing w:after="0" w:line="338" w:lineRule="exact"/>
        <w:rPr>
          <w:sz w:val="20"/>
          <w:szCs w:val="20"/>
          <w:color w:val="auto"/>
        </w:rPr>
      </w:pPr>
    </w:p>
    <w:p>
      <w:pPr>
        <w:ind w:left="940"/>
        <w:spacing w:after="0"/>
        <w:tabs>
          <w:tab w:leader="none" w:pos="1780" w:val="left"/>
        </w:tabs>
        <w:rPr>
          <w:sz w:val="20"/>
          <w:szCs w:val="20"/>
          <w:color w:val="auto"/>
        </w:rPr>
      </w:pPr>
      <w:r>
        <w:rPr>
          <w:rFonts w:ascii="Courier New" w:cs="Courier New" w:eastAsia="Courier New" w:hAnsi="Courier New"/>
          <w:sz w:val="14"/>
          <w:szCs w:val="14"/>
          <w:color w:val="auto"/>
        </w:rPr>
        <w:t>Quorum</w:t>
      </w:r>
      <w:r>
        <w:rPr>
          <w:sz w:val="20"/>
          <w:szCs w:val="20"/>
          <w:color w:val="auto"/>
        </w:rPr>
        <w:tab/>
      </w:r>
      <w:r>
        <w:rPr>
          <w:rFonts w:ascii="Courier New" w:cs="Courier New" w:eastAsia="Courier New" w:hAnsi="Courier New"/>
          <w:sz w:val="14"/>
          <w:szCs w:val="14"/>
          <w:color w:val="auto"/>
        </w:rPr>
        <w:t>A quorum of shareholders is necessary to hold</w:t>
      </w:r>
    </w:p>
    <w:p>
      <w:pPr>
        <w:spacing w:after="0" w:line="7" w:lineRule="exact"/>
        <w:rPr>
          <w:sz w:val="20"/>
          <w:szCs w:val="20"/>
          <w:color w:val="auto"/>
        </w:rPr>
      </w:pPr>
    </w:p>
    <w:p>
      <w:pPr>
        <w:ind w:left="520"/>
        <w:spacing w:after="0"/>
        <w:tabs>
          <w:tab w:leader="none" w:pos="1780" w:val="left"/>
        </w:tabs>
        <w:rPr>
          <w:sz w:val="20"/>
          <w:szCs w:val="20"/>
          <w:color w:val="auto"/>
        </w:rPr>
      </w:pPr>
      <w:r>
        <w:rPr>
          <w:rFonts w:ascii="Courier New" w:cs="Courier New" w:eastAsia="Courier New" w:hAnsi="Courier New"/>
          <w:sz w:val="14"/>
          <w:szCs w:val="14"/>
          <w:color w:val="auto"/>
        </w:rPr>
        <w:t>Requirement:</w:t>
        <w:tab/>
        <w:t>a valid meeting.</w:t>
      </w:r>
    </w:p>
    <w:p>
      <w:pPr>
        <w:spacing w:after="0" w:line="173" w:lineRule="exact"/>
        <w:rPr>
          <w:sz w:val="20"/>
          <w:szCs w:val="20"/>
          <w:color w:val="auto"/>
        </w:rPr>
      </w:pPr>
    </w:p>
    <w:p>
      <w:pPr>
        <w:ind w:left="1800"/>
        <w:spacing w:after="0" w:line="251" w:lineRule="auto"/>
        <w:rPr>
          <w:sz w:val="20"/>
          <w:szCs w:val="20"/>
          <w:color w:val="auto"/>
        </w:rPr>
      </w:pPr>
      <w:r>
        <w:rPr>
          <w:rFonts w:ascii="Courier New" w:cs="Courier New" w:eastAsia="Courier New" w:hAnsi="Courier New"/>
          <w:sz w:val="14"/>
          <w:szCs w:val="14"/>
          <w:color w:val="auto"/>
        </w:rPr>
        <w:t>The presence in person or by proxy at the meeting of holders of shares representing a majority of the votes of the Exxon common stock and Class A preferred stock entitled to vote at the Meeting is a quorum. Abstentions and broker "non-votes" count as present for establishing a quorum. Shares held by Exxon in its treasury do not count toward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Mobil Meeting</w:t>
      </w:r>
    </w:p>
    <w:p>
      <w:pPr>
        <w:spacing w:after="0" w:line="338" w:lineRule="exact"/>
        <w:rPr>
          <w:sz w:val="20"/>
          <w:szCs w:val="20"/>
          <w:color w:val="auto"/>
        </w:rPr>
      </w:pPr>
    </w:p>
    <w:p>
      <w:pPr>
        <w:ind w:right="579"/>
        <w:spacing w:after="0" w:line="255" w:lineRule="auto"/>
        <w:rPr>
          <w:sz w:val="20"/>
          <w:szCs w:val="20"/>
          <w:color w:val="auto"/>
        </w:rPr>
      </w:pPr>
      <w:r>
        <w:rPr>
          <w:rFonts w:ascii="Courier New" w:cs="Courier New" w:eastAsia="Courier New" w:hAnsi="Courier New"/>
          <w:sz w:val="14"/>
          <w:szCs w:val="14"/>
          <w:color w:val="auto"/>
        </w:rPr>
        <w:t>A quorum of shareholders is necessary to hold a valid meeting.</w:t>
      </w:r>
    </w:p>
    <w:p>
      <w:pPr>
        <w:spacing w:after="0" w:line="160" w:lineRule="exact"/>
        <w:rPr>
          <w:sz w:val="20"/>
          <w:szCs w:val="20"/>
          <w:color w:val="auto"/>
        </w:rPr>
      </w:pPr>
    </w:p>
    <w:p>
      <w:pPr>
        <w:ind w:right="59"/>
        <w:spacing w:after="0" w:line="251" w:lineRule="auto"/>
        <w:rPr>
          <w:sz w:val="20"/>
          <w:szCs w:val="20"/>
          <w:color w:val="auto"/>
        </w:rPr>
      </w:pPr>
      <w:r>
        <w:rPr>
          <w:rFonts w:ascii="Courier New" w:cs="Courier New" w:eastAsia="Courier New" w:hAnsi="Courier New"/>
          <w:sz w:val="14"/>
          <w:szCs w:val="14"/>
          <w:color w:val="auto"/>
        </w:rPr>
        <w:t>The presence in person or by proxy at the meeting of holders of shares representing at least one-third of the votes of the Mobil common stock and ESOP preferred stock entitled to vote at the meeting is a quorum. Abstentions and broker "non-votes" count as present for establishing a quorum. Shares held by Mobil in its treasury do not count toward a quorum, except for shares held in its rabbi trust, which are treated in a manner similar to treasury shares for accounting purposes only.</w:t>
      </w:r>
    </w:p>
    <w:p>
      <w:pPr>
        <w:spacing w:after="0" w:line="200" w:lineRule="exact"/>
        <w:rPr>
          <w:sz w:val="20"/>
          <w:szCs w:val="20"/>
          <w:color w:val="auto"/>
        </w:rPr>
      </w:pPr>
    </w:p>
    <w:p>
      <w:pPr>
        <w:sectPr>
          <w:pgSz w:w="11900" w:h="16838" w:orient="portrait"/>
          <w:cols w:equalWidth="0" w:num="2">
            <w:col w:w="5680" w:space="360"/>
            <w:col w:w="4019"/>
          </w:cols>
          <w:pgMar w:left="400" w:top="616" w:right="1440"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 broker non-vote occurs on an item when a</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broker is not permitted to vote on that item</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without instruction from the beneficial owner</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of the shares and no instruction is given.</w:t>
            </w:r>
          </w:p>
        </w:tc>
      </w:tr>
      <w:tr>
        <w:trPr>
          <w:trHeight w:val="497"/>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10,547,225 shares of Exxon common stock,</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Beneficially</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including exercisable options.  These shares</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Owned by Exxon</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represent in total approximately 0.43% of the</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Mobil</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voting power of Exxon's voting securities,</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Directors and</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voting together as a single class.</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Executive Officers</w:t>
            </w:r>
          </w:p>
        </w:tc>
        <w:tc>
          <w:tcPr>
            <w:tcW w:w="4180" w:type="dxa"/>
            <w:vAlign w:val="bottom"/>
          </w:tcPr>
          <w:p>
            <w:pPr>
              <w:spacing w:after="0"/>
              <w:rPr>
                <w:sz w:val="14"/>
                <w:szCs w:val="14"/>
                <w:color w:val="auto"/>
              </w:rPr>
            </w:pP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 of</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These individuals have indicated that they will</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1, 1999:</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vote in favor of the merger and the other</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proposals recommended by the Exxon Board,</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and against the shareholder proposals to be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presented at the Exxon meeting.</w:t>
            </w: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39"/>
        <w:spacing w:after="0" w:line="251" w:lineRule="auto"/>
        <w:rPr>
          <w:sz w:val="20"/>
          <w:szCs w:val="20"/>
          <w:color w:val="auto"/>
        </w:rPr>
      </w:pPr>
      <w:r>
        <w:rPr>
          <w:rFonts w:ascii="Courier New" w:cs="Courier New" w:eastAsia="Courier New" w:hAnsi="Courier New"/>
          <w:sz w:val="14"/>
          <w:szCs w:val="14"/>
          <w:color w:val="auto"/>
        </w:rPr>
        <w:t>A broker non-vote occurs on an item when a broker is not permitted to vote on that item without instruction from the beneficial owner of the shares and no instruction is given.</w:t>
      </w:r>
    </w:p>
    <w:p>
      <w:pPr>
        <w:spacing w:after="0" w:line="165" w:lineRule="exact"/>
        <w:rPr>
          <w:sz w:val="20"/>
          <w:szCs w:val="20"/>
          <w:color w:val="auto"/>
        </w:rPr>
      </w:pPr>
    </w:p>
    <w:p>
      <w:pPr>
        <w:ind w:right="159"/>
        <w:spacing w:after="0" w:line="251" w:lineRule="auto"/>
        <w:rPr>
          <w:sz w:val="20"/>
          <w:szCs w:val="20"/>
          <w:color w:val="auto"/>
        </w:rPr>
      </w:pPr>
      <w:r>
        <w:rPr>
          <w:rFonts w:ascii="Courier New" w:cs="Courier New" w:eastAsia="Courier New" w:hAnsi="Courier New"/>
          <w:sz w:val="14"/>
          <w:szCs w:val="14"/>
          <w:color w:val="auto"/>
        </w:rPr>
        <w:t>722,979 shares of Mobil common stock, including exercisable options and 74.49 shares of Mobil ESOP preferred stock. These shares represent in total approximately .09% of the voting power of Mobil's voting securities, voting together as a single class.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individuals have indicated that they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vote in favor of the merger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proposals recommended by the Mobil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against the shareholder proposals,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one director as to the merger.</w:t>
      </w:r>
    </w:p>
    <w:p>
      <w:pPr>
        <w:spacing w:after="0" w:line="200" w:lineRule="exact"/>
        <w:rPr>
          <w:sz w:val="20"/>
          <w:szCs w:val="20"/>
          <w:color w:val="auto"/>
        </w:rPr>
      </w:pPr>
    </w:p>
    <w:p>
      <w:pPr>
        <w:sectPr>
          <w:pgSz w:w="11900" w:h="16838" w:orient="portrait"/>
          <w:cols w:equalWidth="0" w:num="2">
            <w:col w:w="5860" w:space="180"/>
            <w:col w:w="4019"/>
          </w:cols>
          <w:pgMar w:left="400" w:top="616" w:right="1440" w:bottom="1440" w:gutter="0" w:footer="0" w:header="0"/>
          <w:type w:val="continuous"/>
        </w:sectPr>
      </w:pPr>
    </w:p>
    <w:p>
      <w:pPr>
        <w:spacing w:after="0" w:line="1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059"/>
          </w:cols>
          <w:pgMar w:left="400" w:top="616" w:right="1440" w:bottom="1440" w:gutter="0" w:footer="0" w:header="0"/>
          <w:type w:val="continuous"/>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Necessary to Approve Exxon and Mobil Proposals</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Item</w:t>
            </w:r>
          </w:p>
        </w:tc>
        <w:tc>
          <w:tcPr>
            <w:tcW w:w="1080" w:type="dxa"/>
            <w:vAlign w:val="bottom"/>
          </w:tcPr>
          <w:p>
            <w:pPr>
              <w:spacing w:after="0"/>
              <w:rPr>
                <w:sz w:val="14"/>
                <w:szCs w:val="14"/>
                <w:color w:val="auto"/>
              </w:rPr>
            </w:pPr>
          </w:p>
        </w:tc>
        <w:tc>
          <w:tcPr>
            <w:tcW w:w="2020" w:type="dxa"/>
            <w:vAlign w:val="bottom"/>
          </w:tcPr>
          <w:p>
            <w:pPr>
              <w:ind w:left="600"/>
              <w:spacing w:after="0"/>
              <w:rPr>
                <w:sz w:val="20"/>
                <w:szCs w:val="20"/>
                <w:color w:val="auto"/>
              </w:rPr>
            </w:pPr>
            <w:r>
              <w:rPr>
                <w:rFonts w:ascii="Courier New" w:cs="Courier New" w:eastAsia="Courier New" w:hAnsi="Courier New"/>
                <w:sz w:val="14"/>
                <w:szCs w:val="14"/>
                <w:color w:val="auto"/>
              </w:rPr>
              <w:t>Vote Necessary*</w:t>
            </w:r>
          </w:p>
        </w:tc>
        <w:tc>
          <w:tcPr>
            <w:tcW w:w="1000" w:type="dxa"/>
            <w:vAlign w:val="bottom"/>
          </w:tcPr>
          <w:p>
            <w:pPr>
              <w:spacing w:after="0"/>
              <w:rPr>
                <w:sz w:val="14"/>
                <w:szCs w:val="14"/>
                <w:color w:val="auto"/>
              </w:rPr>
            </w:pPr>
          </w:p>
        </w:tc>
      </w:tr>
      <w:tr>
        <w:trPr>
          <w:trHeight w:val="497"/>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w:t>
            </w:r>
          </w:p>
        </w:tc>
        <w:tc>
          <w:tcPr>
            <w:tcW w:w="2360" w:type="dxa"/>
            <w:vAlign w:val="bottom"/>
          </w:tcPr>
          <w:p>
            <w:pPr>
              <w:ind w:left="80"/>
              <w:spacing w:after="0"/>
              <w:rPr>
                <w:sz w:val="20"/>
                <w:szCs w:val="20"/>
                <w:color w:val="auto"/>
              </w:rPr>
            </w:pPr>
            <w:r>
              <w:rPr>
                <w:rFonts w:ascii="Courier New" w:cs="Courier New" w:eastAsia="Courier New" w:hAnsi="Courier New"/>
                <w:sz w:val="14"/>
                <w:szCs w:val="14"/>
                <w:color w:val="auto"/>
              </w:rPr>
              <w:t>Merger Proposals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Exxon:</w:t>
            </w: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Approval of the merger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and related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matters described on page I-14</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requires a majority of</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the votes</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cast by holders of the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Exxon</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common stock and Exxon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Class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preferred stock, voting as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single class. Abstentions have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no effect on the vote.</w:t>
            </w:r>
          </w:p>
        </w:tc>
        <w:tc>
          <w:tcPr>
            <w:tcW w:w="1000" w:type="dxa"/>
            <w:vAlign w:val="bottom"/>
          </w:tcPr>
          <w:p>
            <w:pPr>
              <w:spacing w:after="0"/>
              <w:rPr>
                <w:sz w:val="14"/>
                <w:szCs w:val="14"/>
                <w:color w:val="auto"/>
              </w:rPr>
            </w:pPr>
          </w:p>
        </w:tc>
      </w:tr>
      <w:tr>
        <w:trPr>
          <w:trHeight w:val="331"/>
        </w:trPr>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Mobil:</w:t>
            </w: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Approval of the merger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and the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merger agreement requires the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affirmative vote of a majority</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the votes of the outstanding</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shares of Mobil common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stock and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Mobil ESOP preferred stock,</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voting as a single class.</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Withheld votes and abstentions</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have the same effect as a vote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against.</w:t>
            </w:r>
          </w:p>
        </w:tc>
        <w:tc>
          <w:tcPr>
            <w:tcW w:w="100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II.</w:t>
            </w:r>
          </w:p>
        </w:tc>
        <w:tc>
          <w:tcPr>
            <w:tcW w:w="2360" w:type="dxa"/>
            <w:vAlign w:val="bottom"/>
          </w:tcPr>
          <w:p>
            <w:pPr>
              <w:ind w:left="80"/>
              <w:spacing w:after="0"/>
              <w:rPr>
                <w:sz w:val="20"/>
                <w:szCs w:val="20"/>
                <w:color w:val="auto"/>
              </w:rPr>
            </w:pPr>
            <w:r>
              <w:rPr>
                <w:rFonts w:ascii="Courier New" w:cs="Courier New" w:eastAsia="Courier New" w:hAnsi="Courier New"/>
                <w:sz w:val="14"/>
                <w:szCs w:val="14"/>
                <w:color w:val="auto"/>
              </w:rPr>
              <w:t>Election of Directors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Exxon:</w:t>
            </w: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Directors are elected by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plurality of the votes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represented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by the shares of Exxon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and Exxon Class A preferred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present at the meeting in</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person or by proxy, voting as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single class.</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This means that the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nominees with the most affirmative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votes are elected to fill the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available seats. Only the number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of votes "FOR" affect the outcome.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Withheld votes and abstentions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have no effect on the vote.</w:t>
      </w:r>
    </w:p>
    <w:p>
      <w:pPr>
        <w:spacing w:after="0" w:line="173" w:lineRule="exact"/>
        <w:rPr>
          <w:sz w:val="20"/>
          <w:szCs w:val="20"/>
          <w:color w:val="auto"/>
        </w:rPr>
      </w:pPr>
    </w:p>
    <w:p>
      <w:pPr>
        <w:ind w:left="3280"/>
        <w:spacing w:after="0"/>
        <w:tabs>
          <w:tab w:leader="none" w:pos="3960" w:val="left"/>
        </w:tabs>
        <w:rPr>
          <w:sz w:val="20"/>
          <w:szCs w:val="20"/>
          <w:color w:val="auto"/>
        </w:rPr>
      </w:pPr>
      <w:r>
        <w:rPr>
          <w:rFonts w:ascii="Courier New" w:cs="Courier New" w:eastAsia="Courier New" w:hAnsi="Courier New"/>
          <w:sz w:val="14"/>
          <w:szCs w:val="14"/>
          <w:color w:val="auto"/>
        </w:rPr>
        <w:t>Mobil:</w:t>
        <w:tab/>
        <w:t>Election of the director nominees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requires the affirmative vote of a</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majority of the votes of the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shares of Mobil common stock and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Mobil ESOP preferred stock, voting</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as a single class, present 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represented at the meeting.</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Withheld votes and abstentions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have the same effect as a vote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against.</w:t>
      </w:r>
    </w:p>
    <w:p>
      <w:pPr>
        <w:spacing w:after="0" w:line="173" w:lineRule="exact"/>
        <w:rPr>
          <w:sz w:val="20"/>
          <w:szCs w:val="20"/>
          <w:color w:val="auto"/>
        </w:rPr>
      </w:pPr>
    </w:p>
    <w:p>
      <w:pPr>
        <w:ind w:left="520" w:right="3259" w:hanging="512"/>
        <w:spacing w:after="0" w:line="250" w:lineRule="auto"/>
        <w:tabs>
          <w:tab w:leader="none" w:pos="5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Appointment of Exxon: Same as for Exxon Merger Proposals. Independent</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700" w:type="dxa"/>
            <w:vAlign w:val="bottom"/>
          </w:tcPr>
          <w:p>
            <w:pPr>
              <w:ind w:left="420"/>
              <w:spacing w:after="0"/>
              <w:rPr>
                <w:sz w:val="20"/>
                <w:szCs w:val="20"/>
                <w:color w:val="auto"/>
              </w:rPr>
            </w:pPr>
            <w:r>
              <w:rPr>
                <w:rFonts w:ascii="Courier New" w:cs="Courier New" w:eastAsia="Courier New" w:hAnsi="Courier New"/>
                <w:sz w:val="14"/>
                <w:szCs w:val="14"/>
                <w:color w:val="auto"/>
              </w:rPr>
              <w:t>Accountants/Auditors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Mobil:</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Same as for election of Mobil directors.</w:t>
            </w:r>
          </w:p>
        </w:tc>
      </w:tr>
      <w:tr>
        <w:trPr>
          <w:trHeight w:val="331"/>
        </w:trPr>
        <w:tc>
          <w:tcPr>
            <w:tcW w:w="2700" w:type="dxa"/>
            <w:vAlign w:val="bottom"/>
          </w:tcPr>
          <w:p>
            <w:pPr>
              <w:spacing w:after="0"/>
              <w:rPr>
                <w:sz w:val="20"/>
                <w:szCs w:val="20"/>
                <w:color w:val="auto"/>
              </w:rPr>
            </w:pPr>
            <w:r>
              <w:rPr>
                <w:rFonts w:ascii="Courier New" w:cs="Courier New" w:eastAsia="Courier New" w:hAnsi="Courier New"/>
                <w:sz w:val="14"/>
                <w:szCs w:val="14"/>
                <w:color w:val="auto"/>
              </w:rPr>
              <w:t>IV.  Shareholder Proposals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Same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Exxon Merger Proposals.</w:t>
            </w:r>
          </w:p>
        </w:tc>
      </w:tr>
      <w:tr>
        <w:trPr>
          <w:trHeight w:val="331"/>
        </w:trPr>
        <w:tc>
          <w:tcPr>
            <w:tcW w:w="270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Mobil:</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Same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election of Mobil directors.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339" w:hanging="432"/>
        <w:spacing w:after="0" w:line="251"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New York Stock Exchange rules, if your broker holds your shares in its name, your broker is permitted to vote your shares on Items II and III even if it does not receive voting instructions from you. Your broker may not vote your shares on Items I or IV absent instructions from you. Without your voting instructions, a broker non-vote will occur on Items I and IV and will as to Items I and IV (1) have no effect on the vote in the case of Exxon and (2) have the effect of a vote against in the case of Mobil.</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75" w:name="page76"/>
    <w:bookmarkEnd w:id="75"/>
    <w:p>
      <w:pPr>
        <w:ind w:left="1980"/>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Proxies</w:t>
      </w:r>
    </w:p>
    <w:p>
      <w:pPr>
        <w:spacing w:after="0" w:line="173"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Voting Your Proxy.</w:t>
        <w:tab/>
        <w:t>You may vote in person at your meeting or by proxy.</w:t>
      </w:r>
    </w:p>
    <w:p>
      <w:pPr>
        <w:spacing w:after="0" w:line="7" w:lineRule="exact"/>
        <w:rPr>
          <w:sz w:val="20"/>
          <w:szCs w:val="20"/>
          <w:color w:val="auto"/>
        </w:rPr>
      </w:pPr>
    </w:p>
    <w:p>
      <w:pPr>
        <w:ind w:left="100" w:right="3339" w:hanging="85"/>
        <w:spacing w:after="0" w:line="247" w:lineRule="auto"/>
        <w:rPr>
          <w:sz w:val="20"/>
          <w:szCs w:val="20"/>
          <w:color w:val="auto"/>
        </w:rPr>
      </w:pPr>
      <w:r>
        <w:rPr>
          <w:rFonts w:ascii="Courier New" w:cs="Courier New" w:eastAsia="Courier New" w:hAnsi="Courier New"/>
          <w:sz w:val="14"/>
          <w:szCs w:val="14"/>
          <w:color w:val="auto"/>
        </w:rPr>
        <w:t>We recommend you vote by proxy even if you plan to attend your meeting.</w:t>
      </w:r>
      <w:r>
        <w:rPr>
          <w:sz w:val="20"/>
          <w:szCs w:val="20"/>
          <w:color w:val="auto"/>
        </w:rPr>
        <w:t xml:space="preserve"> </w:t>
      </w:r>
      <w:r>
        <w:rPr>
          <w:rFonts w:ascii="Courier New" w:cs="Courier New" w:eastAsia="Courier New" w:hAnsi="Courier New"/>
          <w:sz w:val="14"/>
          <w:szCs w:val="14"/>
          <w:color w:val="auto"/>
        </w:rPr>
        <w:t>You can always change your vote at the meeting.</w:t>
      </w:r>
    </w:p>
    <w:p>
      <w:pPr>
        <w:spacing w:after="0" w:line="33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Voting instructions are included on your proxy card. If you properly give your proxy and submit it to us in time to vote, one of the individuals named as your proxy will vote your shares as you have directed. You may vote for all, some or none of your company's director candidates. You may also vote for or against the other proposals or abstain from voting.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 to Vote by Proxy</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Exxon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560" w:hanging="1291"/>
        <w:spacing w:after="0" w:line="252" w:lineRule="auto"/>
        <w:rPr>
          <w:sz w:val="20"/>
          <w:szCs w:val="20"/>
          <w:color w:val="auto"/>
        </w:rPr>
      </w:pPr>
      <w:r>
        <w:rPr>
          <w:rFonts w:ascii="Courier New" w:cs="Courier New" w:eastAsia="Courier New" w:hAnsi="Courier New"/>
          <w:sz w:val="14"/>
          <w:szCs w:val="14"/>
          <w:color w:val="auto"/>
        </w:rPr>
        <w:t>By Telephone*: Call toll-free 1-877-779-8683 and follow the instructions. You will need to give the personal identification number contained on your proxy card.</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By Internet*: Go to www.eproxyvote.com/xon and</w:t>
      </w:r>
    </w:p>
    <w:p>
      <w:pPr>
        <w:spacing w:after="0" w:line="7" w:lineRule="exact"/>
        <w:rPr>
          <w:sz w:val="20"/>
          <w:szCs w:val="20"/>
          <w:color w:val="auto"/>
        </w:rPr>
      </w:pPr>
    </w:p>
    <w:p>
      <w:pPr>
        <w:ind w:left="1560" w:right="80"/>
        <w:spacing w:after="0" w:line="252" w:lineRule="auto"/>
        <w:rPr>
          <w:sz w:val="20"/>
          <w:szCs w:val="20"/>
          <w:color w:val="auto"/>
        </w:rPr>
      </w:pPr>
      <w:r>
        <w:rPr>
          <w:rFonts w:ascii="Courier New" w:cs="Courier New" w:eastAsia="Courier New" w:hAnsi="Courier New"/>
          <w:sz w:val="14"/>
          <w:szCs w:val="14"/>
          <w:color w:val="auto"/>
        </w:rPr>
        <w:t>follow the instructions. You will need to give the personal identification number contained on your proxy card.</w:t>
      </w:r>
    </w:p>
    <w:p>
      <w:pPr>
        <w:spacing w:after="0" w:line="163" w:lineRule="exact"/>
        <w:rPr>
          <w:sz w:val="20"/>
          <w:szCs w:val="20"/>
          <w:color w:val="auto"/>
        </w:rPr>
      </w:pPr>
    </w:p>
    <w:p>
      <w:pPr>
        <w:jc w:val="right"/>
        <w:ind w:left="520" w:right="600"/>
        <w:spacing w:after="0" w:line="255" w:lineRule="auto"/>
        <w:rPr>
          <w:sz w:val="20"/>
          <w:szCs w:val="20"/>
          <w:color w:val="auto"/>
        </w:rPr>
      </w:pPr>
      <w:r>
        <w:rPr>
          <w:rFonts w:ascii="Courier New" w:cs="Courier New" w:eastAsia="Courier New" w:hAnsi="Courier New"/>
          <w:sz w:val="14"/>
          <w:szCs w:val="14"/>
          <w:color w:val="auto"/>
        </w:rPr>
        <w:t>In Writing: Complete, sign, date and return your proxy card in the enclosed envelope.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Mobil</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839"/>
        <w:spacing w:after="0" w:line="252" w:lineRule="auto"/>
        <w:rPr>
          <w:sz w:val="20"/>
          <w:szCs w:val="20"/>
          <w:color w:val="auto"/>
        </w:rPr>
      </w:pPr>
      <w:r>
        <w:rPr>
          <w:rFonts w:ascii="Courier New" w:cs="Courier New" w:eastAsia="Courier New" w:hAnsi="Courier New"/>
          <w:sz w:val="14"/>
          <w:szCs w:val="14"/>
          <w:color w:val="auto"/>
        </w:rPr>
        <w:t>Call toll-free 1-800-840-1208 and follow the instructions. You will need to give the personal identification number contained on your proxy card.</w:t>
      </w:r>
    </w:p>
    <w:p>
      <w:pPr>
        <w:spacing w:after="0" w:line="162" w:lineRule="exact"/>
        <w:rPr>
          <w:sz w:val="20"/>
          <w:szCs w:val="20"/>
          <w:color w:val="auto"/>
        </w:rPr>
      </w:pPr>
    </w:p>
    <w:p>
      <w:pPr>
        <w:ind w:right="1179"/>
        <w:spacing w:after="0" w:line="252" w:lineRule="auto"/>
        <w:rPr>
          <w:sz w:val="20"/>
          <w:szCs w:val="20"/>
          <w:color w:val="auto"/>
        </w:rPr>
      </w:pPr>
      <w:r>
        <w:rPr>
          <w:rFonts w:ascii="Courier New" w:cs="Courier New" w:eastAsia="Courier New" w:hAnsi="Courier New"/>
          <w:sz w:val="14"/>
          <w:szCs w:val="14"/>
          <w:color w:val="auto"/>
        </w:rPr>
        <w:t>Go to www.mobil.com and follow the instructions. You will need to give the personal identification number contained on your proxy card.</w:t>
      </w:r>
    </w:p>
    <w:p>
      <w:pPr>
        <w:spacing w:after="0" w:line="162" w:lineRule="exact"/>
        <w:rPr>
          <w:sz w:val="20"/>
          <w:szCs w:val="20"/>
          <w:color w:val="auto"/>
        </w:rPr>
      </w:pPr>
    </w:p>
    <w:p>
      <w:pPr>
        <w:jc w:val="both"/>
        <w:ind w:right="1539"/>
        <w:spacing w:after="0" w:line="255" w:lineRule="auto"/>
        <w:rPr>
          <w:sz w:val="20"/>
          <w:szCs w:val="20"/>
          <w:color w:val="auto"/>
        </w:rPr>
      </w:pPr>
      <w:r>
        <w:rPr>
          <w:rFonts w:ascii="Courier New" w:cs="Courier New" w:eastAsia="Courier New" w:hAnsi="Courier New"/>
          <w:sz w:val="14"/>
          <w:szCs w:val="14"/>
          <w:color w:val="auto"/>
        </w:rPr>
        <w:t>Complete, sign, date and return your proxy card in the enclosed envelope.</w:t>
      </w:r>
    </w:p>
    <w:p>
      <w:pPr>
        <w:spacing w:after="0" w:line="200" w:lineRule="exact"/>
        <w:rPr>
          <w:sz w:val="20"/>
          <w:szCs w:val="20"/>
          <w:color w:val="auto"/>
        </w:rPr>
      </w:pPr>
    </w:p>
    <w:p>
      <w:pPr>
        <w:sectPr>
          <w:pgSz w:w="11900" w:h="16838" w:orient="portrait"/>
          <w:cols w:equalWidth="0" w:num="2">
            <w:col w:w="5260" w:space="340"/>
            <w:col w:w="463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599" w:hanging="432"/>
        <w:spacing w:after="0" w:line="252"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hold shares through a broker or other custodian, please check the voting form used by that firm to see if it offers telephone or internet voting.</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Proxies for Participants in Exxon Plans. You may receive more than one proxy or voting card depending on how you hold your shares. Shares registered in your name and shares held in your Shareholder Investment Program (SIP) account are covered by one card. Exxon employees receive a separate card for any shares they hold in Exxon's Thrift Plan.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Proxies for Participants in Mobil Plans. If you are a participant in Mobil's Stock Purchase and Dividend Reinvestment Plan, Employees Savings Plan and/or Employee Stock Ownership Plan, you will receive a single proxy card which covers shares credited to your plan accounts plus shares held of record in the same name. If your account in any such plan is not carried in the same name as the shares, if any, you hold of record, you will receive separate proxy cards for your individual and plan holdings. If you are a participant in Mobil's Employees Savings Plan and you do not vote the shares credited to your plan account, such shares will be voted by the plan's trustee FOR approval and adoption of the merger agreement, FOR the election of the nominees for director, FOR the ratification of the appointment of Mobil's independent auditors and AGAINST the three proposals submitted by shareholders of Mobil. If you are a participant in Mobil's Employee Stock Ownership Plan and you do not vote the shares credited to your plan account, such shares will be voted by the plan's trustee in the same proportion that the trustee votes all the shares allocated to the accounts of regular Mobil employees as to which it has received timely voting instructions.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6"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If you submit your proxy but do not make specific choices, your proxy will follow the Board's recommendations and vote your shares:</w:t>
      </w:r>
    </w:p>
    <w:p>
      <w:pPr>
        <w:spacing w:after="0" w:line="326" w:lineRule="exact"/>
        <w:rPr>
          <w:sz w:val="20"/>
          <w:szCs w:val="20"/>
          <w:color w:val="auto"/>
        </w:rPr>
      </w:pPr>
    </w:p>
    <w:p>
      <w:pPr>
        <w:ind w:left="1900"/>
        <w:spacing w:after="0"/>
        <w:tabs>
          <w:tab w:leader="none" w:pos="6100" w:val="left"/>
        </w:tabs>
        <w:rPr>
          <w:sz w:val="20"/>
          <w:szCs w:val="20"/>
          <w:color w:val="auto"/>
        </w:rPr>
      </w:pPr>
      <w:r>
        <w:rPr>
          <w:rFonts w:ascii="Courier New" w:cs="Courier New" w:eastAsia="Courier New" w:hAnsi="Courier New"/>
          <w:sz w:val="14"/>
          <w:szCs w:val="14"/>
          <w:color w:val="auto"/>
        </w:rPr>
        <w:t>Exxon</w:t>
      </w:r>
      <w:r>
        <w:rPr>
          <w:sz w:val="20"/>
          <w:szCs w:val="20"/>
          <w:color w:val="auto"/>
        </w:rPr>
        <w:tab/>
      </w:r>
      <w:r>
        <w:rPr>
          <w:rFonts w:ascii="Courier New" w:cs="Courier New" w:eastAsia="Courier New" w:hAnsi="Courier New"/>
          <w:sz w:val="14"/>
          <w:szCs w:val="14"/>
          <w:color w:val="auto"/>
        </w:rPr>
        <w:t>Mobil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hanging="432"/>
        <w:spacing w:after="0"/>
        <w:tabs>
          <w:tab w:leader="none" w:pos="4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Exxon Merger Proposals</w:t>
      </w:r>
    </w:p>
    <w:p>
      <w:pPr>
        <w:spacing w:after="0" w:line="172" w:lineRule="exact"/>
        <w:rPr>
          <w:rFonts w:ascii="Courier New" w:cs="Courier New" w:eastAsia="Courier New" w:hAnsi="Courier New"/>
          <w:sz w:val="14"/>
          <w:szCs w:val="14"/>
          <w:color w:val="auto"/>
        </w:rPr>
      </w:pPr>
    </w:p>
    <w:p>
      <w:pPr>
        <w:ind w:left="440" w:right="80" w:hanging="432"/>
        <w:spacing w:after="0" w:line="252" w:lineRule="auto"/>
        <w:tabs>
          <w:tab w:leader="none" w:pos="4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election of all 13 nominees for director (as described beginning on page IV-1)</w:t>
      </w:r>
    </w:p>
    <w:p>
      <w:pPr>
        <w:spacing w:after="0" w:line="328" w:lineRule="exact"/>
        <w:rPr>
          <w:rFonts w:ascii="Courier New" w:cs="Courier New" w:eastAsia="Courier New" w:hAnsi="Courier New"/>
          <w:sz w:val="14"/>
          <w:szCs w:val="14"/>
          <w:color w:val="auto"/>
        </w:rPr>
      </w:pPr>
    </w:p>
    <w:p>
      <w:pPr>
        <w:ind w:left="440" w:right="80" w:hanging="432"/>
        <w:spacing w:after="0" w:line="252" w:lineRule="auto"/>
        <w:tabs>
          <w:tab w:leader="none" w:pos="4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ratification of the appointment of PricewaterhouseCoopers LLP as Exxon's independent accountants for 1999 (as described on page IV-19)</w:t>
      </w:r>
    </w:p>
    <w:p>
      <w:pPr>
        <w:spacing w:after="0" w:line="162" w:lineRule="exact"/>
        <w:rPr>
          <w:rFonts w:ascii="Courier New" w:cs="Courier New" w:eastAsia="Courier New" w:hAnsi="Courier New"/>
          <w:sz w:val="14"/>
          <w:szCs w:val="14"/>
          <w:color w:val="auto"/>
        </w:rPr>
      </w:pPr>
    </w:p>
    <w:p>
      <w:pPr>
        <w:ind w:left="440" w:right="260" w:hanging="432"/>
        <w:spacing w:after="0" w:line="252" w:lineRule="auto"/>
        <w:tabs>
          <w:tab w:leader="none" w:pos="4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four shareholder proposals to be presented (as described beginning on page IV-19)</w:t>
      </w:r>
    </w:p>
    <w:p>
      <w:pPr>
        <w:spacing w:after="0" w:line="162" w:lineRule="exact"/>
        <w:rPr>
          <w:rFonts w:ascii="Courier New" w:cs="Courier New" w:eastAsia="Courier New" w:hAnsi="Courier New"/>
          <w:sz w:val="14"/>
          <w:szCs w:val="14"/>
          <w:color w:val="auto"/>
        </w:rPr>
      </w:pPr>
    </w:p>
    <w:p>
      <w:pPr>
        <w:ind w:left="440" w:right="440" w:hanging="432"/>
        <w:spacing w:after="0" w:line="255" w:lineRule="auto"/>
        <w:tabs>
          <w:tab w:leader="none" w:pos="4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proposal by the Exxon Board to adjourn the Exxon meeting</w:t>
      </w:r>
    </w:p>
    <w:p>
      <w:pPr>
        <w:spacing w:after="0" w:line="159" w:lineRule="exact"/>
        <w:rPr>
          <w:rFonts w:ascii="Courier New" w:cs="Courier New" w:eastAsia="Courier New" w:hAnsi="Courier New"/>
          <w:sz w:val="14"/>
          <w:szCs w:val="14"/>
          <w:color w:val="auto"/>
        </w:rPr>
      </w:pPr>
    </w:p>
    <w:p>
      <w:pPr>
        <w:ind w:left="440" w:hanging="432"/>
        <w:spacing w:after="0" w:line="252" w:lineRule="auto"/>
        <w:tabs>
          <w:tab w:leader="none" w:pos="4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as to any other business as may properly come before the Exxon meeting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45" w:hanging="345"/>
        <w:spacing w:after="0"/>
        <w:tabs>
          <w:tab w:leader="none" w:pos="3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Mobil merger proposal</w:t>
      </w:r>
    </w:p>
    <w:p>
      <w:pPr>
        <w:spacing w:after="0" w:line="172" w:lineRule="exact"/>
        <w:rPr>
          <w:rFonts w:ascii="Courier New" w:cs="Courier New" w:eastAsia="Courier New" w:hAnsi="Courier New"/>
          <w:sz w:val="14"/>
          <w:szCs w:val="14"/>
          <w:color w:val="auto"/>
        </w:rPr>
      </w:pPr>
    </w:p>
    <w:p>
      <w:pPr>
        <w:ind w:left="345" w:right="2039" w:hanging="345"/>
        <w:spacing w:after="0" w:line="252" w:lineRule="auto"/>
        <w:tabs>
          <w:tab w:leader="none" w:pos="3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election of all four nominees for director, such persons to serve until the 2002 annual meeting of shareholders (as described beginning on page V-1)*</w:t>
      </w:r>
    </w:p>
    <w:p>
      <w:pPr>
        <w:spacing w:after="0" w:line="162" w:lineRule="exact"/>
        <w:rPr>
          <w:rFonts w:ascii="Courier New" w:cs="Courier New" w:eastAsia="Courier New" w:hAnsi="Courier New"/>
          <w:sz w:val="14"/>
          <w:szCs w:val="14"/>
          <w:color w:val="auto"/>
        </w:rPr>
      </w:pPr>
    </w:p>
    <w:p>
      <w:pPr>
        <w:ind w:left="345" w:right="2399" w:hanging="345"/>
        <w:spacing w:after="0" w:line="252" w:lineRule="auto"/>
        <w:tabs>
          <w:tab w:leader="none" w:pos="3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ratification of the appointment of Ernst &amp; Young LLP as Mobil's independent auditors for 1999 (as described on page V-4)*</w:t>
      </w:r>
    </w:p>
    <w:p>
      <w:pPr>
        <w:spacing w:after="0" w:line="162" w:lineRule="exact"/>
        <w:rPr>
          <w:rFonts w:ascii="Courier New" w:cs="Courier New" w:eastAsia="Courier New" w:hAnsi="Courier New"/>
          <w:sz w:val="14"/>
          <w:szCs w:val="14"/>
          <w:color w:val="auto"/>
        </w:rPr>
      </w:pPr>
    </w:p>
    <w:p>
      <w:pPr>
        <w:ind w:left="345" w:hanging="345"/>
        <w:spacing w:after="0"/>
        <w:tabs>
          <w:tab w:leader="none" w:pos="3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two shareholder</w:t>
      </w:r>
    </w:p>
    <w:p>
      <w:pPr>
        <w:spacing w:after="0" w:line="7" w:lineRule="exact"/>
        <w:rPr>
          <w:rFonts w:ascii="Courier New" w:cs="Courier New" w:eastAsia="Courier New" w:hAnsi="Courier New"/>
          <w:sz w:val="14"/>
          <w:szCs w:val="14"/>
          <w:color w:val="auto"/>
        </w:rPr>
      </w:pPr>
    </w:p>
    <w:p>
      <w:pPr>
        <w:ind w:left="345" w:right="22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proposals to be presented (as described beginning on page V-5)*</w:t>
      </w:r>
    </w:p>
    <w:p>
      <w:pPr>
        <w:spacing w:after="0" w:line="159" w:lineRule="exact"/>
        <w:rPr>
          <w:rFonts w:ascii="Courier New" w:cs="Courier New" w:eastAsia="Courier New" w:hAnsi="Courier New"/>
          <w:sz w:val="14"/>
          <w:szCs w:val="14"/>
          <w:color w:val="auto"/>
        </w:rPr>
      </w:pPr>
    </w:p>
    <w:p>
      <w:pPr>
        <w:ind w:left="345" w:right="2399" w:hanging="345"/>
        <w:spacing w:after="0" w:line="255" w:lineRule="auto"/>
        <w:tabs>
          <w:tab w:leader="none" w:pos="3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proposal by the Mobil Board to adjourn the Mobil meeting</w:t>
      </w:r>
    </w:p>
    <w:p>
      <w:pPr>
        <w:spacing w:after="0" w:line="159" w:lineRule="exact"/>
        <w:rPr>
          <w:rFonts w:ascii="Courier New" w:cs="Courier New" w:eastAsia="Courier New" w:hAnsi="Courier New"/>
          <w:sz w:val="14"/>
          <w:szCs w:val="14"/>
          <w:color w:val="auto"/>
        </w:rPr>
      </w:pPr>
    </w:p>
    <w:p>
      <w:pPr>
        <w:ind w:left="345" w:hanging="345"/>
        <w:spacing w:after="0"/>
        <w:tabs>
          <w:tab w:leader="none" w:pos="3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as to any other business</w:t>
      </w:r>
    </w:p>
    <w:p>
      <w:pPr>
        <w:spacing w:after="0" w:line="7" w:lineRule="exact"/>
        <w:rPr>
          <w:rFonts w:ascii="Courier New" w:cs="Courier New" w:eastAsia="Courier New" w:hAnsi="Courier New"/>
          <w:sz w:val="14"/>
          <w:szCs w:val="14"/>
          <w:color w:val="auto"/>
        </w:rPr>
      </w:pPr>
    </w:p>
    <w:p>
      <w:pPr>
        <w:ind w:left="34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may properly come before the Mobil meeting</w:t>
      </w: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5" w:right="3079" w:hanging="265"/>
        <w:spacing w:after="0" w:line="252" w:lineRule="auto"/>
        <w:tabs>
          <w:tab w:leader="none" w:pos="26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indicated proposals, if approved, will be superseded upon completion of the merger.</w:t>
      </w:r>
    </w:p>
    <w:p>
      <w:pPr>
        <w:spacing w:after="0" w:line="200" w:lineRule="exact"/>
        <w:rPr>
          <w:sz w:val="20"/>
          <w:szCs w:val="20"/>
          <w:color w:val="auto"/>
        </w:rPr>
      </w:pPr>
    </w:p>
    <w:p>
      <w:pPr>
        <w:sectPr>
          <w:pgSz w:w="11900" w:h="16838" w:orient="portrait"/>
          <w:cols w:equalWidth="0" w:num="2">
            <w:col w:w="4060" w:space="255"/>
            <w:col w:w="5924"/>
          </w:cols>
          <w:pgMar w:left="220" w:top="616" w:right="1440" w:bottom="1440" w:gutter="0" w:footer="0" w:header="0"/>
          <w:type w:val="continuous"/>
        </w:sectPr>
      </w:pPr>
    </w:p>
    <w:p>
      <w:pPr>
        <w:spacing w:after="0" w:line="129"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Revoking Your Proxy.</w:t>
        <w:tab/>
        <w:t>You may revoke your proxy before it is voted by:</w:t>
      </w:r>
    </w:p>
    <w:p>
      <w:pPr>
        <w:spacing w:after="0" w:line="173" w:lineRule="exact"/>
        <w:rPr>
          <w:sz w:val="20"/>
          <w:szCs w:val="20"/>
          <w:color w:val="auto"/>
        </w:rPr>
      </w:pPr>
    </w:p>
    <w:p>
      <w:pPr>
        <w:ind w:left="1040" w:right="3339" w:hanging="343"/>
        <w:spacing w:after="0" w:line="255" w:lineRule="auto"/>
        <w:tabs>
          <w:tab w:leader="none" w:pos="10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submitting a new proxy with a later date, including a proxy given by telephone or internet,</w:t>
      </w:r>
    </w:p>
    <w:p>
      <w:pPr>
        <w:spacing w:after="0" w:line="159"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notifying your company's Secretary in writing before the meeting that you have revoked your proxy, or</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in person at the meeting.</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Voting in person. If you plan to attend a meeting and wish to vote in person, we will give you a ballot at the meeting. However, if your shares are held in the name of your broker, bank or other nominee, you must bring an account statement or letter from the nominee indicating that you are the beneficial owner of the shares on March 29, 1999, the record date for voting.</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People with disabilities. We can provide reasonable assistance to help you participate in the meeting if you tell us about your disability and your plan to attend. Please call or write the Secretary of your company at least two weeks before your meeting at the number or address under "The Companies" on page I-2.</w:t>
      </w:r>
    </w:p>
    <w:p>
      <w:pPr>
        <w:spacing w:after="0" w:line="162"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Confidential voting. Independent inspectors count the votes. Your individual vote is kept confidential from us unless special circumstances exist. For example, a copy of your proxy card will be sent to us if you write comments on the card.</w:t>
      </w:r>
    </w:p>
    <w:p>
      <w:pPr>
        <w:spacing w:after="0" w:line="327" w:lineRule="exact"/>
        <w:rPr>
          <w:sz w:val="20"/>
          <w:szCs w:val="20"/>
          <w:color w:val="auto"/>
        </w:rPr>
      </w:pPr>
    </w:p>
    <w:p>
      <w:pPr>
        <w:ind w:left="440"/>
        <w:spacing w:after="0"/>
        <w:tabs>
          <w:tab w:leader="none" w:pos="2220" w:val="left"/>
        </w:tabs>
        <w:rPr>
          <w:sz w:val="20"/>
          <w:szCs w:val="20"/>
          <w:color w:val="auto"/>
        </w:rPr>
      </w:pPr>
      <w:r>
        <w:rPr>
          <w:rFonts w:ascii="Courier New" w:cs="Courier New" w:eastAsia="Courier New" w:hAnsi="Courier New"/>
          <w:sz w:val="14"/>
          <w:szCs w:val="14"/>
          <w:color w:val="auto"/>
        </w:rPr>
        <w:t>Proxy solicitation.</w:t>
        <w:tab/>
        <w:t>We will pay our own costs of soliciting proxies.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addition to this mailing, Exxon and Mobil employees may solicit proxies personally, electronically or by telephone. Exxon is paying D. F. King &amp; Co. a fee of $25,000 plus expenses to help with the solicitation. Mobil is paying Morrow &amp; Co., Inc. a fee of $25,000 plus expenses to help with the solicitation.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type w:val="continuous"/>
        </w:sectPr>
      </w:pPr>
    </w:p>
    <w:bookmarkStart w:id="77" w:name="page78"/>
    <w:bookmarkEnd w:id="77"/>
    <w:p>
      <w:pPr>
        <w:ind w:left="1980"/>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extent to which these proxy soliciting efforts will be necessary depends entirely upon how promptly proxies are submitted. You should send in your proxy by mail, telephone or internet without delay. We also reimburse brokers and other nominees for their expenses in sending these materials to you and getting your voting instructions.</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Do not send in any stock certificates with your proxy cards. The exchange agent will mail transmittal forms with instructions for the surrender of stock certificates for Mobil common stock and Mobil ESOP preferred stock to former Mobil shareholders as soon as practicable after the completion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Business; Adjournments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not currently aware of any other business to be acted upon at either meeting. Under the laws of New Jersey, where Exxon is incorporated, no business other than procedural matters may be raised at the Exxon meeting unless proper notice to the shareholders has been given. If, however, other matters are properly brought before either meeting, or any adjourned meeting, your proxies will have discretion to vote or act on those matters according to their best judgment, including to adjourn the meeting.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Adjournments may be made for the purpose of, among other things, soliciting additional proxies. Any adjournment may be made from time to time by approval of the holders of shares representing a majority of the votes present in person or by proxy at the meeting, whether or not a quorum exists, without further notice other than by an announcement made at the meeting. Neither of us currently intends to seek an adjournment of our meeting.</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616" w:right="1440" w:bottom="1440" w:gutter="0" w:footer="0" w:header="0"/>
        </w:sectPr>
      </w:pPr>
    </w:p>
    <w:bookmarkStart w:id="78" w:name="page79"/>
    <w:bookmarkEnd w:id="78"/>
    <w:p>
      <w:pPr>
        <w:jc w:val="center"/>
        <w:ind w:right="4220"/>
        <w:spacing w:after="0"/>
        <w:rPr>
          <w:sz w:val="20"/>
          <w:szCs w:val="20"/>
          <w:color w:val="auto"/>
        </w:rPr>
      </w:pPr>
      <w:r>
        <w:rPr>
          <w:rFonts w:ascii="Courier New" w:cs="Courier New" w:eastAsia="Courier New" w:hAnsi="Courier New"/>
          <w:sz w:val="14"/>
          <w:szCs w:val="14"/>
          <w:color w:val="auto"/>
        </w:rPr>
        <w:t>CHAPTER THREE</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CERTAIN LEGAL INFORMATION</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COMPARISON OF SHAREHOLDER RIGHTS</w:t>
      </w:r>
    </w:p>
    <w:p>
      <w:pPr>
        <w:spacing w:after="0" w:line="173" w:lineRule="exact"/>
        <w:rPr>
          <w:sz w:val="20"/>
          <w:szCs w:val="20"/>
          <w:color w:val="auto"/>
        </w:rPr>
      </w:pPr>
    </w:p>
    <w:p>
      <w:pPr>
        <w:ind w:right="3960" w:firstLine="1292"/>
        <w:spacing w:after="0" w:line="251" w:lineRule="auto"/>
        <w:rPr>
          <w:sz w:val="20"/>
          <w:szCs w:val="20"/>
          <w:color w:val="auto"/>
        </w:rPr>
      </w:pPr>
      <w:r>
        <w:rPr>
          <w:rFonts w:ascii="Courier New" w:cs="Courier New" w:eastAsia="Courier New" w:hAnsi="Courier New"/>
          <w:sz w:val="14"/>
          <w:szCs w:val="14"/>
          <w:color w:val="auto"/>
        </w:rPr>
        <w:t>The rights of Mobil shareholders under Delaware law, the Mobil charter and the Mobil by-laws prior to the merger are substantially the same as the rights Exxon Mobil shareholders will have following the merger under New Jersey law, the Exxon Mobil charter and the Exxon Mobil by-laws, with certain principal exceptions summarized in the chart below. Copies of the Mobil charter, the Mobil by-laws, the Exxon charter and the Exxon by-laws are incorporated by reference and will be sent to holders of shares of Mobil common stock and Mobil ESOP preferred stock upon request. See "Where You Can Find More Information" on page VI-1. The summary contained in the following chart is not intended to be complete and is qualified by reference to Delaware law, New Jersey law, the Mobil charter, the Mobil by-laws, the Exxon charter and the Exxon by-laws.</w:t>
      </w:r>
    </w:p>
    <w:p>
      <w:pPr>
        <w:spacing w:after="0" w:line="163" w:lineRule="exact"/>
        <w:rPr>
          <w:sz w:val="20"/>
          <w:szCs w:val="20"/>
          <w:color w:val="auto"/>
        </w:rPr>
      </w:pPr>
    </w:p>
    <w:p>
      <w:pPr>
        <w:ind w:left="260" w:right="4120" w:hanging="257"/>
        <w:spacing w:after="0" w:line="252" w:lineRule="auto"/>
        <w:rPr>
          <w:sz w:val="20"/>
          <w:szCs w:val="20"/>
          <w:color w:val="auto"/>
        </w:rPr>
      </w:pPr>
      <w:r>
        <w:rPr>
          <w:rFonts w:ascii="Courier New" w:cs="Courier New" w:eastAsia="Courier New" w:hAnsi="Courier New"/>
          <w:sz w:val="14"/>
          <w:szCs w:val="14"/>
          <w:color w:val="auto"/>
        </w:rPr>
        <w:t>Summary of Material Differences Between Current Rights of Mobil Shareholders and Rights Those Shareholders Will Have as Exxon Mobil Shareholders Following the Merger</w:t>
      </w:r>
    </w:p>
    <w:p>
      <w:pPr>
        <w:sectPr>
          <w:pgSz w:w="11900" w:h="16838" w:orient="portrait"/>
          <w:cols w:equalWidth="0" w:num="1">
            <w:col w:w="10680"/>
          </w:cols>
          <w:pgMar w:left="220" w:top="45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Corporate</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 rights of Mobil shareholders are</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Governance:</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currently governed by Delaware law and the</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charter and by-laws of Mobil.</w:t>
            </w:r>
          </w:p>
        </w:tc>
      </w:tr>
      <w:tr>
        <w:trPr>
          <w:trHeight w:val="331"/>
        </w:trPr>
        <w:tc>
          <w:tcPr>
            <w:tcW w:w="1360" w:type="dxa"/>
            <w:vAlign w:val="bottom"/>
          </w:tcPr>
          <w:p>
            <w:pPr>
              <w:spacing w:after="0"/>
              <w:rPr>
                <w:sz w:val="24"/>
                <w:szCs w:val="2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Upon completion of the merger, the rights of</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shareholders who become Exxon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shareholders in the merger will be</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governed by New Jersey law, the Exxon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charter and the Exxon Mobil by-laws.</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 charter and by-laws of Exxon Mobil will</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be identical in all respects to those of Exxon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after giving effect to the Exxon charter</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amendments adopted at the Exxon meeting</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and the changes contemplated by the merger</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agreement.</w:t>
            </w:r>
          </w:p>
        </w:tc>
      </w:tr>
      <w:tr>
        <w:trPr>
          <w:trHeight w:val="331"/>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Authorized</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 authorized capital stock of Mobil</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Stock:</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consists of 1.2 billion shares of common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stock and 30 million shares of preferred</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r>
      <w:tr>
        <w:trPr>
          <w:trHeight w:val="331"/>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Mobil's by-laws provide that the number of</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directors will be as determined by the Mobil</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Board but shall not be less than three.  The</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Board currently consists of 13</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420"/>
        <w:spacing w:after="0" w:line="252" w:lineRule="auto"/>
        <w:rPr>
          <w:sz w:val="20"/>
          <w:szCs w:val="20"/>
          <w:color w:val="auto"/>
        </w:rPr>
      </w:pPr>
      <w:r>
        <w:rPr>
          <w:rFonts w:ascii="Courier New" w:cs="Courier New" w:eastAsia="Courier New" w:hAnsi="Courier New"/>
          <w:sz w:val="14"/>
          <w:szCs w:val="14"/>
          <w:color w:val="auto"/>
        </w:rPr>
        <w:t>The rights of Exxon shareholders are currently governed by New Jersey law and the charter and by-laws of Exxon.</w:t>
      </w:r>
    </w:p>
    <w:p>
      <w:pPr>
        <w:spacing w:after="0" w:line="163" w:lineRule="exact"/>
        <w:rPr>
          <w:sz w:val="20"/>
          <w:szCs w:val="20"/>
          <w:color w:val="auto"/>
        </w:rPr>
      </w:pPr>
    </w:p>
    <w:p>
      <w:pPr>
        <w:ind w:right="240"/>
        <w:spacing w:after="0" w:line="251" w:lineRule="auto"/>
        <w:rPr>
          <w:sz w:val="20"/>
          <w:szCs w:val="20"/>
          <w:color w:val="auto"/>
        </w:rPr>
      </w:pPr>
      <w:r>
        <w:rPr>
          <w:rFonts w:ascii="Courier New" w:cs="Courier New" w:eastAsia="Courier New" w:hAnsi="Courier New"/>
          <w:sz w:val="14"/>
          <w:szCs w:val="14"/>
          <w:color w:val="auto"/>
        </w:rPr>
        <w:t>Upon completion of the merger, the rights of Exxon Mobil shareholders will be governed by New Jersey law, the Exxon Mobil charter and the Exxon Mobil by-laws. The charter and by-laws of Exxon Mobil will be identical in all respects to those of Exxon after giving effect to the Exxon charter amendments adopted at the Exxon meeting and the changes contemplated by the merger agreement.</w:t>
      </w:r>
    </w:p>
    <w:p>
      <w:pPr>
        <w:spacing w:after="0" w:line="329" w:lineRule="exact"/>
        <w:rPr>
          <w:sz w:val="20"/>
          <w:szCs w:val="20"/>
          <w:color w:val="auto"/>
        </w:rPr>
      </w:pPr>
    </w:p>
    <w:p>
      <w:pPr>
        <w:ind w:right="420"/>
        <w:spacing w:after="0" w:line="252" w:lineRule="auto"/>
        <w:rPr>
          <w:sz w:val="20"/>
          <w:szCs w:val="20"/>
          <w:color w:val="auto"/>
        </w:rPr>
      </w:pPr>
      <w:r>
        <w:rPr>
          <w:rFonts w:ascii="Courier New" w:cs="Courier New" w:eastAsia="Courier New" w:hAnsi="Courier New"/>
          <w:sz w:val="14"/>
          <w:szCs w:val="14"/>
          <w:color w:val="auto"/>
        </w:rPr>
        <w:t>The authorized capital stock of Exxon is set forth under "Description of Exxon Capital Stock--Authorized Capital Stock"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Exxon's charter provides that the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may be determined by the</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Exxon Board.</w:t>
        <w:tab/>
        <w:t>Exxon's by-laws provide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Exxon's Board consist of not less than</w:t>
      </w:r>
    </w:p>
    <w:p>
      <w:pPr>
        <w:spacing w:after="0" w:line="7" w:lineRule="exact"/>
        <w:rPr>
          <w:sz w:val="20"/>
          <w:szCs w:val="20"/>
          <w:color w:val="auto"/>
        </w:rPr>
      </w:pPr>
    </w:p>
    <w:p>
      <w:pPr>
        <w:ind w:right="600"/>
        <w:spacing w:after="0" w:line="252" w:lineRule="auto"/>
        <w:rPr>
          <w:sz w:val="20"/>
          <w:szCs w:val="20"/>
          <w:color w:val="auto"/>
        </w:rPr>
      </w:pPr>
      <w:r>
        <w:rPr>
          <w:rFonts w:ascii="Courier New" w:cs="Courier New" w:eastAsia="Courier New" w:hAnsi="Courier New"/>
          <w:sz w:val="14"/>
          <w:szCs w:val="14"/>
          <w:color w:val="auto"/>
        </w:rPr>
        <w:t>10 and not more than 15 directors. Exxon's Board currently consists of 13 directors.</w:t>
      </w:r>
    </w:p>
    <w:p>
      <w:pPr>
        <w:spacing w:after="0" w:line="16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If the merger is completed, the Exxon Mobil by-laws will be amended to provide that the number of directors will be not less than 10 nor more than 19, as determined by</w:t>
      </w:r>
    </w:p>
    <w:p>
      <w:pPr>
        <w:sectPr>
          <w:pgSz w:w="11900" w:h="16838" w:orient="portrait"/>
          <w:cols w:equalWidth="0" w:num="2">
            <w:col w:w="6120" w:space="700"/>
            <w:col w:w="3860"/>
          </w:cols>
          <w:pgMar w:left="220" w:top="450" w:right="999"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Mobil Shareholder Rights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(continued):</w:t>
            </w: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31"/>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Classification of</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Mobil's Board is divided into three classes as</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Board of</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nearly equal in</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number as possible, with each</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class serving a</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staggered three-year term.</w:t>
            </w:r>
          </w:p>
        </w:tc>
      </w:tr>
      <w:tr>
        <w:trPr>
          <w:trHeight w:val="497"/>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Removal of</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Delaware law provides that a company with a</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classified board may remove a director only</w:t>
            </w:r>
          </w:p>
        </w:tc>
      </w:tr>
      <w:tr>
        <w:trPr>
          <w:trHeight w:val="166"/>
        </w:trPr>
        <w:tc>
          <w:tcPr>
            <w:tcW w:w="162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 cause, unless its charter provides</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otherwise.  The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Mobil charter and the Mobil</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by-laws provide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that Mobil directors may be</w:t>
            </w:r>
          </w:p>
        </w:tc>
      </w:tr>
      <w:tr>
        <w:trPr>
          <w:trHeight w:val="166"/>
        </w:trPr>
        <w:tc>
          <w:tcPr>
            <w:tcW w:w="162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removed from office without cause only by</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the affirmative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vote of the holders of 80% of</w:t>
            </w:r>
          </w:p>
        </w:tc>
      </w:tr>
      <w:tr>
        <w:trPr>
          <w:trHeight w:val="166"/>
        </w:trPr>
        <w:tc>
          <w:tcPr>
            <w:tcW w:w="162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voting power of the then outstanding</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shares entitled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to vote generally in the</w:t>
            </w:r>
          </w:p>
        </w:tc>
      </w:tr>
    </w:tbl>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election of directors, 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Quorum:</w:t>
            </w: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Mobil by-laws provide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that the presence</w:t>
            </w:r>
          </w:p>
        </w:tc>
      </w:tr>
      <w:tr>
        <w:trPr>
          <w:trHeight w:val="166"/>
        </w:trPr>
        <w:tc>
          <w:tcPr>
            <w:tcW w:w="172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in person or by proxy</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a meeting of the</w:t>
            </w:r>
          </w:p>
        </w:tc>
      </w:tr>
      <w:tr>
        <w:trPr>
          <w:trHeight w:val="166"/>
        </w:trPr>
        <w:tc>
          <w:tcPr>
            <w:tcW w:w="1720" w:type="dxa"/>
            <w:vAlign w:val="bottom"/>
          </w:tcPr>
          <w:p>
            <w:pPr>
              <w:spacing w:after="0"/>
              <w:rPr>
                <w:sz w:val="14"/>
                <w:szCs w:val="14"/>
                <w:color w:val="auto"/>
              </w:rPr>
            </w:pPr>
          </w:p>
        </w:tc>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holders of shares representing at least one-</w:t>
            </w:r>
          </w:p>
        </w:tc>
      </w:tr>
      <w:tr>
        <w:trPr>
          <w:trHeight w:val="166"/>
        </w:trPr>
        <w:tc>
          <w:tcPr>
            <w:tcW w:w="172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third of the votes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Mobil common stock</w:t>
            </w:r>
          </w:p>
        </w:tc>
      </w:tr>
      <w:tr>
        <w:trPr>
          <w:trHeight w:val="166"/>
        </w:trPr>
        <w:tc>
          <w:tcPr>
            <w:tcW w:w="1720" w:type="dxa"/>
            <w:vAlign w:val="bottom"/>
          </w:tcPr>
          <w:p>
            <w:pPr>
              <w:spacing w:after="0"/>
              <w:rPr>
                <w:sz w:val="14"/>
                <w:szCs w:val="14"/>
                <w:color w:val="auto"/>
              </w:rPr>
            </w:pPr>
          </w:p>
        </w:tc>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ESOP preferred stock entitled to vote at</w:t>
            </w:r>
          </w:p>
        </w:tc>
      </w:tr>
      <w:tr>
        <w:trPr>
          <w:trHeight w:val="166"/>
        </w:trPr>
        <w:tc>
          <w:tcPr>
            <w:tcW w:w="17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meeting is a quorum.</w:t>
            </w:r>
          </w:p>
        </w:tc>
        <w:tc>
          <w:tcPr>
            <w:tcW w:w="1680" w:type="dxa"/>
            <w:vAlign w:val="bottom"/>
          </w:tcPr>
          <w:p>
            <w:pPr>
              <w:spacing w:after="0"/>
              <w:rPr>
                <w:sz w:val="14"/>
                <w:szCs w:val="14"/>
                <w:color w:val="auto"/>
              </w:rPr>
            </w:pPr>
          </w:p>
        </w:tc>
      </w:tr>
      <w:tr>
        <w:trPr>
          <w:trHeight w:val="331"/>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Vote Required for</w:t>
            </w: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Mobil by-laws provide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that, unless</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w:t>
            </w: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otherwise required by</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law, the Mobil charter</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Shareholder</w:t>
            </w: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or the Mobil by-laws,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affirmative vote of</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Actions; Effect of</w:t>
            </w:r>
          </w:p>
        </w:tc>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 majority of the votes of the shares present</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Abstentions:</w:t>
            </w: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or represented at the</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meeting and entitled to</w:t>
            </w:r>
          </w:p>
        </w:tc>
      </w:tr>
      <w:tr>
        <w:trPr>
          <w:trHeight w:val="166"/>
        </w:trPr>
        <w:tc>
          <w:tcPr>
            <w:tcW w:w="17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vote on such matter shall</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be deemed the act</w:t>
            </w:r>
          </w:p>
        </w:tc>
      </w:tr>
      <w:tr>
        <w:trPr>
          <w:trHeight w:val="166"/>
        </w:trPr>
        <w:tc>
          <w:tcPr>
            <w:tcW w:w="172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of the shareholders.</w:t>
            </w: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70" w:lineRule="exact"/>
        <w:rPr>
          <w:sz w:val="20"/>
          <w:szCs w:val="20"/>
          <w:color w:val="auto"/>
        </w:rPr>
      </w:pPr>
    </w:p>
    <w:p>
      <w:pPr>
        <w:ind w:left="2160" w:right="180"/>
        <w:spacing w:after="0" w:line="251" w:lineRule="auto"/>
        <w:rPr>
          <w:sz w:val="20"/>
          <w:szCs w:val="20"/>
          <w:color w:val="auto"/>
        </w:rPr>
      </w:pPr>
      <w:r>
        <w:rPr>
          <w:rFonts w:ascii="Courier New" w:cs="Courier New" w:eastAsia="Courier New" w:hAnsi="Courier New"/>
          <w:sz w:val="14"/>
          <w:szCs w:val="14"/>
          <w:color w:val="auto"/>
        </w:rPr>
        <w:t>Under Delaware law, the approval of any merger or consolidation or a sale of all or substantially all of a corporation's assets requires the affirmative vote of a majority of the total votes represented by the outstanding stock of the corporation entitled to vote on such matter.</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Abstentions have the effect of a vote against.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340"/>
        <w:spacing w:after="0" w:line="252" w:lineRule="auto"/>
        <w:rPr>
          <w:sz w:val="20"/>
          <w:szCs w:val="20"/>
          <w:color w:val="auto"/>
        </w:rPr>
      </w:pPr>
      <w:r>
        <w:rPr>
          <w:rFonts w:ascii="Courier New" w:cs="Courier New" w:eastAsia="Courier New" w:hAnsi="Courier New"/>
          <w:sz w:val="14"/>
          <w:szCs w:val="14"/>
          <w:color w:val="auto"/>
        </w:rPr>
        <w:t>the Exxon Mobil Board, and the size of the Exxon Mobil Board will be increased from 13 to 19.</w:t>
      </w:r>
    </w:p>
    <w:p>
      <w:pPr>
        <w:spacing w:after="0" w:line="163"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Exxon does not have a classified board. The Exxon by-laws require that all directors be elected at each annual meeting of shareholders for a term of one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 law allows removal for 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unless otherwise provided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 without cause by the affirmative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of the majority of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vote in the election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the Exxon charter allows the</w:t>
      </w:r>
    </w:p>
    <w:p>
      <w:pPr>
        <w:spacing w:after="0" w:line="7" w:lineRule="exact"/>
        <w:rPr>
          <w:sz w:val="20"/>
          <w:szCs w:val="20"/>
          <w:color w:val="auto"/>
        </w:rPr>
      </w:pPr>
    </w:p>
    <w:p>
      <w:pPr>
        <w:ind w:right="260"/>
        <w:spacing w:after="0" w:line="251" w:lineRule="auto"/>
        <w:rPr>
          <w:sz w:val="20"/>
          <w:szCs w:val="20"/>
          <w:color w:val="auto"/>
        </w:rPr>
      </w:pPr>
      <w:r>
        <w:rPr>
          <w:rFonts w:ascii="Courier New" w:cs="Courier New" w:eastAsia="Courier New" w:hAnsi="Courier New"/>
          <w:sz w:val="14"/>
          <w:szCs w:val="14"/>
          <w:color w:val="auto"/>
        </w:rPr>
        <w:t>removal of an Exxon director for cause by a majority of the Exxon directors in office if, in the judgment of such majority, the director's continuation in office would be harmful to the corporation. The Exxon Board may suspend a director pending a final determination that cause for removal exists.</w:t>
      </w:r>
    </w:p>
    <w:p>
      <w:pPr>
        <w:spacing w:after="0" w:line="330" w:lineRule="exact"/>
        <w:rPr>
          <w:sz w:val="20"/>
          <w:szCs w:val="20"/>
          <w:color w:val="auto"/>
        </w:rPr>
      </w:pPr>
    </w:p>
    <w:p>
      <w:pPr>
        <w:ind w:right="260"/>
        <w:spacing w:after="0" w:line="251" w:lineRule="auto"/>
        <w:rPr>
          <w:sz w:val="20"/>
          <w:szCs w:val="20"/>
          <w:color w:val="auto"/>
        </w:rPr>
      </w:pPr>
      <w:r>
        <w:rPr>
          <w:rFonts w:ascii="Courier New" w:cs="Courier New" w:eastAsia="Courier New" w:hAnsi="Courier New"/>
          <w:sz w:val="14"/>
          <w:szCs w:val="14"/>
          <w:color w:val="auto"/>
        </w:rPr>
        <w:t>The Exxon by-laws provide that the presence in person or by proxy at a meeting of the holders of shares representing a majority of the votes of the Exxon common stock and ESOP preferred stock entitled to vote at the meeting is a quorum.</w:t>
      </w:r>
    </w:p>
    <w:p>
      <w:pPr>
        <w:spacing w:after="0" w:line="164"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4"/>
          <w:szCs w:val="14"/>
          <w:color w:val="auto"/>
        </w:rPr>
        <w:t>New Jersey law requires that shareholder action, including for approval of a merger or consolidation but not for the election of directors, be taken by the affirmative vote of a majority of the votes cast by shareholders entitled to vote thereon, unless the charter provides for a greater approval requirement. Exxon's charter does not provide otherwise. Abstentions have no effect on the vote.</w:t>
      </w:r>
    </w:p>
    <w:p>
      <w:pPr>
        <w:sectPr>
          <w:pgSz w:w="11900" w:h="16838" w:orient="portrait"/>
          <w:cols w:equalWidth="0" w:num="2">
            <w:col w:w="6300" w:space="520"/>
            <w:col w:w="3960"/>
          </w:cols>
          <w:pgMar w:left="220" w:top="616" w:right="899" w:bottom="1440" w:gutter="0" w:footer="0" w:header="0"/>
        </w:sectPr>
      </w:pPr>
    </w:p>
    <w:bookmarkStart w:id="80" w:name="page81"/>
    <w:bookmarkEnd w:id="80"/>
    <w:p>
      <w:pPr>
        <w:ind w:left="2840"/>
        <w:spacing w:after="0"/>
        <w:rPr>
          <w:sz w:val="20"/>
          <w:szCs w:val="20"/>
          <w:color w:val="auto"/>
        </w:rPr>
      </w:pPr>
      <w:r>
        <w:rPr>
          <w:rFonts w:ascii="Courier New" w:cs="Courier New" w:eastAsia="Courier New" w:hAnsi="Courier New"/>
          <w:sz w:val="14"/>
          <w:szCs w:val="14"/>
          <w:color w:val="auto"/>
        </w:rPr>
        <w:t>Chapter Three - Certain Legal Information</w:t>
      </w:r>
    </w:p>
    <w:p>
      <w:pPr>
        <w:sectPr>
          <w:pgSz w:w="11900" w:h="16838" w:orient="portrait"/>
          <w:cols w:equalWidth="0" w:num="1">
            <w:col w:w="10320"/>
          </w:cols>
          <w:pgMar w:left="580" w:top="616" w:right="999"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Shareholder</w:t>
            </w: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Under Delaware law, unless otherwise</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Action by Written</w:t>
            </w: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provided in a corporation's charter,</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Consent:</w:t>
            </w: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shareholders may act by written consent.</w:t>
            </w:r>
          </w:p>
        </w:tc>
      </w:tr>
      <w:tr>
        <w:trPr>
          <w:trHeight w:val="166"/>
        </w:trPr>
        <w:tc>
          <w:tcPr>
            <w:tcW w:w="1620" w:type="dxa"/>
            <w:vAlign w:val="bottom"/>
          </w:tcPr>
          <w:p>
            <w:pPr>
              <w:spacing w:after="0"/>
              <w:rPr>
                <w:sz w:val="14"/>
                <w:szCs w:val="14"/>
                <w:color w:val="auto"/>
              </w:rPr>
            </w:pP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However, the Mobil charter and the Mobil</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by-laws</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provide that any action required or</w:t>
            </w:r>
          </w:p>
        </w:tc>
      </w:tr>
      <w:tr>
        <w:trPr>
          <w:trHeight w:val="166"/>
        </w:trPr>
        <w:tc>
          <w:tcPr>
            <w:tcW w:w="1620" w:type="dxa"/>
            <w:vAlign w:val="bottom"/>
          </w:tcPr>
          <w:p>
            <w:pPr>
              <w:spacing w:after="0"/>
              <w:rPr>
                <w:sz w:val="14"/>
                <w:szCs w:val="14"/>
                <w:color w:val="auto"/>
              </w:rPr>
            </w:pP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permitted to be taken by the shareholders</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must be</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effected at a duly called annual or</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special</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meeting of shareholders and not by</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written</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consent.</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80"/>
        <w:spacing w:after="0" w:line="251" w:lineRule="auto"/>
        <w:rPr>
          <w:sz w:val="20"/>
          <w:szCs w:val="20"/>
          <w:color w:val="auto"/>
        </w:rPr>
      </w:pPr>
      <w:r>
        <w:rPr>
          <w:rFonts w:ascii="Courier New" w:cs="Courier New" w:eastAsia="Courier New" w:hAnsi="Courier New"/>
          <w:sz w:val="14"/>
          <w:szCs w:val="14"/>
          <w:color w:val="auto"/>
        </w:rPr>
        <w:t>Except as otherwise provided by a corporation's charter, New Jersey law permits shareholder approval to be obtained by written consent without a meeting except for the annual election of directors which may be by written consent only if unanimous. The required written consent is that of shareholders representing a majority of the voting power of the outstanding common stock and ESOP preferred stock, voting as a single class. Exxon's charter does not otherwise provide.</w:t>
      </w:r>
    </w:p>
    <w:p>
      <w:pPr>
        <w:spacing w:after="0" w:line="200" w:lineRule="exact"/>
        <w:rPr>
          <w:sz w:val="20"/>
          <w:szCs w:val="20"/>
          <w:color w:val="auto"/>
        </w:rPr>
      </w:pPr>
    </w:p>
    <w:p>
      <w:pPr>
        <w:sectPr>
          <w:pgSz w:w="11900" w:h="16838" w:orient="portrait"/>
          <w:cols w:equalWidth="0" w:num="2">
            <w:col w:w="5740" w:space="720"/>
            <w:col w:w="3860"/>
          </w:cols>
          <w:pgMar w:left="580" w:top="616" w:right="999" w:bottom="1440" w:gutter="0" w:footer="0" w:header="0"/>
          <w:type w:val="continuous"/>
        </w:sectPr>
      </w:pP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Amendment of</w:t>
            </w: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Generally, the Mobil by-laws may be</w:t>
            </w:r>
          </w:p>
        </w:tc>
      </w:tr>
      <w:tr>
        <w:trPr>
          <w:trHeight w:val="166"/>
        </w:trPr>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Charter and</w:t>
            </w: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amended by shares representing a majority of</w:t>
            </w:r>
          </w:p>
        </w:tc>
      </w:tr>
      <w:tr>
        <w:trPr>
          <w:trHeight w:val="166"/>
        </w:trPr>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By-laws:</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votes present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in person or by proxy and</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entitled to vote at the meeting.  A majority of</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Mobil Board may also amend the by-laws</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or enact new by-laws.</w:t>
            </w:r>
          </w:p>
        </w:tc>
      </w:tr>
      <w:tr>
        <w:trPr>
          <w:trHeight w:val="331"/>
        </w:trPr>
        <w:tc>
          <w:tcPr>
            <w:tcW w:w="1280" w:type="dxa"/>
            <w:vAlign w:val="bottom"/>
          </w:tcPr>
          <w:p>
            <w:pPr>
              <w:spacing w:after="0"/>
              <w:rPr>
                <w:sz w:val="24"/>
                <w:szCs w:val="2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However, the Mobil charter provides that the</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 of certain specified by-laws (and</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provisions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its charter) requires the</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affirmative vote of at least 80% of the voting</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power of Mobil's outstanding voting stock.</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These include</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by-law and charter provisions</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relating to *</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shareholder action, * business</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combinations,</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 by-law and charter</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amendments, *</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number and election of</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directors and</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 procedures for annual meeting</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proposals.</w:t>
            </w:r>
          </w:p>
        </w:tc>
        <w:tc>
          <w:tcPr>
            <w:tcW w:w="2900" w:type="dxa"/>
            <w:vAlign w:val="bottom"/>
          </w:tcPr>
          <w:p>
            <w:pPr>
              <w:spacing w:after="0"/>
              <w:rPr>
                <w:sz w:val="14"/>
                <w:szCs w:val="14"/>
                <w:color w:val="auto"/>
              </w:rPr>
            </w:pPr>
          </w:p>
        </w:tc>
      </w:tr>
      <w:tr>
        <w:trPr>
          <w:trHeight w:val="331"/>
        </w:trPr>
        <w:tc>
          <w:tcPr>
            <w:tcW w:w="1280" w:type="dxa"/>
            <w:vAlign w:val="bottom"/>
          </w:tcPr>
          <w:p>
            <w:pPr>
              <w:spacing w:after="0"/>
              <w:rPr>
                <w:sz w:val="24"/>
                <w:szCs w:val="2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Under Delaware law, the Mobil charter may</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be amended by</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affirmative vote of a</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majority of the outstanding stock entitled to</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vote thereon at the shareholders meeting and</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a majority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outstanding stock of each</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entitled to vote thereon as a class.</w:t>
            </w:r>
          </w:p>
        </w:tc>
      </w:tr>
      <w:tr>
        <w:trPr>
          <w:trHeight w:val="331"/>
        </w:trPr>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Voting Stock:</w:t>
            </w: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outstanding voting securities of Mobil</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are the shares of Mobil common stock and</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the shares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Mobil ESOP preferred stock.</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III-3</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Exxon's charter may be amended by the affirmative vote of the majority of the votes cast by the holders of Exxon shares entitled to vote thereon.</w:t>
      </w:r>
    </w:p>
    <w:p>
      <w:pPr>
        <w:spacing w:after="0" w:line="162"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The affirmative vote of a majority of Exxon's Board is necessary to make or amend Exxon's by-laws and the affirmative vote of a majority of the votes cast by Exxon's shareholders entitled to vote thereon is necessary to alter or repeal by-laws made by the Exxon Board or to enact new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40"/>
        <w:spacing w:after="0" w:line="251" w:lineRule="auto"/>
        <w:rPr>
          <w:sz w:val="20"/>
          <w:szCs w:val="20"/>
          <w:color w:val="auto"/>
        </w:rPr>
      </w:pPr>
      <w:r>
        <w:rPr>
          <w:rFonts w:ascii="Courier New" w:cs="Courier New" w:eastAsia="Courier New" w:hAnsi="Courier New"/>
          <w:sz w:val="14"/>
          <w:szCs w:val="14"/>
          <w:color w:val="auto"/>
        </w:rPr>
        <w:t>The outstanding voting securities of Exxon are the shares of Exxon common stock and the shares of Exxon Class A preferred stock. After completion of the merger, Exxon Mobil ESOP preferred stock will also be voting securities of Exxon Mobil.</w:t>
      </w:r>
    </w:p>
    <w:p>
      <w:pPr>
        <w:sectPr>
          <w:pgSz w:w="11900" w:h="16838" w:orient="portrait"/>
          <w:cols w:equalWidth="0" w:num="2">
            <w:col w:w="5860" w:space="600"/>
            <w:col w:w="3860"/>
          </w:cols>
          <w:pgMar w:left="580" w:top="616" w:right="99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62"/>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Chapter Three - Certain Legal Information</w:t>
            </w:r>
          </w:p>
        </w:tc>
        <w:tc>
          <w:tcPr>
            <w:tcW w:w="2720" w:type="dxa"/>
            <w:vAlign w:val="bottom"/>
          </w:tcPr>
          <w:p>
            <w:pPr>
              <w:spacing w:after="0"/>
              <w:rPr>
                <w:sz w:val="14"/>
                <w:szCs w:val="14"/>
                <w:color w:val="auto"/>
              </w:rPr>
            </w:pPr>
          </w:p>
        </w:tc>
      </w:tr>
      <w:tr>
        <w:trPr>
          <w:trHeight w:val="66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Repurchase of</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Under Delaware law, a corporation may</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generally redeem</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or repurchase shares of its</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unless the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capital of the corporation is</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impaired or such</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redemption or repurchase</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would impair the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capital of the corporation.</w:t>
            </w: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Exculpation of</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Mobil charter provides that no director</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 and</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shall be personally liable to the corporation or</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Officers:</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any</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its shareholders for monetary damages</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for</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breaches of fiduciary duty except as</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follows.</w:t>
            </w:r>
          </w:p>
        </w:tc>
        <w:tc>
          <w:tcPr>
            <w:tcW w:w="272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 director would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be liable under Section 174</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of the Delaware General Corporation Law,</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which creates liability for unlawful payment</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dividends and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unlawful stock purchases or</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redemptions.</w:t>
            </w:r>
          </w:p>
        </w:tc>
        <w:tc>
          <w:tcPr>
            <w:tcW w:w="272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 director would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also be liable under any</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applicable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provision of law by reason</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that such director</w:t>
            </w:r>
          </w:p>
        </w:tc>
      </w:tr>
      <w:tr>
        <w:trPr>
          <w:trHeight w:val="331"/>
        </w:trPr>
        <w:tc>
          <w:tcPr>
            <w:tcW w:w="19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o</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breached the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director's duty of loyalty</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corporation or its shareholders,</w:t>
            </w:r>
          </w:p>
        </w:tc>
      </w:tr>
      <w:tr>
        <w:trPr>
          <w:trHeight w:val="331"/>
        </w:trPr>
        <w:tc>
          <w:tcPr>
            <w:tcW w:w="19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o</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acted in bad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faith, failed to act in good</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faith or acted in a manner that involved</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intentional misconduct or a knowing</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violation of</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law, or</w:t>
            </w:r>
          </w:p>
        </w:tc>
      </w:tr>
      <w:tr>
        <w:trPr>
          <w:trHeight w:val="331"/>
        </w:trPr>
        <w:tc>
          <w:tcPr>
            <w:tcW w:w="19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o</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derived an improper personal benefit.</w:t>
            </w:r>
          </w:p>
        </w:tc>
      </w:tr>
      <w:tr>
        <w:trPr>
          <w:trHeight w:val="331"/>
        </w:trPr>
        <w:tc>
          <w:tcPr>
            <w:tcW w:w="198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Mobil charter does not contain</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provisions limiting the liability of officers in</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this manner.</w:t>
            </w:r>
          </w:p>
        </w:tc>
        <w:tc>
          <w:tcPr>
            <w:tcW w:w="2720" w:type="dxa"/>
            <w:vAlign w:val="bottom"/>
          </w:tcPr>
          <w:p>
            <w:pPr>
              <w:spacing w:after="0"/>
              <w:rPr>
                <w:sz w:val="14"/>
                <w:szCs w:val="14"/>
                <w:color w:val="auto"/>
              </w:rPr>
            </w:pP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Shareholder</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Mobil has entered into a Rights Agreement,</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Rights Plan:</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dated as of December 15, 1995, between</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Mobil and Mellon</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Bank, N.A., as Rights</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Agent, as amended, pursuant to which Mobil</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has</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issued rights to purchase its Series A</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Junior Participating Preferred Stock.  Mobil</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has</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taken all action necessary to render the</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rights issued pursuant to the terms of the</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Rights Agreement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inapplicable to the merger</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related agreements and transactions.</w:t>
            </w:r>
          </w:p>
        </w:tc>
      </w:tr>
    </w:tbl>
    <w:p>
      <w:pPr>
        <w:spacing w:after="0" w:line="1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Under New Jersey law, a corporation may generally acquire its own shares subject to restrictions imposed by its charter. The Exxon charter does not impose any such restrictions.</w:t>
      </w:r>
    </w:p>
    <w:p>
      <w:pPr>
        <w:spacing w:after="0" w:line="16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The Exxon charter limits the liability of the directors and officers of Exxon to the fullest extent permitted by law. New Jersey law prohibits exculpation</w:t>
      </w:r>
    </w:p>
    <w:p>
      <w:pPr>
        <w:spacing w:after="0" w:line="162" w:lineRule="exact"/>
        <w:rPr>
          <w:sz w:val="20"/>
          <w:szCs w:val="20"/>
          <w:color w:val="auto"/>
        </w:rPr>
      </w:pPr>
    </w:p>
    <w:p>
      <w:pPr>
        <w:ind w:left="420" w:right="24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for a breach of such person's duty of loyalty to the corporation or its shareholders,</w:t>
      </w:r>
    </w:p>
    <w:p>
      <w:pPr>
        <w:spacing w:after="0" w:line="163" w:lineRule="exact"/>
        <w:rPr>
          <w:sz w:val="20"/>
          <w:szCs w:val="20"/>
          <w:color w:val="auto"/>
        </w:rPr>
      </w:pPr>
    </w:p>
    <w:p>
      <w:pPr>
        <w:ind w:left="420" w:right="34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for acts or omissions not in good faith or that involve intentional misconduct or a knowing violation of law, or</w:t>
      </w:r>
    </w:p>
    <w:p>
      <w:pPr>
        <w:spacing w:after="0" w:line="16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o for any act or omission from which</w:t>
      </w:r>
    </w:p>
    <w:p>
      <w:pPr>
        <w:spacing w:after="0" w:line="7" w:lineRule="exact"/>
        <w:rPr>
          <w:sz w:val="20"/>
          <w:szCs w:val="20"/>
          <w:color w:val="auto"/>
        </w:rPr>
      </w:pPr>
    </w:p>
    <w:p>
      <w:pPr>
        <w:ind w:left="420" w:right="680"/>
        <w:spacing w:after="0" w:line="255" w:lineRule="auto"/>
        <w:rPr>
          <w:sz w:val="20"/>
          <w:szCs w:val="20"/>
          <w:color w:val="auto"/>
        </w:rPr>
      </w:pPr>
      <w:r>
        <w:rPr>
          <w:rFonts w:ascii="Courier New" w:cs="Courier New" w:eastAsia="Courier New" w:hAnsi="Courier New"/>
          <w:sz w:val="14"/>
          <w:szCs w:val="14"/>
          <w:color w:val="auto"/>
        </w:rPr>
        <w:t>the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does not have a shareholder rights</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plan.</w:t>
        <w:tab/>
        <w:t>While Exxon has no present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 to adopt a shareholder rights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Exxon Board, pursuant to its 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issue preferred stock, could do 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shareholder approval at any future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time.</w:t>
        <w:tab/>
        <w:t>See "Description of Exxon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Stock--Exxon Preferred Stock--Blank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 Preferred Stock" on page III-8.</w:t>
      </w:r>
    </w:p>
    <w:p>
      <w:pPr>
        <w:sectPr>
          <w:pgSz w:w="11900" w:h="16838" w:orient="portrait"/>
          <w:cols w:equalWidth="0" w:num="2">
            <w:col w:w="6300" w:space="520"/>
            <w:col w:w="3860"/>
          </w:cols>
          <w:pgMar w:left="220" w:top="616" w:right="999" w:bottom="1440" w:gutter="0" w:footer="0" w:header="0"/>
        </w:sectPr>
      </w:pPr>
    </w:p>
    <w:bookmarkStart w:id="82" w:name="page83"/>
    <w:bookmarkEnd w:id="82"/>
    <w:p>
      <w:pPr>
        <w:ind w:left="1980"/>
        <w:spacing w:after="0"/>
        <w:rPr>
          <w:sz w:val="20"/>
          <w:szCs w:val="20"/>
          <w:color w:val="auto"/>
        </w:rPr>
      </w:pPr>
      <w:r>
        <w:rPr>
          <w:rFonts w:ascii="Courier New" w:cs="Courier New" w:eastAsia="Courier New" w:hAnsi="Courier New"/>
          <w:sz w:val="14"/>
          <w:szCs w:val="14"/>
          <w:color w:val="auto"/>
        </w:rPr>
        <w:t>Chapter Three - Certain Legal Information</w:t>
      </w:r>
    </w:p>
    <w:p>
      <w:pPr>
        <w:sectPr>
          <w:pgSz w:w="11900" w:h="16838" w:orient="portrait"/>
          <w:cols w:equalWidth="0" w:num="1">
            <w:col w:w="9460"/>
          </w:cols>
          <w:pgMar w:left="1440" w:top="616" w:right="9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Mobil Shareholder Rights</w:t>
      </w:r>
    </w:p>
    <w:p>
      <w:pPr>
        <w:spacing w:after="0" w:line="173" w:lineRule="exact"/>
        <w:rPr>
          <w:sz w:val="20"/>
          <w:szCs w:val="20"/>
          <w:color w:val="auto"/>
        </w:rPr>
      </w:pPr>
    </w:p>
    <w:p>
      <w:pPr>
        <w:ind w:left="940" w:hanging="1808"/>
        <w:spacing w:after="0" w:line="250" w:lineRule="auto"/>
        <w:tabs>
          <w:tab w:leader="none" w:pos="920" w:val="left"/>
        </w:tabs>
        <w:rPr>
          <w:sz w:val="20"/>
          <w:szCs w:val="20"/>
          <w:color w:val="auto"/>
        </w:rPr>
      </w:pPr>
      <w:r>
        <w:rPr>
          <w:rFonts w:ascii="Courier New" w:cs="Courier New" w:eastAsia="Courier New" w:hAnsi="Courier New"/>
          <w:sz w:val="14"/>
          <w:szCs w:val="14"/>
          <w:color w:val="auto"/>
        </w:rPr>
        <w:t>Appraisal Rights:</w:t>
      </w:r>
      <w:r>
        <w:rPr>
          <w:sz w:val="20"/>
          <w:szCs w:val="20"/>
          <w:color w:val="auto"/>
        </w:rPr>
        <w:tab/>
      </w:r>
      <w:r>
        <w:rPr>
          <w:rFonts w:ascii="Courier New" w:cs="Courier New" w:eastAsia="Courier New" w:hAnsi="Courier New"/>
          <w:sz w:val="14"/>
          <w:szCs w:val="14"/>
          <w:color w:val="auto"/>
        </w:rPr>
        <w:t>Under Delaware law, the rights of dissenting shareholders to obtain the fair value for their shares (so-called "appraisal rights") may be available in connection with a statutory merger or consolidation in certain specific situations. Appraisal rights are not available to a corporation's shareholders under Delaware law when the corporation is to be</w:t>
      </w:r>
    </w:p>
    <w:p>
      <w:pPr>
        <w:spacing w:after="0" w:line="3" w:lineRule="exact"/>
        <w:rPr>
          <w:sz w:val="20"/>
          <w:szCs w:val="20"/>
          <w:color w:val="auto"/>
        </w:rPr>
      </w:pPr>
    </w:p>
    <w:p>
      <w:pPr>
        <w:ind w:left="940" w:right="260"/>
        <w:spacing w:after="0" w:line="252" w:lineRule="auto"/>
        <w:rPr>
          <w:sz w:val="20"/>
          <w:szCs w:val="20"/>
          <w:color w:val="auto"/>
        </w:rPr>
      </w:pPr>
      <w:r>
        <w:rPr>
          <w:rFonts w:ascii="Courier New" w:cs="Courier New" w:eastAsia="Courier New" w:hAnsi="Courier New"/>
          <w:sz w:val="14"/>
          <w:szCs w:val="14"/>
          <w:color w:val="auto"/>
        </w:rPr>
        <w:t>the surviving corporation and no vote of its shareholders is required to approve the merger.</w:t>
      </w:r>
    </w:p>
    <w:p>
      <w:pPr>
        <w:spacing w:after="0" w:line="16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In addition, unless otherwise provided in the</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charter, no appraisal rights are available</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under Delaware law to holders of shares of</w:t>
      </w:r>
    </w:p>
    <w:p>
      <w:pPr>
        <w:spacing w:after="0" w:line="7" w:lineRule="exact"/>
        <w:rPr>
          <w:sz w:val="20"/>
          <w:szCs w:val="20"/>
          <w:color w:val="auto"/>
        </w:rPr>
      </w:pPr>
    </w:p>
    <w:p>
      <w:pPr>
        <w:ind w:left="940"/>
        <w:spacing w:after="0" w:line="250" w:lineRule="auto"/>
        <w:rPr>
          <w:sz w:val="20"/>
          <w:szCs w:val="20"/>
          <w:color w:val="auto"/>
        </w:rPr>
      </w:pPr>
      <w:r>
        <w:rPr>
          <w:rFonts w:ascii="Courier New" w:cs="Courier New" w:eastAsia="Courier New" w:hAnsi="Courier New"/>
          <w:sz w:val="14"/>
          <w:szCs w:val="14"/>
          <w:color w:val="auto"/>
        </w:rPr>
        <w:t>any class of stock which is either * listed on a national securities exchange or designated as a national market system security on an interdealer quotation system by the NASD or</w:t>
      </w:r>
    </w:p>
    <w:p>
      <w:pPr>
        <w:spacing w:after="0" w:line="2" w:lineRule="exact"/>
        <w:rPr>
          <w:sz w:val="20"/>
          <w:szCs w:val="20"/>
          <w:color w:val="auto"/>
        </w:rPr>
      </w:pPr>
    </w:p>
    <w:p>
      <w:pPr>
        <w:ind w:left="940" w:right="180" w:firstLine="2"/>
        <w:spacing w:after="0" w:line="252" w:lineRule="auto"/>
        <w:tabs>
          <w:tab w:leader="none" w:pos="111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of record by more than 2,000 shareholders, unless such shareholders are required by the terms of the merger to accept anything other than:</w:t>
      </w:r>
    </w:p>
    <w:p>
      <w:pPr>
        <w:spacing w:after="0" w:line="16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 shares of stock of the surviving</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ind w:left="1280" w:right="260" w:hanging="159"/>
        <w:spacing w:after="0" w:line="252" w:lineRule="auto"/>
        <w:tabs>
          <w:tab w:leader="none" w:pos="1260" w:val="left"/>
        </w:tabs>
        <w:rPr>
          <w:sz w:val="20"/>
          <w:szCs w:val="20"/>
          <w:color w:val="auto"/>
        </w:rPr>
      </w:pPr>
      <w:r>
        <w:rPr>
          <w:rFonts w:ascii="Courier New" w:cs="Courier New" w:eastAsia="Courier New" w:hAnsi="Courier New"/>
          <w:sz w:val="14"/>
          <w:szCs w:val="14"/>
          <w:color w:val="auto"/>
        </w:rPr>
        <w:t>o</w:t>
        <w:tab/>
        <w:t>shares of stock of another corporation which, as of the effective date of the merger or consolidation, are of the kind described in the two *s above;</w:t>
      </w:r>
    </w:p>
    <w:p>
      <w:pPr>
        <w:spacing w:after="0" w:line="162" w:lineRule="exact"/>
        <w:rPr>
          <w:sz w:val="20"/>
          <w:szCs w:val="20"/>
          <w:color w:val="auto"/>
        </w:rPr>
      </w:pPr>
    </w:p>
    <w:p>
      <w:pPr>
        <w:ind w:left="1280" w:right="180" w:hanging="159"/>
        <w:spacing w:after="0" w:line="255" w:lineRule="auto"/>
        <w:tabs>
          <w:tab w:leader="none" w:pos="1260" w:val="left"/>
        </w:tabs>
        <w:rPr>
          <w:sz w:val="20"/>
          <w:szCs w:val="20"/>
          <w:color w:val="auto"/>
        </w:rPr>
      </w:pPr>
      <w:r>
        <w:rPr>
          <w:rFonts w:ascii="Courier New" w:cs="Courier New" w:eastAsia="Courier New" w:hAnsi="Courier New"/>
          <w:sz w:val="14"/>
          <w:szCs w:val="14"/>
          <w:color w:val="auto"/>
        </w:rPr>
        <w:t>o</w:t>
        <w:tab/>
        <w:t>cash instead of fractional shares of such stock; or</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 any combination of the above three</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bullets.</w:t>
      </w:r>
    </w:p>
    <w:p>
      <w:pPr>
        <w:spacing w:after="0" w:line="173" w:lineRule="exact"/>
        <w:rPr>
          <w:sz w:val="20"/>
          <w:szCs w:val="20"/>
          <w:color w:val="auto"/>
        </w:rPr>
      </w:pPr>
    </w:p>
    <w:p>
      <w:pPr>
        <w:ind w:left="940"/>
        <w:spacing w:after="0" w:line="251" w:lineRule="auto"/>
        <w:rPr>
          <w:sz w:val="20"/>
          <w:szCs w:val="20"/>
          <w:color w:val="auto"/>
        </w:rPr>
      </w:pPr>
      <w:r>
        <w:rPr>
          <w:rFonts w:ascii="Courier New" w:cs="Courier New" w:eastAsia="Courier New" w:hAnsi="Courier New"/>
          <w:sz w:val="14"/>
          <w:szCs w:val="14"/>
          <w:color w:val="auto"/>
        </w:rPr>
        <w:t>Appraisal rights are not available under Delaware law in the event of the sale of all or substantially all of a corporation's assets or the adoption of an amendment to its charter, unless such rights are granted in the corporation's charter. The Mobil charter does not grant such rights.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Under New Jersey law, appraisal rights are available in connection with a merger or consolidation or any sale, lease or exchange or other disposition of all or substantially all of a corporation's assets other than in the usual and regular course of business, unless an exception applies or the corporation's charter provides otherwise. Exxon's charter does not provide otherwise.</w:t>
      </w:r>
    </w:p>
    <w:p>
      <w:pPr>
        <w:spacing w:after="0" w:line="329" w:lineRule="exact"/>
        <w:rPr>
          <w:sz w:val="20"/>
          <w:szCs w:val="20"/>
          <w:color w:val="auto"/>
        </w:rPr>
      </w:pPr>
    </w:p>
    <w:p>
      <w:pPr>
        <w:ind w:right="420"/>
        <w:spacing w:after="0" w:line="251" w:lineRule="auto"/>
        <w:rPr>
          <w:sz w:val="20"/>
          <w:szCs w:val="20"/>
          <w:color w:val="auto"/>
        </w:rPr>
      </w:pPr>
      <w:r>
        <w:rPr>
          <w:rFonts w:ascii="Courier New" w:cs="Courier New" w:eastAsia="Courier New" w:hAnsi="Courier New"/>
          <w:sz w:val="14"/>
          <w:szCs w:val="14"/>
          <w:color w:val="auto"/>
        </w:rPr>
        <w:t>Appraisal rights are not available under New Jersey law to shareholders of a surviving corporation with respect to a merger if the merger did not require shareholder approval.</w:t>
      </w:r>
    </w:p>
    <w:p>
      <w:pPr>
        <w:spacing w:after="0" w:line="165" w:lineRule="exact"/>
        <w:rPr>
          <w:sz w:val="20"/>
          <w:szCs w:val="20"/>
          <w:color w:val="auto"/>
        </w:rPr>
      </w:pPr>
    </w:p>
    <w:p>
      <w:pPr>
        <w:ind w:right="240"/>
        <w:spacing w:after="0" w:line="252" w:lineRule="auto"/>
        <w:rPr>
          <w:sz w:val="20"/>
          <w:szCs w:val="20"/>
          <w:color w:val="auto"/>
        </w:rPr>
      </w:pPr>
      <w:r>
        <w:rPr>
          <w:rFonts w:ascii="Courier New" w:cs="Courier New" w:eastAsia="Courier New" w:hAnsi="Courier New"/>
          <w:sz w:val="14"/>
          <w:szCs w:val="14"/>
          <w:color w:val="auto"/>
        </w:rPr>
        <w:t>In addition, unless provided for in the corporation's charter, no appraisal rights are available in a merger or consolidation with respect to shares</w:t>
      </w:r>
    </w:p>
    <w:p>
      <w:pPr>
        <w:spacing w:after="0" w:line="162" w:lineRule="exact"/>
        <w:rPr>
          <w:sz w:val="20"/>
          <w:szCs w:val="20"/>
          <w:color w:val="auto"/>
        </w:rPr>
      </w:pPr>
    </w:p>
    <w:p>
      <w:pPr>
        <w:ind w:left="420" w:right="42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which are listed on a national securities exchange or are held of record by at least 1,000 holders or</w:t>
      </w:r>
    </w:p>
    <w:p>
      <w:pPr>
        <w:spacing w:after="0" w:line="163" w:lineRule="exact"/>
        <w:rPr>
          <w:sz w:val="20"/>
          <w:szCs w:val="20"/>
          <w:color w:val="auto"/>
        </w:rPr>
      </w:pPr>
    </w:p>
    <w:p>
      <w:pPr>
        <w:ind w:left="420" w:right="240" w:hanging="159"/>
        <w:spacing w:after="0" w:line="251" w:lineRule="auto"/>
        <w:tabs>
          <w:tab w:leader="none" w:pos="400" w:val="left"/>
        </w:tabs>
        <w:rPr>
          <w:sz w:val="20"/>
          <w:szCs w:val="20"/>
          <w:color w:val="auto"/>
        </w:rPr>
      </w:pPr>
      <w:r>
        <w:rPr>
          <w:rFonts w:ascii="Courier New" w:cs="Courier New" w:eastAsia="Courier New" w:hAnsi="Courier New"/>
          <w:sz w:val="14"/>
          <w:szCs w:val="14"/>
          <w:color w:val="auto"/>
        </w:rPr>
        <w:t>o</w:t>
        <w:tab/>
        <w:t>for which, pursuant to the merger or consolidation, the shareholder will receive * cash, * shares, obligations or other securities of the kind described in the previous bullet or * cash and such securities.</w:t>
      </w:r>
    </w:p>
    <w:p>
      <w:pPr>
        <w:spacing w:after="0" w:line="164"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Furthermore, unless provided in the corporation's charter, no appraisal rights are available in a sale, lease, exchange or other disposition of all or substantially all of a corporation's assets</w:t>
      </w:r>
    </w:p>
    <w:p>
      <w:pPr>
        <w:spacing w:after="0" w:line="165" w:lineRule="exact"/>
        <w:rPr>
          <w:sz w:val="20"/>
          <w:szCs w:val="20"/>
          <w:color w:val="auto"/>
        </w:rPr>
      </w:pPr>
    </w:p>
    <w:p>
      <w:pPr>
        <w:ind w:left="420" w:right="34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with respect to shares which are listed on a national securities exchange or are held of record by at least 1,000 holders, or</w:t>
      </w:r>
    </w:p>
    <w:p>
      <w:pPr>
        <w:spacing w:after="0" w:line="162" w:lineRule="exact"/>
        <w:rPr>
          <w:sz w:val="20"/>
          <w:szCs w:val="20"/>
          <w:color w:val="auto"/>
        </w:rPr>
      </w:pPr>
    </w:p>
    <w:p>
      <w:pPr>
        <w:ind w:left="420" w:right="80" w:hanging="159"/>
        <w:spacing w:after="0" w:line="251" w:lineRule="auto"/>
        <w:tabs>
          <w:tab w:leader="none" w:pos="400" w:val="left"/>
        </w:tabs>
        <w:rPr>
          <w:sz w:val="20"/>
          <w:szCs w:val="20"/>
          <w:color w:val="auto"/>
        </w:rPr>
      </w:pPr>
      <w:r>
        <w:rPr>
          <w:rFonts w:ascii="Courier New" w:cs="Courier New" w:eastAsia="Courier New" w:hAnsi="Courier New"/>
          <w:sz w:val="14"/>
          <w:szCs w:val="14"/>
          <w:color w:val="auto"/>
        </w:rPr>
        <w:t>o</w:t>
        <w:tab/>
        <w:t>from a dissolution transaction in which substantially all of a corporation's net assets are to be distributed to its shareholders within one year after the date of the transaction, so long as the transaction</w:t>
      </w:r>
    </w:p>
    <w:p>
      <w:pPr>
        <w:spacing w:after="0" w:line="164" w:lineRule="exact"/>
        <w:rPr>
          <w:sz w:val="20"/>
          <w:szCs w:val="20"/>
          <w:color w:val="auto"/>
        </w:rPr>
      </w:pPr>
    </w:p>
    <w:p>
      <w:pPr>
        <w:sectPr>
          <w:pgSz w:w="11900" w:h="16838" w:orient="portrait"/>
          <w:cols w:equalWidth="0" w:num="2">
            <w:col w:w="5000" w:space="600"/>
            <w:col w:w="3860"/>
          </w:cols>
          <w:pgMar w:left="1440" w:top="616" w:right="999" w:bottom="1440" w:gutter="0" w:footer="0" w:header="0"/>
          <w:type w:val="continuous"/>
        </w:sectPr>
      </w:pPr>
    </w:p>
    <w:p>
      <w:pPr>
        <w:ind w:left="1800"/>
        <w:spacing w:after="0"/>
        <w:rPr>
          <w:sz w:val="20"/>
          <w:szCs w:val="20"/>
          <w:color w:val="auto"/>
        </w:rPr>
      </w:pPr>
      <w:r>
        <w:rPr>
          <w:rFonts w:ascii="Courier New" w:cs="Courier New" w:eastAsia="Courier New" w:hAnsi="Courier New"/>
          <w:sz w:val="14"/>
          <w:szCs w:val="14"/>
          <w:color w:val="auto"/>
        </w:rPr>
        <w:t>III-5</w:t>
      </w:r>
    </w:p>
    <w:p>
      <w:pPr>
        <w:sectPr>
          <w:pgSz w:w="11900" w:h="16838" w:orient="portrait"/>
          <w:cols w:equalWidth="0" w:num="1">
            <w:col w:w="9460"/>
          </w:cols>
          <w:pgMar w:left="1440" w:top="616" w:right="999" w:bottom="1440" w:gutter="0" w:footer="0" w:header="0"/>
          <w:type w:val="continuous"/>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Mobil Shareholder Rights</w:t>
      </w:r>
    </w:p>
    <w:p>
      <w:pPr>
        <w:spacing w:after="0" w:line="173" w:lineRule="exact"/>
        <w:rPr>
          <w:sz w:val="20"/>
          <w:szCs w:val="20"/>
          <w:color w:val="auto"/>
        </w:rPr>
      </w:pPr>
    </w:p>
    <w:p>
      <w:pPr>
        <w:jc w:val="right"/>
        <w:ind w:right="4400"/>
        <w:spacing w:after="0"/>
        <w:rPr>
          <w:sz w:val="20"/>
          <w:szCs w:val="20"/>
          <w:color w:val="auto"/>
        </w:rPr>
      </w:pPr>
      <w:r>
        <w:rPr>
          <w:rFonts w:ascii="Courier New" w:cs="Courier New" w:eastAsia="Courier New" w:hAnsi="Courier New"/>
          <w:sz w:val="14"/>
          <w:szCs w:val="14"/>
          <w:color w:val="auto"/>
        </w:rPr>
        <w:t>Appraisal Rights</w:t>
      </w:r>
    </w:p>
    <w:p>
      <w:pPr>
        <w:spacing w:after="0" w:line="7" w:lineRule="exact"/>
        <w:rPr>
          <w:sz w:val="20"/>
          <w:szCs w:val="20"/>
          <w:color w:val="auto"/>
        </w:rPr>
      </w:pPr>
    </w:p>
    <w:p>
      <w:pPr>
        <w:jc w:val="right"/>
        <w:ind w:right="440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Certain Business</w:t>
      </w:r>
      <w:r>
        <w:rPr>
          <w:sz w:val="20"/>
          <w:szCs w:val="20"/>
          <w:color w:val="auto"/>
        </w:rPr>
        <w:tab/>
      </w:r>
      <w:r>
        <w:rPr>
          <w:rFonts w:ascii="Courier New" w:cs="Courier New" w:eastAsia="Courier New" w:hAnsi="Courier New"/>
          <w:sz w:val="14"/>
          <w:szCs w:val="14"/>
          <w:color w:val="auto"/>
        </w:rPr>
        <w:t>Section 203 of the Delaware General</w:t>
      </w:r>
    </w:p>
    <w:p>
      <w:pPr>
        <w:spacing w:after="0" w:line="7" w:lineRule="exact"/>
        <w:rPr>
          <w:sz w:val="20"/>
          <w:szCs w:val="20"/>
          <w:color w:val="auto"/>
        </w:rPr>
      </w:pPr>
    </w:p>
    <w:p>
      <w:pPr>
        <w:ind w:left="700"/>
        <w:spacing w:after="0"/>
        <w:tabs>
          <w:tab w:leader="none" w:pos="2140" w:val="left"/>
        </w:tabs>
        <w:rPr>
          <w:sz w:val="20"/>
          <w:szCs w:val="20"/>
          <w:color w:val="auto"/>
        </w:rPr>
      </w:pPr>
      <w:r>
        <w:rPr>
          <w:rFonts w:ascii="Courier New" w:cs="Courier New" w:eastAsia="Courier New" w:hAnsi="Courier New"/>
          <w:sz w:val="14"/>
          <w:szCs w:val="14"/>
          <w:color w:val="auto"/>
        </w:rPr>
        <w:t>Combinations:</w:t>
      </w:r>
      <w:r>
        <w:rPr>
          <w:sz w:val="20"/>
          <w:szCs w:val="20"/>
          <w:color w:val="auto"/>
        </w:rPr>
        <w:tab/>
      </w:r>
      <w:r>
        <w:rPr>
          <w:rFonts w:ascii="Courier New" w:cs="Courier New" w:eastAsia="Courier New" w:hAnsi="Courier New"/>
          <w:sz w:val="14"/>
          <w:szCs w:val="14"/>
          <w:color w:val="auto"/>
        </w:rPr>
        <w:t>Corporation Law provides that, if a person</w:t>
      </w:r>
    </w:p>
    <w:p>
      <w:pPr>
        <w:spacing w:after="0" w:line="7" w:lineRule="exact"/>
        <w:rPr>
          <w:sz w:val="20"/>
          <w:szCs w:val="20"/>
          <w:color w:val="auto"/>
        </w:rPr>
      </w:pPr>
    </w:p>
    <w:p>
      <w:pPr>
        <w:ind w:left="2160"/>
        <w:spacing w:after="0" w:line="251" w:lineRule="auto"/>
        <w:rPr>
          <w:sz w:val="20"/>
          <w:szCs w:val="20"/>
          <w:color w:val="auto"/>
        </w:rPr>
      </w:pPr>
      <w:r>
        <w:rPr>
          <w:rFonts w:ascii="Courier New" w:cs="Courier New" w:eastAsia="Courier New" w:hAnsi="Courier New"/>
          <w:sz w:val="14"/>
          <w:szCs w:val="14"/>
          <w:color w:val="auto"/>
        </w:rPr>
        <w:t>acquires 15% or more of the stock of a Delaware corporation without the approval of the board of directors of that corporation, thereby becoming an "interested shareholder", that person may not engage in certain transactions with the corporation for a period of three years unless one of the following three exceptions applies:</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 the board of directors approved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acquisition of stock or the transaction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prior to the time that the person became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 interested shareholder,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 the person became an interested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shareholder and 85% owner of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voting stock of the corporation in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transaction, excluding voting stock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owned by directors who are also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officers and certain employee stock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plans, or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 the transaction is approved by the board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directors and by the affirmative vote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two-thirds of the outstanding voting</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stock which is not owned by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interested shareholder.</w:t>
      </w:r>
    </w:p>
    <w:p>
      <w:pPr>
        <w:spacing w:after="0" w:line="173" w:lineRule="exact"/>
        <w:rPr>
          <w:sz w:val="20"/>
          <w:szCs w:val="20"/>
          <w:color w:val="auto"/>
        </w:rPr>
      </w:pPr>
    </w:p>
    <w:p>
      <w:pPr>
        <w:ind w:left="2160" w:right="440"/>
        <w:spacing w:after="0" w:line="251" w:lineRule="auto"/>
        <w:rPr>
          <w:sz w:val="20"/>
          <w:szCs w:val="20"/>
          <w:color w:val="auto"/>
        </w:rPr>
      </w:pPr>
      <w:r>
        <w:rPr>
          <w:rFonts w:ascii="Courier New" w:cs="Courier New" w:eastAsia="Courier New" w:hAnsi="Courier New"/>
          <w:sz w:val="14"/>
          <w:szCs w:val="14"/>
          <w:color w:val="auto"/>
        </w:rPr>
        <w:t>A Delaware corporation may elect not to be governed by Section 203. Mobil has not so elected and the Mobil Board has taken the necessary action to make Section 203 inapplicable to the merger and the related transactions (including the option).</w:t>
      </w:r>
    </w:p>
    <w:p>
      <w:pPr>
        <w:spacing w:after="0" w:line="164" w:lineRule="exact"/>
        <w:rPr>
          <w:sz w:val="20"/>
          <w:szCs w:val="20"/>
          <w:color w:val="auto"/>
        </w:rPr>
      </w:pPr>
    </w:p>
    <w:p>
      <w:pPr>
        <w:ind w:left="2160" w:right="260"/>
        <w:spacing w:after="0" w:line="251" w:lineRule="auto"/>
        <w:rPr>
          <w:sz w:val="20"/>
          <w:szCs w:val="20"/>
          <w:color w:val="auto"/>
        </w:rPr>
      </w:pPr>
      <w:r>
        <w:rPr>
          <w:rFonts w:ascii="Courier New" w:cs="Courier New" w:eastAsia="Courier New" w:hAnsi="Courier New"/>
          <w:sz w:val="14"/>
          <w:szCs w:val="14"/>
          <w:color w:val="auto"/>
        </w:rPr>
        <w:t>The Mobil charter provides that any Business Combination with an interested shareholder of Mobil requires, in addition to any vote required by law, the affirmative approval of at least 80% of the voting power of the</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left="420" w:right="180"/>
        <w:spacing w:after="0" w:line="251" w:lineRule="auto"/>
        <w:rPr>
          <w:sz w:val="20"/>
          <w:szCs w:val="20"/>
          <w:color w:val="auto"/>
        </w:rPr>
      </w:pPr>
      <w:r>
        <w:rPr>
          <w:rFonts w:ascii="Courier New" w:cs="Courier New" w:eastAsia="Courier New" w:hAnsi="Courier New"/>
          <w:sz w:val="14"/>
          <w:szCs w:val="14"/>
          <w:color w:val="auto"/>
        </w:rPr>
        <w:t>is wholly for * cash, * shares, obligations or other securities which will be listed on a national securities exchange or held of record by not less than 1,000 holders or * cash and such securities.</w:t>
      </w:r>
    </w:p>
    <w:p>
      <w:pPr>
        <w:spacing w:after="0" w:line="164"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New Jersey law restricts the ability of certain persons to acquire control of a New Jersey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general, a New Jersey corporation with</w:t>
      </w:r>
    </w:p>
    <w:p>
      <w:pPr>
        <w:spacing w:after="0" w:line="7"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its principal executive offices or significant operations in New Jersey may not engage</w:t>
      </w:r>
    </w:p>
    <w:p>
      <w:pPr>
        <w:spacing w:after="0" w:line="1" w:lineRule="exact"/>
        <w:rPr>
          <w:sz w:val="20"/>
          <w:szCs w:val="20"/>
          <w:color w:val="auto"/>
        </w:rPr>
      </w:pPr>
    </w:p>
    <w:p>
      <w:pPr>
        <w:ind w:right="260"/>
        <w:spacing w:after="0" w:line="251" w:lineRule="auto"/>
        <w:rPr>
          <w:sz w:val="20"/>
          <w:szCs w:val="20"/>
          <w:color w:val="auto"/>
        </w:rPr>
      </w:pPr>
      <w:r>
        <w:rPr>
          <w:rFonts w:ascii="Courier New" w:cs="Courier New" w:eastAsia="Courier New" w:hAnsi="Courier New"/>
          <w:sz w:val="14"/>
          <w:szCs w:val="14"/>
          <w:color w:val="auto"/>
        </w:rPr>
        <w:t>in a "business combination" with an "interested shareholder" for a period of five years following the interested shareholder's becoming such. The business combination is permitted where it is approved by the Board of Directors prior to the stock acquisition.</w:t>
      </w:r>
    </w:p>
    <w:p>
      <w:pPr>
        <w:spacing w:after="0" w:line="164"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4"/>
          <w:szCs w:val="14"/>
          <w:color w:val="auto"/>
        </w:rPr>
        <w:t>Covered business combinations include, certain mergers, dispositions of assets or shares and recapitalizations. An interested shareholder is generally a shareholder owning at least 10% of the voting power of a corporation's outstanding shares.</w:t>
      </w:r>
    </w:p>
    <w:p>
      <w:pPr>
        <w:spacing w:after="0" w:line="164" w:lineRule="exact"/>
        <w:rPr>
          <w:sz w:val="20"/>
          <w:szCs w:val="20"/>
          <w:color w:val="auto"/>
        </w:rPr>
      </w:pPr>
    </w:p>
    <w:p>
      <w:pPr>
        <w:ind w:right="520"/>
        <w:spacing w:after="0" w:line="252" w:lineRule="auto"/>
        <w:rPr>
          <w:sz w:val="20"/>
          <w:szCs w:val="20"/>
          <w:color w:val="auto"/>
        </w:rPr>
      </w:pPr>
      <w:r>
        <w:rPr>
          <w:rFonts w:ascii="Courier New" w:cs="Courier New" w:eastAsia="Courier New" w:hAnsi="Courier New"/>
          <w:sz w:val="14"/>
          <w:szCs w:val="14"/>
          <w:color w:val="auto"/>
        </w:rPr>
        <w:t>In addition, New Jersey corporations may not engage at any time in a business combination with any interested shareholder other than:</w:t>
      </w:r>
    </w:p>
    <w:p>
      <w:pPr>
        <w:spacing w:after="0" w:line="162" w:lineRule="exact"/>
        <w:rPr>
          <w:sz w:val="20"/>
          <w:szCs w:val="20"/>
          <w:color w:val="auto"/>
        </w:rPr>
      </w:pPr>
    </w:p>
    <w:p>
      <w:pPr>
        <w:ind w:left="420" w:right="60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a business combination approved by the Board of Directors of such corporation prior to the stock acquisition,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 a business combination approved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affirmative vote of the holders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two-thirds of the voting stock not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beneficially owned by such interested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shareholder at a meeting for such</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purpose, or</w:t>
      </w:r>
    </w:p>
    <w:p>
      <w:pPr>
        <w:spacing w:after="0" w:line="173" w:lineRule="exact"/>
        <w:rPr>
          <w:sz w:val="20"/>
          <w:szCs w:val="20"/>
          <w:color w:val="auto"/>
        </w:rPr>
      </w:pPr>
    </w:p>
    <w:p>
      <w:pPr>
        <w:ind w:left="420" w:right="18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a business combination in which the interested shareholder pays a formula price designed to ensure that all other</w:t>
      </w:r>
    </w:p>
    <w:p>
      <w:pPr>
        <w:sectPr>
          <w:pgSz w:w="11900" w:h="16838" w:orient="portrait"/>
          <w:cols w:equalWidth="0" w:num="2">
            <w:col w:w="6220" w:space="600"/>
            <w:col w:w="3960"/>
          </w:cols>
          <w:pgMar w:left="220" w:top="616" w:right="899" w:bottom="1440" w:gutter="0" w:footer="0" w:header="0"/>
        </w:sectPr>
      </w:pPr>
    </w:p>
    <w:bookmarkStart w:id="84" w:name="page85"/>
    <w:bookmarkEnd w:id="84"/>
    <w:p>
      <w:pPr>
        <w:ind w:left="2760"/>
        <w:spacing w:after="0"/>
        <w:rPr>
          <w:sz w:val="20"/>
          <w:szCs w:val="20"/>
          <w:color w:val="auto"/>
        </w:rPr>
      </w:pPr>
      <w:r>
        <w:rPr>
          <w:rFonts w:ascii="Courier New" w:cs="Courier New" w:eastAsia="Courier New" w:hAnsi="Courier New"/>
          <w:sz w:val="14"/>
          <w:szCs w:val="14"/>
          <w:color w:val="auto"/>
        </w:rPr>
        <w:t>Chapter Three - Certain Legal Information</w:t>
      </w:r>
    </w:p>
    <w:p>
      <w:pPr>
        <w:sectPr>
          <w:pgSz w:w="11900" w:h="16838" w:orient="portrait"/>
          <w:cols w:equalWidth="0" w:num="1">
            <w:col w:w="10000"/>
          </w:cols>
          <w:pgMar w:left="660" w:top="616" w:right="1239"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4320" w:type="dxa"/>
            <w:vAlign w:val="bottom"/>
          </w:tcPr>
          <w:p>
            <w:pPr>
              <w:ind w:left="96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 Business</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outstanding shares of voting stock, voting</w:t>
            </w:r>
          </w:p>
        </w:tc>
      </w:tr>
      <w:tr>
        <w:trPr>
          <w:trHeight w:val="166"/>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Combinations</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together as a single class, unless either (i) a</w:t>
            </w:r>
          </w:p>
        </w:tc>
      </w:tr>
      <w:tr>
        <w:trPr>
          <w:trHeight w:val="166"/>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(continued):</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majority of disinterested directors, as defined</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 Mobil's charter, have expressly approved</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Business Combination or (ii) certain fair</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price criteria and disclosure obligations are</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satisfied.</w:t>
            </w:r>
          </w:p>
        </w:tc>
      </w:tr>
      <w:tr>
        <w:trPr>
          <w:trHeight w:val="331"/>
        </w:trPr>
        <w:tc>
          <w:tcPr>
            <w:tcW w:w="1540" w:type="dxa"/>
            <w:vAlign w:val="bottom"/>
          </w:tcPr>
          <w:p>
            <w:pPr>
              <w:spacing w:after="0"/>
              <w:rPr>
                <w:sz w:val="24"/>
                <w:szCs w:val="2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"Business Combination" is defined in</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Mobil's charter, and generally includes a</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merger, significant asset sales, significant</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stock issuances, and certain other significant</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transactions.  "Interested shareholder" is also</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defined in the Mobil charter and generally</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means a 5% shareholder of Mobil.</w:t>
            </w:r>
          </w:p>
        </w:tc>
      </w:tr>
      <w:tr>
        <w:trPr>
          <w:trHeight w:val="331"/>
        </w:trPr>
        <w:tc>
          <w:tcPr>
            <w:tcW w:w="1540" w:type="dxa"/>
            <w:vAlign w:val="bottom"/>
          </w:tcPr>
          <w:p>
            <w:pPr>
              <w:spacing w:after="0"/>
              <w:rPr>
                <w:sz w:val="24"/>
                <w:szCs w:val="2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Mobil Board has taken the necessary</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action to make the foregoing provisions of the</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Mobil charter inapplicable to the merger and</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related transactions (including the option).</w:t>
            </w:r>
          </w:p>
        </w:tc>
      </w:tr>
      <w:tr>
        <w:trPr>
          <w:trHeight w:val="331"/>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Annual Meeting</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Delaware law requires that the written notice</w:t>
            </w:r>
          </w:p>
        </w:tc>
      </w:tr>
      <w:tr>
        <w:trPr>
          <w:trHeight w:val="166"/>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Proposals:</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of an annual meeting of shareholders specify</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place, date and hour of the meeting.</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Notices of special meetings must also state</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purpose or purposes of the meeting.</w:t>
            </w:r>
          </w:p>
        </w:tc>
      </w:tr>
      <w:tr>
        <w:trPr>
          <w:trHeight w:val="663"/>
        </w:trPr>
        <w:tc>
          <w:tcPr>
            <w:tcW w:w="1540" w:type="dxa"/>
            <w:vAlign w:val="bottom"/>
          </w:tcPr>
          <w:p>
            <w:pPr>
              <w:spacing w:after="0"/>
              <w:rPr>
                <w:sz w:val="24"/>
                <w:szCs w:val="24"/>
                <w:color w:val="auto"/>
              </w:rPr>
            </w:pPr>
          </w:p>
        </w:tc>
        <w:tc>
          <w:tcPr>
            <w:tcW w:w="4320" w:type="dxa"/>
            <w:vAlign w:val="bottom"/>
          </w:tcPr>
          <w:p>
            <w:pPr>
              <w:ind w:left="1040"/>
              <w:spacing w:after="0"/>
              <w:rPr>
                <w:sz w:val="20"/>
                <w:szCs w:val="20"/>
                <w:color w:val="auto"/>
              </w:rPr>
            </w:pPr>
            <w:r>
              <w:rPr>
                <w:rFonts w:ascii="Courier New" w:cs="Courier New" w:eastAsia="Courier New" w:hAnsi="Courier New"/>
                <w:sz w:val="14"/>
                <w:szCs w:val="14"/>
                <w:color w:val="auto"/>
              </w:rPr>
              <w:t>III-7</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left="420" w:right="100"/>
        <w:spacing w:after="0" w:line="252" w:lineRule="auto"/>
        <w:rPr>
          <w:sz w:val="20"/>
          <w:szCs w:val="20"/>
          <w:color w:val="auto"/>
        </w:rPr>
      </w:pPr>
      <w:r>
        <w:rPr>
          <w:rFonts w:ascii="Courier New" w:cs="Courier New" w:eastAsia="Courier New" w:hAnsi="Courier New"/>
          <w:sz w:val="14"/>
          <w:szCs w:val="14"/>
          <w:color w:val="auto"/>
        </w:rPr>
        <w:t>shareholders receive at least the highest price per share paid by such interested shareholder.</w:t>
      </w:r>
    </w:p>
    <w:p>
      <w:pPr>
        <w:spacing w:after="0" w:line="163"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4"/>
          <w:szCs w:val="14"/>
          <w:color w:val="auto"/>
        </w:rPr>
        <w:t>A New Jersey corporation may not opt out of the foregoing provisions.</w:t>
      </w:r>
    </w:p>
    <w:p>
      <w:pPr>
        <w:spacing w:after="0" w:line="160" w:lineRule="exact"/>
        <w:rPr>
          <w:sz w:val="20"/>
          <w:szCs w:val="20"/>
          <w:color w:val="auto"/>
        </w:rPr>
      </w:pPr>
    </w:p>
    <w:p>
      <w:pPr>
        <w:jc w:val="both"/>
        <w:ind w:right="260"/>
        <w:spacing w:after="0" w:line="252" w:lineRule="auto"/>
        <w:rPr>
          <w:sz w:val="20"/>
          <w:szCs w:val="20"/>
          <w:color w:val="auto"/>
        </w:rPr>
      </w:pPr>
      <w:r>
        <w:rPr>
          <w:rFonts w:ascii="Courier New" w:cs="Courier New" w:eastAsia="Courier New" w:hAnsi="Courier New"/>
          <w:sz w:val="14"/>
          <w:szCs w:val="14"/>
          <w:color w:val="auto"/>
        </w:rPr>
        <w:t>There is no super-majority voting, fair price or similar provision in the Exxon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New Jersey law requires that the written notice of any shareholder meeting specify the time, place and purpose or purposes of the meeting. Therefore, business conducted at shareholder meetings is limited to the business specified in the meeting notice.</w:t>
      </w:r>
    </w:p>
    <w:p>
      <w:pPr>
        <w:sectPr>
          <w:pgSz w:w="11900" w:h="16838" w:orient="portrait"/>
          <w:cols w:equalWidth="0" w:num="2">
            <w:col w:w="5860" w:space="520"/>
            <w:col w:w="3620"/>
          </w:cols>
          <w:pgMar w:left="660" w:top="616" w:right="1239" w:bottom="1440" w:gutter="0" w:footer="0" w:header="0"/>
          <w:type w:val="continuous"/>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DESCRIPTION OF EXXON CAPITAL STOCK</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following summary of the current terms of the capital stock of Exxon and the terms of the capital stock of Exxon Mobil to be in effect after completion of the merger is not meant to be complete and is qualified by reference to the Exxon charter and Exxon by-laws. Copies of the Exxon charter and Exxon by-laws are incorporated by reference and will be sent to holders of shares of Exxon common stock, Exxon Class A preferred stock, Mobil common stock and Mobil ESOP preferred stock upon request. See "Where You Can Find More Information" on page VI-1.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Capital Stock</w:t>
      </w:r>
    </w:p>
    <w:p>
      <w:pPr>
        <w:spacing w:after="0" w:line="17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Prior to Completion of the Merger. Under the Exxon charter, Exxon's authorized capital stock consists of three billion shares of Exxon common stock, without par value, and 200 million shares of preferred stock, without par value, of which 16.5 million shares are designated as Exxon Class A preferred stock and 100 million are designated as Exxon Class B preferred stock, each without par value.</w:t>
      </w:r>
    </w:p>
    <w:p>
      <w:pPr>
        <w:spacing w:after="0" w:line="164"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Following Completion of the Merger. If the merger is completed, the Exxon Mobil charter will be amended to increase the authorized number of shares of Exxon Mobil common stock to 4.5 billion and to eliminate the Exxon Class B preferred stock, none of which is outstanding. See "Amendment of Exxon Charter" beginning on page III-10. In connection with the merger, the Exxon Board has agreed to create the Exxon Mobil ESOP preferred stock. The Exxon Mobil ESOP preferred stock will have, to the extent possible, terms that are identical to those of the Mobil ESOP preferred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Common Stock</w:t>
      </w:r>
    </w:p>
    <w:p>
      <w:pPr>
        <w:spacing w:after="0" w:line="17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Exxon Common Stock Outstanding. The outstanding shares of Exxon common stock are, and the shares of Exxon Mobil common stock issued pursuant to the merger will be, duly authorized, validly issued, fully paid and nonassessable.</w:t>
      </w:r>
    </w:p>
    <w:p>
      <w:pPr>
        <w:spacing w:after="0" w:line="162" w:lineRule="exact"/>
        <w:rPr>
          <w:sz w:val="20"/>
          <w:szCs w:val="20"/>
          <w:color w:val="auto"/>
        </w:rPr>
      </w:pPr>
    </w:p>
    <w:p>
      <w:pPr>
        <w:ind w:right="3679" w:firstLine="1292"/>
        <w:spacing w:after="0" w:line="252" w:lineRule="auto"/>
        <w:rPr>
          <w:sz w:val="20"/>
          <w:szCs w:val="20"/>
          <w:color w:val="auto"/>
        </w:rPr>
      </w:pPr>
      <w:r>
        <w:rPr>
          <w:rFonts w:ascii="Courier New" w:cs="Courier New" w:eastAsia="Courier New" w:hAnsi="Courier New"/>
          <w:sz w:val="14"/>
          <w:szCs w:val="14"/>
          <w:color w:val="auto"/>
        </w:rPr>
        <w:t>Voting Rights. Each holder of Exxon common stock is entitled to one vote for each share of Exxon common stock held of record on the applicable record date on all matters submitted to a vote of shareholders. See page II-2 for additional information on Exxon voting rights.</w:t>
      </w:r>
    </w:p>
    <w:p>
      <w:pPr>
        <w:spacing w:after="0" w:line="162"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Dividend Rights; Rights upon Liquidation. The holders of Exxon common stock are entitled to receive, from funds legally available for the payment thereof, dividends when and as declared by resolution of the Exxon Board, subject to any preferential dividend rights granted to the holders of any outstanding Exxon preferred stock. In the event of liquidation, each share of Exxon common stock is entitled to share pro rata in any distribution of Exxon's assets after payment or providing for the payment of liabilities and the liquidation preference of any outstanding Exxon preferred stock.</w:t>
      </w:r>
    </w:p>
    <w:p>
      <w:pPr>
        <w:spacing w:after="0" w:line="164"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Preemptive Rights. Holders of Exxon common stock have no preemptive rights to purchase, subscribe for or otherwise acquire any unissued or treasury shares or other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Preferred Stock</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Exxon Preferred Stock Outstanding. As of March 1, 1999, (1) 1,593,644 shares of Exxon Class A preferred stock were issued and outstanding and (2) no other shares of preferred stock were issued or outstanding.</w:t>
      </w:r>
    </w:p>
    <w:p>
      <w:pPr>
        <w:spacing w:after="0" w:line="163" w:lineRule="exact"/>
        <w:rPr>
          <w:sz w:val="20"/>
          <w:szCs w:val="20"/>
          <w:color w:val="auto"/>
        </w:rPr>
      </w:pPr>
    </w:p>
    <w:p>
      <w:pPr>
        <w:ind w:right="3519" w:firstLine="1292"/>
        <w:spacing w:after="0" w:line="255" w:lineRule="auto"/>
        <w:rPr>
          <w:sz w:val="20"/>
          <w:szCs w:val="20"/>
          <w:color w:val="auto"/>
        </w:rPr>
      </w:pPr>
      <w:r>
        <w:rPr>
          <w:rFonts w:ascii="Courier New" w:cs="Courier New" w:eastAsia="Courier New" w:hAnsi="Courier New"/>
          <w:sz w:val="14"/>
          <w:szCs w:val="14"/>
          <w:color w:val="auto"/>
        </w:rPr>
        <w:t>As of March 1, 1999, approximately 163,383 shares of Mobil ESOP preferred stock were issued and outstanding.</w:t>
      </w:r>
    </w:p>
    <w:p>
      <w:pPr>
        <w:spacing w:after="0" w:line="160"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Blank Check Preferred Stock. Under the Exxon charter, the Exxon Board has the authority, without shareholder approval, to create one or more classes or series within a class of preferred stock, to issue shares of</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III-8</w:t>
      </w:r>
    </w:p>
    <w:p>
      <w:pPr>
        <w:sectPr>
          <w:pgSz w:w="11900" w:h="16838" w:orient="portrait"/>
          <w:cols w:equalWidth="0" w:num="1">
            <w:col w:w="10239"/>
          </w:cols>
          <w:pgMar w:left="220" w:top="616" w:right="1440" w:bottom="1440" w:gutter="0" w:footer="0" w:header="0"/>
        </w:sectPr>
      </w:pPr>
    </w:p>
    <w:bookmarkStart w:id="86" w:name="page87"/>
    <w:bookmarkEnd w:id="86"/>
    <w:p>
      <w:pPr>
        <w:ind w:left="3200"/>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the Exxon Board could create and issue a class or series of preferred stock with rights, privileges or restrictions, and adopt a shareholder rights plan, having the effect of discriminating against an existing or prospective holder of securities as a result of such shareholder beneficially owning or commencing a tender offer for a substantial amount of Exxon common stock. One of the effects of authorized but unissued and unreserved shares of capital stock may be to render more difficult or discourage an attempt by a potential acquiror to obtain control of Exxon by means of a merger, tender offer, proxy contest or otherwise, and thereby protect the continuity of Exxon's management. The issuance of such shares of capital stock may have the effect of delaying, deferring or preventing a change in control of Exxon without any further action by the shareholders of Exxon. Exxon has no present intention to adopt a shareholder rights plan, but could do so without shareholder approval at any future time.</w:t>
      </w:r>
    </w:p>
    <w:p>
      <w:pPr>
        <w:spacing w:after="0" w:line="340"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Voting Rights of Exxon Class A Preferred Stock and Exxon Mobil ESOP Preferred Stock. Each holder of Exxon Class A preferred stock is entitled to vote on all matters submitted to a vote of Exxon common stock, voting together with the Exxon common stock as a single class. Each share of Exxon Class A preferred stock is entitled to the number of votes equal to the number of shares of Exxon common stock into which such share of Exxon Class A preferred stock could be converted on the record date for the applicable meeting, subject to adjustment in the case of certain dilutive events.</w:t>
      </w:r>
    </w:p>
    <w:p>
      <w:pPr>
        <w:spacing w:after="0" w:line="164"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Upon completion of the merger, holders of Exxon Mobil ESOP preferred stock will be entitled to vote on all matters submitted to a vote of holders of Exxon Mobil common stock, voting together with the Exxon Mobil common stock and the Exxon Class A preferred stock, as a single class. Each share of Exxon Mobil ESOP preferred stock will be entitled to the number of votes equal to the number of shares of Exxon Mobil common stock into which such share of Exxon Mobil ESOP preferred stock could be converted on the record date for the applicable meeting, subject to adjustment in the case of certain dilutive events.</w:t>
      </w:r>
    </w:p>
    <w:p>
      <w:pPr>
        <w:spacing w:after="0" w:line="164"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Dividend Rights and Rights Upon Liquidation of Exxon Class A Preferred Stock and Exxon Mobil ESOP Preferred Stock. The holders of Exxon Class A preferred stock are entitled to receive, from funds legally available for the payment thereof, dividends when and as declared by resolution of the Exxon Board at a per share rate of $4.68 per annum, subject to adjustment in the case of certain dilutive events. In the event of liquidation or dissolution, after payment or providing for the payment of liabilities and the liquidation preference of any class of stock ranking senior to the Exxon Class A preferred stock, each share of Exxon Class A preferred stock will be entitled to receive $61.50 per share of Exxon Class A preferred stock, subject to adjustment, plus accrued and unpaid dividends.</w:t>
      </w:r>
    </w:p>
    <w:p>
      <w:pPr>
        <w:spacing w:after="0" w:line="16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Upon completion of the merger, holders of Exxon Mobil ESOP preferred stock will be entitled to dividends and liquidation preference on terms that, to the extent possible, are identical to the terms of the Mobil ESOP preferred stock. Holders of Mobil ESOP preferred stock are entitled to receive, from funds legally available for the payment thereof, dividends when and as declared by resolution of the Mobil Board at a per share rate of $300 per annum, subject to adjustment in the case of certain dilutive events. In the event of liquidation or dissolution, after payment or providing for the payment of liabilities and the liquidation preference of any class of stock ranking senior to the Mobil ESOP preferred stock, each share of Mobil ESOP preferred stock is entitled to receive $3,887.50 per share of Mobil ESOP preferred stock, subject to adjustment, plus accrued and unpaid dividends.</w:t>
      </w:r>
    </w:p>
    <w:p>
      <w:pPr>
        <w:spacing w:after="0" w:line="16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Redemption Rights. Shares of Exxon Class A preferred stock are redeemable at the option of Exxon at any time for $61.50 plus accrued and unpaid dividends. Shares of Exxon Mobil ESOP preferred stock will be redeemable at the option of Exxon Mobil at any time after November 22, 1999 at the liquidation price plus accrued and unpaid dividends. These shares are redeemable before November 22, 1999 for 100.775% of the liquidation price plus accrued and unpaid dividends.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III-9</w:t>
      </w:r>
    </w:p>
    <w:p>
      <w:pPr>
        <w:sectPr>
          <w:pgSz w:w="11900" w:h="16838" w:orient="portrait"/>
          <w:cols w:equalWidth="0" w:num="1">
            <w:col w:w="10239"/>
          </w:cols>
          <w:pgMar w:left="220" w:top="616"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Preemptive Rights. Holders of Exxon Class A preferred stock have no preemptive rights to purchase, subscribe for or otherwise acquire any unissued or treasury shares or other securities.</w:t>
      </w:r>
    </w:p>
    <w:p>
      <w:pPr>
        <w:spacing w:after="0" w:line="16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Upon completion of the merger, the holders of Exxon Mobil ESOP preferred stock will have no preemptive rights to purchase, subscribe for or otherwise acquire any unissued or treasury shares or other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Exxon Charter (Item 2 on Exxon's proxy card)</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At the Exxon meeting, holders of Exxon stock will be asked to approve the amendment of Exxon's Restated Certificate of Incorporation. The amendment will increase the number of authorized shares of Exxon common stock to 4.5 billion, change Exxon's name to "Exxon Mobil Corporation" and eliminate Exxon's Class B preferred stock, none of which is outstanding. Approval by Exxon shareholders of the merger, including the related issuance of Exxon Mobil common stock, as described under "The Merger Transaction--General" on page I-14, is a condition to effecting the Exxon charter amendment, and approval of the Exxon charter amendment is a condition to completing the merger.</w:t>
      </w:r>
    </w:p>
    <w:p>
      <w:pPr>
        <w:spacing w:after="0" w:line="329"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Increase of Authorized Common Stock. Exxon's charter currently authorizes three billion shares of common stock and 200 million shares of preferred stock. On March 1, 1999, 2,427,925,038 shares of Exxon common stock were issued and outstanding, not counting shares held in Exxon's treasury.</w:t>
      </w:r>
    </w:p>
    <w:p>
      <w:pPr>
        <w:spacing w:after="0" w:line="162" w:lineRule="exact"/>
        <w:rPr>
          <w:sz w:val="20"/>
          <w:szCs w:val="20"/>
          <w:color w:val="auto"/>
        </w:rPr>
      </w:pPr>
    </w:p>
    <w:p>
      <w:pPr>
        <w:jc w:val="both"/>
        <w:ind w:right="3679" w:firstLine="1292"/>
        <w:spacing w:after="0" w:line="251" w:lineRule="auto"/>
        <w:rPr>
          <w:sz w:val="20"/>
          <w:szCs w:val="20"/>
          <w:color w:val="auto"/>
        </w:rPr>
      </w:pPr>
      <w:r>
        <w:rPr>
          <w:rFonts w:ascii="Courier New" w:cs="Courier New" w:eastAsia="Courier New" w:hAnsi="Courier New"/>
          <w:sz w:val="14"/>
          <w:szCs w:val="14"/>
          <w:color w:val="auto"/>
        </w:rPr>
        <w:t>To complete the merger, Exxon expects that approximately 1.03 billion Exxon Mobil shares will be required to be issued to holders of Mobil common stock and that approximately 67.5 million Exxon Mobil shares will be required to be reserved for issuance under Mobil employee stock options and other stock-based awards and for similar purposes.</w:t>
      </w:r>
    </w:p>
    <w:p>
      <w:pPr>
        <w:spacing w:after="0" w:line="165"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As these numbers show, the three billion shares of common stock currently authorized under Exxon's charter will not be sufficient to complete the merger. We therefore ask Exxon shareholders to approve the amendment, which will change Article FOURTH of Exxon's charter to increase the number of authorized shares of Exxon common stock from 3 billion to 4.5 billion.</w:t>
      </w:r>
    </w:p>
    <w:p>
      <w:pPr>
        <w:spacing w:after="0" w:line="165"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increased number of authorized shares will give Exxon sufficient shares to complete the merger. At present, Exxon has no plans to issue shares for any other purpose. However, we believe it is desirable to have additional shares available for other corporate purposes that might arise in the future. For example, although Exxon currently meets its obligations to deliver shares under employee stock options and similar arrangements with treasury shares (meaning previously issued shares that have been reacquired by Exxon), it may become desirable in the future to use newly issued shares for this purpose. Shares could also be used for acquisitions or to raise capital. Under some circumstances, it is also possible for a company to use unissued shares for antitakeover purposes, but Exxon has no present intention to take any such action.</w:t>
      </w:r>
    </w:p>
    <w:p>
      <w:pPr>
        <w:spacing w:after="0" w:line="16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Whether or not any future issuance of shares unrelated to the merger would be submitted for shareholder vote depends upon the nature of the issuance, legal and stock exchange requirements, and the judgment of Exxon's Board at the time.</w:t>
      </w:r>
    </w:p>
    <w:p>
      <w:pPr>
        <w:spacing w:after="0" w:line="162"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Name change. The merger agreement provides that, when the merger takes effect, Exxon's name will be changed from "Exxon Corporation" to "Exxon Mobil Corporation". The proposed amendment implements this change to Article FIRST of Exxon's charter.</w:t>
      </w:r>
    </w:p>
    <w:p>
      <w:pPr>
        <w:spacing w:after="0" w:line="162" w:lineRule="exact"/>
        <w:rPr>
          <w:sz w:val="20"/>
          <w:szCs w:val="20"/>
          <w:color w:val="auto"/>
        </w:rPr>
      </w:pPr>
    </w:p>
    <w:p>
      <w:pPr>
        <w:ind w:right="3679" w:firstLine="1292"/>
        <w:spacing w:after="0" w:line="251" w:lineRule="auto"/>
        <w:rPr>
          <w:sz w:val="20"/>
          <w:szCs w:val="20"/>
          <w:color w:val="auto"/>
        </w:rPr>
      </w:pPr>
      <w:r>
        <w:rPr>
          <w:rFonts w:ascii="Courier New" w:cs="Courier New" w:eastAsia="Courier New" w:hAnsi="Courier New"/>
          <w:sz w:val="14"/>
          <w:szCs w:val="14"/>
          <w:color w:val="auto"/>
        </w:rPr>
        <w:t>Elimination of Class B Preferred Stock. Exxon's charter currently authorizes the issuance of 100 million shares of Class B preferred stock. This class of stock was created in connection with Exxon's ESOP but has never been issued and is no longer useful. The proposed amendment of Exxon's charter will eliminate the Class B preferred stock.</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III-10</w:t>
      </w:r>
    </w:p>
    <w:p>
      <w:pPr>
        <w:sectPr>
          <w:pgSz w:w="11900" w:h="16838" w:orient="portrait"/>
          <w:cols w:equalWidth="0" w:num="1">
            <w:col w:w="10239"/>
          </w:cols>
          <w:pgMar w:left="220" w:top="616" w:right="1440" w:bottom="1440" w:gutter="0" w:footer="0" w:header="0"/>
        </w:sectPr>
      </w:pPr>
    </w:p>
    <w:bookmarkStart w:id="88" w:name="page89"/>
    <w:bookmarkEnd w:id="88"/>
    <w:p>
      <w:pPr>
        <w:jc w:val="center"/>
        <w:ind w:right="319"/>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right="3779" w:firstLine="1292"/>
        <w:spacing w:after="0" w:line="255" w:lineRule="auto"/>
        <w:rPr>
          <w:sz w:val="20"/>
          <w:szCs w:val="20"/>
          <w:color w:val="auto"/>
        </w:rPr>
      </w:pPr>
      <w:r>
        <w:rPr>
          <w:rFonts w:ascii="Courier New" w:cs="Courier New" w:eastAsia="Courier New" w:hAnsi="Courier New"/>
          <w:sz w:val="14"/>
          <w:szCs w:val="14"/>
          <w:color w:val="auto"/>
        </w:rPr>
        <w:t>BankBoston, N.A. is the transfer agent and registrar for the Exxon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 Delisting and Deregistration of Mobil Common Stock</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It is a condition to the merger that the shares of Exxon Mobil common stock issuable in the merger be approved for listing on the NYSE at or prior to the closing, subject to official notice of issuance. If the merger is completed, Mobil common stock will cease to be listed. The Exxon Mobil ESOP preferred stock will not be listed on any stock exchange.</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validity of the Exxon Mobil common stock to be issued to Mobil shareholders pursuant to the merger will be passed upon by Charles W. Matthews, Jr., General Counsel of Exxon. It is a condition to the completion of the merger that Exxon and Mobil receive opinions from Davis Polk &amp; Wardwell and Skadden, Arps, Slate, Meagher &amp; Flom LLP, respectively, with respect to the tax treatment of the merger. See "The Merger Agreement--Conditions to the Merger" and "The Merger--Material Federal Income Tax Consequences of the Merger."</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The consolidated financial statements of Exxon incorporated in this joint proxy statement/prospectus by reference to the Form 10-K for Exxon for the year ended December 31, 1998 have been so incorporated in reliance on the report of PricewaterhouseCoopers LLP, independent accountants, given on the authority of said firm as experts in auditing and accounting.</w:t>
      </w:r>
    </w:p>
    <w:p>
      <w:pPr>
        <w:spacing w:after="0" w:line="165"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Ernst &amp; Young LLP, independent auditors, have audited Mobil's consolidated financial statements included in Mobil's Annual Report on Form 10-K for the year ended December 31, 1998 as set forth in their report, which is incorporated in this joint proxy statement/prospectus by reference. Mobil's consolidated financial statements are incorporated by reference in reliance on their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III-11</w:t>
      </w:r>
    </w:p>
    <w:p>
      <w:pPr>
        <w:sectPr>
          <w:pgSz w:w="11900" w:h="16838" w:orient="portrait"/>
          <w:cols w:equalWidth="0" w:num="1">
            <w:col w:w="10239"/>
          </w:cols>
          <w:pgMar w:left="220" w:top="616" w:right="1440" w:bottom="1440" w:gutter="0" w:footer="0" w:header="0"/>
        </w:sectPr>
      </w:pPr>
    </w:p>
    <w:bookmarkStart w:id="89" w:name="page90"/>
    <w:bookmarkEnd w:id="89"/>
    <w:p>
      <w:pPr>
        <w:jc w:val="center"/>
        <w:ind w:right="3859"/>
        <w:spacing w:after="0"/>
        <w:rPr>
          <w:sz w:val="20"/>
          <w:szCs w:val="20"/>
          <w:color w:val="auto"/>
        </w:rPr>
      </w:pPr>
      <w:r>
        <w:rPr>
          <w:rFonts w:ascii="Courier New" w:cs="Courier New" w:eastAsia="Courier New" w:hAnsi="Courier New"/>
          <w:sz w:val="14"/>
          <w:szCs w:val="14"/>
          <w:color w:val="auto"/>
        </w:rPr>
        <w:t>CHAPTER FOUR</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OTHER EXXON ANNUAL MEETING PROPOSALS</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BOARD OF DIRECTORS PROPOSAL: ELECTION OF DIRECTORS (Item 3 on Exxon's Proxy Card)</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Exxon Board has nominated the director candidates named below. Personal information on each of our nominees is given below. All of our nominees currently serve as Exxon directors. Each current director was elected by shareholders at the last annual meeting except for Mr. Esrey, who was elected by the Board in July 1998.</w:t>
      </w:r>
    </w:p>
    <w:p>
      <w:pPr>
        <w:spacing w:after="0" w:line="165"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Board of Directors performs a number of services for Exxon and its shareholders including:</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 overseeing the management of the company on your behalf,</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 reviewing Exxon's long-term strategic plans,</w:t>
      </w:r>
    </w:p>
    <w:p>
      <w:pPr>
        <w:spacing w:after="0" w:line="7" w:lineRule="exact"/>
        <w:rPr>
          <w:sz w:val="20"/>
          <w:szCs w:val="20"/>
          <w:color w:val="auto"/>
        </w:rPr>
      </w:pPr>
    </w:p>
    <w:p>
      <w:pPr>
        <w:ind w:left="780" w:right="3859" w:hanging="159"/>
        <w:spacing w:after="0" w:line="250" w:lineRule="auto"/>
        <w:tabs>
          <w:tab w:leader="none" w:pos="760" w:val="left"/>
        </w:tabs>
        <w:rPr>
          <w:sz w:val="20"/>
          <w:szCs w:val="20"/>
          <w:color w:val="auto"/>
        </w:rPr>
      </w:pPr>
      <w:r>
        <w:rPr>
          <w:rFonts w:ascii="Courier New" w:cs="Courier New" w:eastAsia="Courier New" w:hAnsi="Courier New"/>
          <w:sz w:val="14"/>
          <w:szCs w:val="14"/>
          <w:color w:val="auto"/>
        </w:rPr>
        <w:t>o</w:t>
        <w:tab/>
        <w:t>exercising direct decision-making authority in key areas, such as declaring dividends,</w:t>
      </w:r>
    </w:p>
    <w:p>
      <w:pPr>
        <w:spacing w:after="0" w:line="1" w:lineRule="exact"/>
        <w:rPr>
          <w:sz w:val="20"/>
          <w:szCs w:val="20"/>
          <w:color w:val="auto"/>
        </w:rPr>
      </w:pPr>
    </w:p>
    <w:p>
      <w:pPr>
        <w:ind w:left="780" w:right="3779" w:hanging="159"/>
        <w:spacing w:after="0" w:line="250" w:lineRule="auto"/>
        <w:tabs>
          <w:tab w:leader="none" w:pos="760" w:val="left"/>
        </w:tabs>
        <w:rPr>
          <w:sz w:val="20"/>
          <w:szCs w:val="20"/>
          <w:color w:val="auto"/>
        </w:rPr>
      </w:pPr>
      <w:r>
        <w:rPr>
          <w:rFonts w:ascii="Courier New" w:cs="Courier New" w:eastAsia="Courier New" w:hAnsi="Courier New"/>
          <w:sz w:val="14"/>
          <w:szCs w:val="14"/>
          <w:color w:val="auto"/>
        </w:rPr>
        <w:t>o</w:t>
        <w:tab/>
        <w:t>choosing the CEO, setting the scope of his authority to manage the company's business day to day and evaluating his performance, and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 reviewing development and succession plans for Exxon's top executives.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Most Exxon directors -- including nine of our 13 nominees -- are not Exxon employees. Only nonemployee directors serve on Exxon's Audit, Board Compensation, and Board Affairs committees. All Exxon directors are elected for one-year terms. Nonemployee directors may not stand for election after age 70. Employee directors usually leave the Board when they retire from Exxon.</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Board was saddened by the death on July 8, 1998 of Mr. D. Wayne Calloway, who served as a director since 1988. His wise counsel will be missed.</w:t>
      </w:r>
    </w:p>
    <w:p>
      <w:pPr>
        <w:spacing w:after="0" w:line="160"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The Board met 10 times during 1998. All of Exxon's current directors attended 100% of Board and committee meetings during the period they were directors.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If a director nominee becomes unavailable before the election, your proxy authorizes us to vote for a replacement nominee if the Board names one.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recommends you vote FOR each of the following candidates: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Biographies of our Board Nominees</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Boskin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Boskin]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 M. Friedman Professor of Economics,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Fellow, Hoover Institution, Stanford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Holds bachelor's, master's,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Ph.D. degrees in economics. Joined Stanford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in 1970. Adjunct Scholar,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Institute; Research Associate,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Bureau of Economic Research.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AirTouch Communications, Inc.; First Health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Corporation; Oracle Corporation.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Congressional Advisory Commission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Price Index 1995-96; Council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Advisors, 1989-93. Member, Advisory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of the Joint Committee on Taxation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Congress; Panel of Advisors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Congressional Budget Office. Dr. Boskin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recipient of numerous professional awards.</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w:t>
      </w:r>
    </w:p>
    <w:p>
      <w:pPr>
        <w:sectPr>
          <w:pgSz w:w="11900" w:h="16838" w:orient="portrait"/>
          <w:cols w:equalWidth="0" w:num="1">
            <w:col w:w="10239"/>
          </w:cols>
          <w:pgMar w:left="220" w:top="450" w:right="1440" w:bottom="1440" w:gutter="0" w:footer="0" w:header="0"/>
          <w:type w:val="continuous"/>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 Dahan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 Dahan]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1998</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Holds a degree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nautical science. Principal responsibilities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Exxon's worldwide refining,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transportation activities; middle 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Exxon Chemical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Engineering Company; environment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safety; medicine and occupational health.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joining the Exxon organization in 1963,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Dahan has held a variety of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positions in domestic and foreign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our Benelux affiliate; President,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International. Elected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Exxon in 1995 and Director in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International Advisory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Instituto de Empresa; Board of Directors, Junior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Achievement International.</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Esrey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Esrey]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 Sprint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Holds bachelor's degree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economics and master of business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Joined Sprint Corporation, then known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Telecommunications, Inc., a domestic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long distance and local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telecommunications, product distribution,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directory publishing company, in 1980. Held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variety of management positions. Elected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in 1985 and chairman in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joining Sprint Corporation, Mr. Esrey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management positions with Dillon, Read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AT&amp;T, New York Telephone Company,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Empire City Subway Co., Ltd. Director, Duke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Corporation; Earthlink; Everen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General Mills, Inc. Member,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 The Business Roundtable;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Trilateral Commission.</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 Hay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Jess Hay]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Texas Foundation for Higher Education;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HCB Enterprises Inc, a private investment firm.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Holds bachelor of business administration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degrees. Prior to his retirement in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Mr. Hay served for 29 years as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The Lomas Financial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diversified financial services group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engaged principally in mortgage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banking and real estate lending. Practiced law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Dallas, Texas prior to joining Lomas in 1965.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The Viad Corporation; SBC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Inc.; Trinity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Board, Greater Dallas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Southwestern Medical Foundation;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League; Zale-Lipshy Hospital of Dallas;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War II Memorial Advisory Board; State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 Member, American, Dallas, and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Associations.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w:t>
      </w:r>
    </w:p>
    <w:p>
      <w:pPr>
        <w:sectPr>
          <w:pgSz w:w="11900" w:h="16838" w:orient="portrait"/>
          <w:cols w:equalWidth="0" w:num="1">
            <w:col w:w="10239"/>
          </w:cols>
          <w:pgMar w:left="220" w:top="616" w:right="1440" w:bottom="1440" w:gutter="0" w:footer="0" w:header="0"/>
          <w:type w:val="continuous"/>
        </w:sectPr>
      </w:pPr>
    </w:p>
    <w:bookmarkStart w:id="91" w:name="page92"/>
    <w:bookmarkEnd w:id="91"/>
    <w:p>
      <w:pPr>
        <w:ind w:left="2340"/>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Houghton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Houghton]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Emeritus, Corning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Holds bachelor of arts and master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business administration degrees. Joined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Corning Incorporated, a communications, advanced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and display products company, in 1962.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Elected Chairman of the Board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Corning Incorporated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1983. Retired in 1996. Director, Corning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J.P. Morgan &amp; Co.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Metropolitan Life Insurance Company.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Corning Museum of Glass; The Metropolitan Museum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Art; The Pierpont Morgan Library. Member,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 Council on Foreign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Harvard Corporation.</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R. Howell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R. Howell]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Emeritus, J.C. Penney Company,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Holds bachelor of business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Joined J.C. Penney Company, Inc.,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store and catalog chain, in 1958.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Elected Chairman of the Board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in 1983. Retired as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in 1997. Director, Bankers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Corporation and Bankers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and South West Corporation; Halliburton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Warner-Lambert Company; The Williams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Chairman, Board of Trustees, Southern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Methodist University.</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Reatha Clark 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Reatha Clark 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Executive Director, General Mills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Foundation; Vice President, General Mills,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manufacturer and marketer of consumer food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Holds bachelor of science degree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chemistry and mathematics, master of science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in chemistry, master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 degree in finance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Ph.D. degree in thermochemistry.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joining the General Mills Foundation in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King held a variety of scientific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positions, including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Chemist, National Bureau of Standards; Chemistry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Professor, Associate Dean for Division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Natural Science &amp; Mathematics, and Associate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Dean for Academic Affairs, York College, 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New York; President, Metropolitan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University. Director, H.B. Fuller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Minnesota Mutual Companies, Inc.; Wells Fargo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Company. Trustee, H.B. Fuller Foundation;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Chicago. Dr. King is the recipient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numerous awards, including 13 honorary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doctorate degrees.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IV-3</w:t>
      </w:r>
    </w:p>
    <w:p>
      <w:pPr>
        <w:sectPr>
          <w:pgSz w:w="11900" w:h="16838" w:orient="portrait"/>
          <w:cols w:equalWidth="0" w:num="1">
            <w:col w:w="10239"/>
          </w:cols>
          <w:pgMar w:left="220" w:top="616" w:right="1440" w:bottom="144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Lippincott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Lippincott]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Retired 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Paper Company. Holds bachelor of arts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and master of business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in food distribution. Joined Scott Paper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 company involved in sanitary paper,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printing and publishing papers, and forestry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in 1959. Held a variety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positions. Elected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in 1982 and Chairman in 1983. Retired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Director, Campbell Soup Company.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and Director, Fox Chase Cancer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 Trustee, The Penn Mutual Life 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Board of Overseers, The Huntsman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Competition and Innovation, The Wharton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School, University of Pennsylvania. Member,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J. Longwell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J. Longwell]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Holds bachelor's degree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petroleum engineering.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responsibilities include Exxon's oil, gas, coal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minerals exploration and 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venture operations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Independent States and China;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Coal and Minerals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Company; Exxon Production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human resources. Since joining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organization in 1963, Mr. Longwell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a variety of management positions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foreign operations, including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President-Production and President,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U.S.A.; Vice President, Esso Europe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Vice President-Exploration and 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President-Exploration, 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Gas, and Executive Vice President,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International. Elected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Director of Exxon in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U.S.-China Business Council; Louisiana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University Foundation; National 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or Minorities in Engineering; United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Dallas. Member, Board of Visitors, University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 M.D. Anderson Cancer Center; Advisory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Dallas Area Habitat for Humanity;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Petroleum Institute; Society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Petroleum Engineers.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Carlson Nelson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Carlson Nelson]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Chief Executive Officer, President and Chief Operating Officer, Carlson Companies, Inc.; Co-Chair, Carlson Wagonlit Travel. Holds bachelor's degree in international economics. Since joining Carlson Companies, Inc., a travel, hotel, restaurant and marketing services company, in 1989, Mrs. Nelson has held a number of management positions, including Director, Senior Vice President and Vice Chair, Carlson Holdings, Inc. Director, Carlson Companies, Inc.; U.S. West Inc. President-elect, Travel Industry of America. Member, Center for International Leadership; Committee of 200; International Advisory Council; United States National Tourism Organization; World Travel and Tourism Council. Mrs. Nelson is the recipient of numerous awards, including three honorary doctorate degrees.</w:t>
      </w:r>
    </w:p>
    <w:p>
      <w:pPr>
        <w:spacing w:after="0" w:line="338" w:lineRule="exact"/>
        <w:rPr>
          <w:sz w:val="20"/>
          <w:szCs w:val="20"/>
          <w:color w:val="auto"/>
        </w:rPr>
      </w:pPr>
    </w:p>
    <w:p>
      <w:pPr>
        <w:sectPr>
          <w:pgSz w:w="11900" w:h="16838" w:orient="portrait"/>
          <w:cols w:equalWidth="0" w:num="2">
            <w:col w:w="1980" w:space="70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IV-4</w:t>
      </w:r>
    </w:p>
    <w:p>
      <w:pPr>
        <w:sectPr>
          <w:pgSz w:w="11900" w:h="16838" w:orient="portrait"/>
          <w:cols w:equalWidth="0" w:num="1">
            <w:col w:w="10239"/>
          </w:cols>
          <w:pgMar w:left="220" w:top="616" w:right="1440" w:bottom="1440" w:gutter="0" w:footer="0" w:header="0"/>
          <w:type w:val="continuous"/>
        </w:sectPr>
      </w:pPr>
    </w:p>
    <w:bookmarkStart w:id="93" w:name="page94"/>
    <w:bookmarkEnd w:id="93"/>
    <w:p>
      <w:pPr>
        <w:ind w:left="2340"/>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Lee R. Raymond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Lee R. Raymond]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Holds bachelor's and Ph.D. degrees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engineering. Since joining the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in 1963, Mr. Raymond held a variety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management positions in domestic and foreign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including Exxon Company, U.S.A.;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Creole Petroleum Corporation;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Company; Exxon Enterprises; Esso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Inter-America Inc. Elected 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 of Exxon in 1984, President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1987, Chairman and Chief Executive Officer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and added title of President in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J.P. Morgan &amp; Co. Incorporated; Morgan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Guaranty Trust Company of New York;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Petroleum Institute; United Negro College Fund.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Southern Methodist University;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Wisconsin Alumni Research Foundation. Member,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 Council; The Business Roundtable;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on Foreign Relations; Emergency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for American Trade; National Petroleum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Singapore-U.S. Business Council;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Trilateral Commission; University of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Foundation.</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The Chase Manhattan Corporation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Manhattan Bank, a banking and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Holds bachelor of science degree.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Joined Chase Bank in 1956. Held a variety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positions. Director, Bell Atlantic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Champion International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Reserve Bank of New York; Lincoln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Performing Arts, Inc.; New York 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 and Chamber of Commerce; United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Tri-State; United Cerebral Palsy Research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Foundation, Inc.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Goodwill Industries of Greater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York, Inc. Member, The Bankers Roundtable;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 The Business Roundtable;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U.S.-Japan Business Council, Inc.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American Museum of Natural History.</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Wilhelm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Wilhelm]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Holds bachelor of science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master of business administration degrees.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responsibilities include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U.S.A.; Imperial Oil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financial control; corporate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planning; public affairs; treasurer's.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joining the Exxon organization in 1963,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Wilhelm has held a variety of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positions in domestic and foreign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Vice President-Petroleum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Esso Europe Inc.; President, Esso Inter-America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Executive Vice President, Exxon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Elected Senior Vice President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in 1990 and Director in 1992.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Council of the Americas.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Governors, Foreign Policy Association. Member,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Coal Industry Advisory Board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Energy Agency; Council on Foreign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 Massachusetts Institute of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Vice President, Circle 10 Council,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Boy Scouts of America. Trustee, Greenhill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School, Dallas, Texas.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39"/>
          </w:cols>
          <w:pgMar w:left="220" w:top="616" w:right="1440" w:bottom="1440" w:gutter="0" w:footer="0" w:header="0"/>
          <w:type w:val="continuous"/>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Exxon employees receive no extra pay for serving as directors. Nonemployee directors receive a base fee of $40,000 a year; $1,500 per Board and committee meeting attended; and reimbursement of meeting expenses. Except for the Executive Committee, nonemployee directors also receive $3,000 per committee membership and $5,000 per committee chairmanship. Nonemployee directors may elect to defer all or part of these fees. Deferred fees are payable after the director leaves the Board in one to five annual installments. We credit deferred fees with interest at Citibank's prime rate.</w:t>
      </w:r>
    </w:p>
    <w:p>
      <w:pPr>
        <w:spacing w:after="0" w:line="164" w:lineRule="exact"/>
        <w:rPr>
          <w:sz w:val="20"/>
          <w:szCs w:val="20"/>
          <w:color w:val="auto"/>
        </w:rPr>
      </w:pPr>
    </w:p>
    <w:p>
      <w:pPr>
        <w:ind w:left="260" w:right="3419" w:firstLine="258"/>
        <w:spacing w:after="0" w:line="251" w:lineRule="auto"/>
        <w:rPr>
          <w:sz w:val="20"/>
          <w:szCs w:val="20"/>
          <w:color w:val="auto"/>
        </w:rPr>
      </w:pPr>
      <w:r>
        <w:rPr>
          <w:rFonts w:ascii="Courier New" w:cs="Courier New" w:eastAsia="Courier New" w:hAnsi="Courier New"/>
          <w:sz w:val="14"/>
          <w:szCs w:val="14"/>
          <w:color w:val="auto"/>
        </w:rPr>
        <w:t>We also pay a portion of director compensation in stock. Each nonemployee director receives 4,000 shares of restricted stock when first elected to the Board and, if the director remains in office, an additional 600 restricted shares each following year. While on the Board, the nonemployee director receives the same cash dividends on restricted shares as a holder of regular common stock, but the director is not allowed to sell the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left="260" w:right="3939" w:firstLine="258"/>
        <w:spacing w:after="0" w:line="252" w:lineRule="auto"/>
        <w:rPr>
          <w:sz w:val="20"/>
          <w:szCs w:val="20"/>
          <w:color w:val="auto"/>
        </w:rPr>
      </w:pPr>
      <w:r>
        <w:rPr>
          <w:rFonts w:ascii="Courier New" w:cs="Courier New" w:eastAsia="Courier New" w:hAnsi="Courier New"/>
          <w:sz w:val="14"/>
          <w:szCs w:val="14"/>
          <w:color w:val="auto"/>
        </w:rPr>
        <w:t>The Board appoints committees to help carry out its duties. In particular, Board committees work on key issues in greater detail than would be possible at full Board meetings. Each committee reviews the results of its meetings with the full Board.</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Audit Committee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Houghton (Chairperson)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Esrey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Howell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Dr. King</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Mrs. Nelson</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Audit Committee met three times during 1998. The committee is responsible for accounting and internal control matters. Subject to shareholder approval, the committee chooses the independent public accountants to audit Exxon's financial statements. The committee consults with the independent accountants and reviews their audit and other work. The committee also consults with Exxon's Controller and General Auditor and reviews Exxon's internal controls and compliance with policies. In addition to its regular activities, the committee is available to meet on call of the independent accountants, Controller, or General Auditor whenever a special situation arises.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Board Advisory Committee on Contributions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Hay (Chairperson)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Esrey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Dr. King</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Lippincott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Mrs. Nelson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Wilhelm</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Board Advisory Committee on Contributions met two times during 1998. The committee reviews the level of Exxon's support for education and other public service programs, including the company's contributions to the Exxon Education Foundation. The Foundation works to improve the quality of education in America at all levels, with special emphasis on math and science.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IV-6</w:t>
      </w:r>
    </w:p>
    <w:p>
      <w:pPr>
        <w:sectPr>
          <w:pgSz w:w="11900" w:h="16838" w:orient="portrait"/>
          <w:cols w:equalWidth="0" w:num="1">
            <w:col w:w="10239"/>
          </w:cols>
          <w:pgMar w:left="220" w:top="616" w:right="1440" w:bottom="1440" w:gutter="0" w:footer="0" w:header="0"/>
        </w:sectPr>
      </w:pPr>
    </w:p>
    <w:bookmarkStart w:id="95" w:name="page96"/>
    <w:bookmarkEnd w:id="95"/>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Affairs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Mrs. Nelson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Hay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Howell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Lippincott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Shipley</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Board Affairs Committee met two times during 1998. The committee recommends director candidates; reviews nonemployee director compensation; and reviews other corporate governance practices. The committee will consider your suggestions for possible director candidates if you submit the name and biographical information in writing to Exxon's Secretary at the address under "The Companies" on page I-2. On request, the Secretary will also provide a description of the qualifications we look for in director candidates.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Compensation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Howell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Boskin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Hay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Shipley</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Board Compensation Committee, which we also call the BCC, met five times during 1998. The committee oversees compensation for Exxon's senior executives, including salary, bonus, and incentive awards. The committee also reviews succession plans for key executive positions. The committee's report on executive compensation starts on page IV-10.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Raymond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Boskin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Esrey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Houghton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Shipley</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Finance Committee met two times during 1998. The committee reviews Exxon's financial policies and strategies, including our capital structure, and authorizes corporate debt within limits set by the Board.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Issues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Lippincott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Boskin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Dahan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Houghton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King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Longwell</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Public Issues Committee met two times during 1998. The committee reviews Exxon's policies and practices on relevant public issues, including their effects on the environment, safety, and health. The committee hears reports from operating units on environmental and safety activities. The committee also visits operating sites to observe and comment on current practices, including spill and hazard prevention.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IV-7</w:t>
      </w:r>
    </w:p>
    <w:p>
      <w:pPr>
        <w:sectPr>
          <w:pgSz w:w="11900" w:h="16838" w:orient="portrait"/>
          <w:cols w:equalWidth="0" w:num="1">
            <w:col w:w="9979"/>
          </w:cols>
          <w:pgMar w:left="480" w:top="616"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Executive Committee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Raymond (Chairperson)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Hay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Howell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Lippincott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Mrs. Nelson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directors serve as alternate members on a rotational basis.</w:t>
      </w:r>
    </w:p>
    <w:p>
      <w:pPr>
        <w:spacing w:after="0" w:line="17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The Executive Committee did not meet during 1998. The committee has broad power to act on behalf of the Board. In practice, the committee only meets when it is impractical to call a meeting of the full Board.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IV-8</w:t>
      </w:r>
    </w:p>
    <w:p>
      <w:pPr>
        <w:sectPr>
          <w:pgSz w:w="11900" w:h="16838" w:orient="portrait"/>
          <w:cols w:equalWidth="0" w:num="1">
            <w:col w:w="10239"/>
          </w:cols>
          <w:pgMar w:left="220" w:top="616" w:right="1440" w:bottom="1440" w:gutter="0" w:footer="0" w:header="0"/>
        </w:sectPr>
      </w:pPr>
    </w:p>
    <w:bookmarkStart w:id="97" w:name="page98"/>
    <w:bookmarkEnd w:id="97"/>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Executive Officer Stock Ownership</w:t>
      </w:r>
    </w:p>
    <w:p>
      <w:pPr>
        <w:spacing w:after="0" w:line="17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These tables show how much Exxon common stock each executive named in the Summary Compensation Table on page IV-14 and each nonemployee director and nominee owned on March 1, 1999. None of these individuals owns more than 0.14 percent of the outstanding shares.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 Covered by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Named Executive Officer</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Shares Owned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Exercisable Options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Lee R. Raymond............</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459,747</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2,848,980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Rene Dahan................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98,311</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710,570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Harry J. Longwell.........</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163,230</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1,063,980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Robert E. Wilhelm.........</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198,878</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1,176,658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Ray B. Nesbitt............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113,105</w:t>
            </w:r>
          </w:p>
        </w:tc>
        <w:tc>
          <w:tcPr>
            <w:tcW w:w="7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435,344</w:t>
            </w: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hanging="341"/>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1,200 shares held as estate representative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44,014 shares owned jointly with spouse</w:t>
      </w:r>
    </w:p>
    <w:p>
      <w:pPr>
        <w:spacing w:after="0" w:line="7" w:lineRule="exact"/>
        <w:rPr>
          <w:rFonts w:ascii="Courier New" w:cs="Courier New" w:eastAsia="Courier New" w:hAnsi="Courier New"/>
          <w:sz w:val="14"/>
          <w:szCs w:val="14"/>
          <w:color w:val="auto"/>
        </w:rPr>
      </w:pPr>
    </w:p>
    <w:p>
      <w:pPr>
        <w:ind w:left="780" w:right="3779" w:hanging="341"/>
        <w:spacing w:after="0" w:line="250" w:lineRule="auto"/>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48 shares owned by spouse and 19,852 shares owned jointly with spouse</w:t>
      </w:r>
    </w:p>
    <w:p>
      <w:pPr>
        <w:ind w:left="780" w:right="3679" w:hanging="341"/>
        <w:spacing w:after="0" w:line="255" w:lineRule="auto"/>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3,070 shares owned jointly with spouse and 8,567 shares in trust for children.</w:t>
      </w:r>
    </w:p>
    <w:p>
      <w:pPr>
        <w:spacing w:after="0" w:line="32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Nonemployee Director/Nominee</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Owned*</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Michael J. Boskin..................................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c>
          <w:tcPr>
            <w:tcW w:w="30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 T. Esrey........................................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Jess Hay...........................................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21,600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James R. Houghton..................................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William R. Howell..................................</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Reatha Clark King..................................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5,573</w:t>
            </w:r>
          </w:p>
        </w:tc>
        <w:tc>
          <w:tcPr>
            <w:tcW w:w="30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Philip E. Lippincott...............................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10,600</w:t>
            </w:r>
          </w:p>
        </w:tc>
        <w:tc>
          <w:tcPr>
            <w:tcW w:w="30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Marilyn Carlson Nelson.............................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Walter V. Shipley..................................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c>
          <w:tcPr>
            <w:tcW w:w="300" w:type="dxa"/>
            <w:vAlign w:val="bottom"/>
          </w:tcPr>
          <w:p>
            <w:pPr>
              <w:spacing w:after="0"/>
              <w:rPr>
                <w:sz w:val="14"/>
                <w:szCs w:val="1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hanging="261"/>
        <w:spacing w:after="0"/>
        <w:tabs>
          <w:tab w:leader="none" w:pos="7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nonemployee directors are not granted Exxon stock options.</w:t>
      </w:r>
    </w:p>
    <w:p>
      <w:pPr>
        <w:spacing w:after="0" w:line="173" w:lineRule="exact"/>
        <w:rPr>
          <w:sz w:val="20"/>
          <w:szCs w:val="20"/>
          <w:color w:val="auto"/>
        </w:rPr>
      </w:pPr>
    </w:p>
    <w:p>
      <w:pPr>
        <w:ind w:left="780" w:hanging="341"/>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520 shares owned jointly with spouse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12,400 shares in a defined benefit plan</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1,200 shares owned by spouse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2,700 shares held as constructive trustee for former spouse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9,000 shares in trust</w:t>
      </w:r>
    </w:p>
    <w:p>
      <w:pPr>
        <w:spacing w:after="0" w:line="338"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On March 1, 1999, Exxon's directors and executive officers (23 people) together owned 1,775,415 shares of Exxon stock and 8,771,810 shares covered by exercisable options, representing about 0.43 percent of the outstanding shares.</w:t>
      </w:r>
    </w:p>
    <w:p>
      <w:pPr>
        <w:spacing w:after="0" w:line="162"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The trustee of Exxon's Thrift Plan holds and votes all the outstanding shares of Exxon's Class A preferred stock. See page II-2 for more details. The trustee is a committee of five Exxon executives, none of whom is a director or nominee.</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IV-9</w:t>
      </w:r>
    </w:p>
    <w:p>
      <w:pPr>
        <w:sectPr>
          <w:pgSz w:w="11900" w:h="16838" w:orient="portrait"/>
          <w:cols w:equalWidth="0" w:num="1">
            <w:col w:w="10239"/>
          </w:cols>
          <w:pgMar w:left="220" w:top="616"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Compensation Committee Report on Executive Compensation</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Exxon's executive compensation program is designed to motivate, reward, and retain the management talent our company needs to achieve its business goals and maintain its leadership. Our program makes a significant portion of senior executives' potential compensation dependent upon increases in shareholder value.</w:t>
      </w:r>
    </w:p>
    <w:p>
      <w:pPr>
        <w:spacing w:after="0" w:line="165" w:lineRule="exact"/>
        <w:rPr>
          <w:sz w:val="20"/>
          <w:szCs w:val="20"/>
          <w:color w:val="auto"/>
        </w:rPr>
      </w:pPr>
    </w:p>
    <w:p>
      <w:pPr>
        <w:jc w:val="both"/>
        <w:ind w:left="260" w:right="3599" w:firstLine="258"/>
        <w:spacing w:after="0" w:line="252" w:lineRule="auto"/>
        <w:rPr>
          <w:sz w:val="20"/>
          <w:szCs w:val="20"/>
          <w:color w:val="auto"/>
        </w:rPr>
      </w:pPr>
      <w:r>
        <w:rPr>
          <w:rFonts w:ascii="Courier New" w:cs="Courier New" w:eastAsia="Courier New" w:hAnsi="Courier New"/>
          <w:sz w:val="14"/>
          <w:szCs w:val="14"/>
          <w:color w:val="auto"/>
        </w:rPr>
        <w:t>Exxon's success depends on retaining and motivating executives who have developed the skills and expertise required to lead a global organization. We do this with:</w:t>
      </w:r>
    </w:p>
    <w:p>
      <w:pPr>
        <w:spacing w:after="0" w:line="163" w:lineRule="exact"/>
        <w:rPr>
          <w:sz w:val="20"/>
          <w:szCs w:val="20"/>
          <w:color w:val="auto"/>
        </w:rPr>
      </w:pPr>
    </w:p>
    <w:p>
      <w:pPr>
        <w:ind w:left="960" w:right="3779" w:hanging="349"/>
        <w:spacing w:after="0" w:line="250" w:lineRule="auto"/>
        <w:tabs>
          <w:tab w:leader="none" w:pos="9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base salaries in keeping with a philosophy of career continuity</w:t>
      </w:r>
    </w:p>
    <w:p>
      <w:pPr>
        <w:ind w:left="960" w:hanging="349"/>
        <w:spacing w:after="0"/>
        <w:tabs>
          <w:tab w:leader="none" w:pos="9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Rewards for exceptional performance and accomplishments</w:t>
      </w:r>
    </w:p>
    <w:p>
      <w:pPr>
        <w:spacing w:after="0" w:line="7"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Incentives to meet short-term and long-term objectives</w:t>
      </w:r>
    </w:p>
    <w:p>
      <w:pPr>
        <w:spacing w:after="0" w:line="17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The nature of the petroleum business requires long-term and capital-intensive investments. These investments often take years to generate a return to shareholders. Accordingly, we grant incentive awards with a view toward long-term corporate performance. These awards may not fluctuate as much as year-to-year financial results.</w:t>
      </w:r>
    </w:p>
    <w:p>
      <w:pPr>
        <w:spacing w:after="0" w:line="165" w:lineRule="exact"/>
        <w:rPr>
          <w:sz w:val="20"/>
          <w:szCs w:val="20"/>
          <w:color w:val="auto"/>
        </w:rPr>
      </w:pPr>
    </w:p>
    <w:p>
      <w:pPr>
        <w:ind w:left="260" w:right="3679" w:firstLine="258"/>
        <w:spacing w:after="0" w:line="251" w:lineRule="auto"/>
        <w:rPr>
          <w:sz w:val="20"/>
          <w:szCs w:val="20"/>
          <w:color w:val="auto"/>
        </w:rPr>
      </w:pPr>
      <w:r>
        <w:rPr>
          <w:rFonts w:ascii="Courier New" w:cs="Courier New" w:eastAsia="Courier New" w:hAnsi="Courier New"/>
          <w:sz w:val="14"/>
          <w:szCs w:val="14"/>
          <w:color w:val="auto"/>
        </w:rPr>
        <w:t>Exxon pays for performance based on an individual's level of responsibility. For this purpose, performance means both individual and corporate performance. We motivate performance by recognizing the past year's results and by providing incentives for further improvement in the future.</w:t>
      </w:r>
    </w:p>
    <w:p>
      <w:pPr>
        <w:spacing w:after="0" w:line="165" w:lineRule="exact"/>
        <w:rPr>
          <w:sz w:val="20"/>
          <w:szCs w:val="20"/>
          <w:color w:val="auto"/>
        </w:rPr>
      </w:pPr>
    </w:p>
    <w:p>
      <w:pPr>
        <w:ind w:left="260" w:right="3779" w:firstLine="258"/>
        <w:spacing w:after="0" w:line="251" w:lineRule="auto"/>
        <w:rPr>
          <w:sz w:val="20"/>
          <w:szCs w:val="20"/>
          <w:color w:val="auto"/>
        </w:rPr>
      </w:pPr>
      <w:r>
        <w:rPr>
          <w:rFonts w:ascii="Courier New" w:cs="Courier New" w:eastAsia="Courier New" w:hAnsi="Courier New"/>
          <w:sz w:val="14"/>
          <w:szCs w:val="14"/>
          <w:color w:val="auto"/>
        </w:rPr>
        <w:t>Individual performance includes the ability to put Exxon's business plans into effect and to react to unanticipated events. We base compensation decisions for all executives, including the Chief Executive Officer (CEO) and the other executives named in the Summary Compensation Table on page IV-14 on these criteria.</w:t>
      </w:r>
    </w:p>
    <w:p>
      <w:pPr>
        <w:spacing w:after="0" w:line="165" w:lineRule="exact"/>
        <w:rPr>
          <w:sz w:val="20"/>
          <w:szCs w:val="20"/>
          <w:color w:val="auto"/>
        </w:rPr>
      </w:pPr>
    </w:p>
    <w:p>
      <w:pPr>
        <w:ind w:left="260" w:right="3939" w:firstLine="258"/>
        <w:spacing w:after="0" w:line="255" w:lineRule="auto"/>
        <w:rPr>
          <w:sz w:val="20"/>
          <w:szCs w:val="20"/>
          <w:color w:val="auto"/>
        </w:rPr>
      </w:pPr>
      <w:r>
        <w:rPr>
          <w:rFonts w:ascii="Courier New" w:cs="Courier New" w:eastAsia="Courier New" w:hAnsi="Courier New"/>
          <w:sz w:val="14"/>
          <w:szCs w:val="14"/>
          <w:color w:val="auto"/>
        </w:rPr>
        <w:t>The three major components of Exxon's compensation program are base salary, short term incentive awards, and long term incentive awards.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jc w:val="both"/>
        <w:ind w:left="260" w:right="3859" w:firstLine="258"/>
        <w:spacing w:after="0" w:line="252" w:lineRule="auto"/>
        <w:rPr>
          <w:sz w:val="20"/>
          <w:szCs w:val="20"/>
          <w:color w:val="auto"/>
        </w:rPr>
      </w:pPr>
      <w:r>
        <w:rPr>
          <w:rFonts w:ascii="Courier New" w:cs="Courier New" w:eastAsia="Courier New" w:hAnsi="Courier New"/>
          <w:sz w:val="14"/>
          <w:szCs w:val="14"/>
          <w:color w:val="auto"/>
        </w:rPr>
        <w:t>In keeping with the long-term and highly technical nature of Exxon's business, we take a long-term approach to management development. This career-oriented philosophy requires a competitive base salary.</w:t>
      </w:r>
    </w:p>
    <w:p>
      <w:pPr>
        <w:spacing w:after="0" w:line="16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Each year, we adjust Exxon's salary structure based on competitive positioning (comparing Exxon's salary structure with salaries paid by other companies); Exxon's own business performance; and general economic factors. Specific weights are not given to these factors, but competitive positioning is the most important factor. Business and other economic factors, such as net income and estimates of inflation, are secondary considerations.</w:t>
      </w:r>
    </w:p>
    <w:p>
      <w:pPr>
        <w:spacing w:after="0" w:line="330"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We use a number of surveys to determine Exxon's competitive salary position. Primarily, we compare our salary structure with the U.S.-based oil companies in the industry group used for comparing stock performance on page IV-18. We do not consider salary data from the foreign-based oil companies in that group. Their executive compensation structures are not considered comparable.</w:t>
      </w:r>
    </w:p>
    <w:p>
      <w:pPr>
        <w:spacing w:after="0" w:line="164"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Exxon's business, and the competition for executives, extend beyond the oil industry. Therefore, we also compare our salary structure with other major U.S.-based corporations.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IV-10</w:t>
      </w:r>
    </w:p>
    <w:p>
      <w:pPr>
        <w:sectPr>
          <w:pgSz w:w="11900" w:h="16838" w:orient="portrait"/>
          <w:cols w:equalWidth="0" w:num="1">
            <w:col w:w="10239"/>
          </w:cols>
          <w:pgMar w:left="220" w:top="616" w:right="1440" w:bottom="1440" w:gutter="0" w:footer="0" w:header="0"/>
        </w:sectPr>
      </w:pPr>
    </w:p>
    <w:bookmarkStart w:id="99" w:name="page100"/>
    <w:bookmarkEnd w:id="99"/>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Exxon is larger and more diverse than the other surveyed companies. Therefore, Exxon targets its salary ranges between the median and high end of the survey data. Within these ranges, we determine individual executive salaries based on individual performance, level of responsibility, and experience. The BCC recommends the CEO's salary to the Board of Directors, sets the salaries for Exxon's other elected officers, and reviews the salaries of other senior executives.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 Term Incentive Awards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Short term incentive awards consist of cash bonuses and Earnings Bonus Units (EBUs). See page IV-16 for a description of the terms of EBUs. We grant short term awards to executives to reward their contributions to the business during the past year. We also grant EBUs as incentives for strong, mid-term corporate performance. EBUs help stress that decisions and contributions in any one year affect future years. In 1998, approximately one half of executive bonuses were in the form of EBUs. The cumulative earnings required for maximum payout of each EBU granted this year was the same as that for last year.</w:t>
      </w:r>
    </w:p>
    <w:p>
      <w:pPr>
        <w:spacing w:after="0" w:line="164"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Each year, the BCC establishes a ceiling for cash bonuses and EBUs. The ceiling for 1998 was $60 million. Almost all of that amount was granted in awards to approximately 1,000 employees. The ceiling is based on Exxon's business performance, progress towards long-term goals, and competitive position. No particular formula is used. Some of the measures of performance considered by the BCC include net income, earnings per share, return on capital employed, return on equity, and dividends. The BCC does not give specific weights to these measures. The 1998 ceiling was reduced from the 1997 ceiling. In reaching this decision, no formula was used.</w:t>
      </w:r>
    </w:p>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BCC considered several factors, including Exxon's financial performance (which, while strong relative to its major competitors in a difficult business environment, was still down relative to last year's record level), its continued strengthening of its worldwide competitive position and its progress towards long-range strategic goals.</w:t>
      </w:r>
    </w:p>
    <w:p>
      <w:pPr>
        <w:spacing w:after="0" w:line="165"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bonus an executive receives depends on the executive's individual performance and level of responsibility. Each year, we assess relative performance based on factors including initiative, business judgment, technical expertise, and management skills.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 Term Incentive Awards</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Long term incentive awards are intended to develop and retain strong management through share ownership and incentive awards that recognize future performance. Stock options were the primary long term incentive granted to executive officers and over 3,500 other key employees in 1998. The parameters, guidelines, and administration of the 1998 grants were the same as those used for the 1997 grants. The BCC believes that a significant portion of senior executives' compensation should depend on value created for the shareholders. Options are an excellent way to accomplish this because they tie the executives' interests directly to the shareholders' interests. See page IV-15 for a description of the terms of options.</w:t>
      </w:r>
    </w:p>
    <w:p>
      <w:pPr>
        <w:spacing w:after="0" w:line="329"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number of options granted to executive officers is based on individual performance and level of responsibility. For this purpose, the Committee measures performance the same way as described above for short term awards. Option grants must be sufficient in size to provide a strong incentive for executives to work for long-term business interests and become significant owners of the business. The number of options held by an executive is not a factor in determining subsequent grants. Granting options on that basis could create an incentive for executives to exercise options and sell their shares.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does not have required levels for equity holdings by senior management, but long-term awards are designed to encourage share ownership. The five officers named in the Summary Compensation Table on page IV-14 have, on average, equity holdings of approximately 14 times salary as of year-end 1998. In addition, other elected officers have holdings which exceed typical ownership guidelines used by some companies in industry.</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IV-11</w:t>
      </w:r>
    </w:p>
    <w:p>
      <w:pPr>
        <w:sectPr>
          <w:pgSz w:w="11900" w:h="16838" w:orient="portrait"/>
          <w:cols w:equalWidth="0" w:num="1">
            <w:col w:w="9979"/>
          </w:cols>
          <w:pgMar w:left="480" w:top="616"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jc w:val="both"/>
        <w:ind w:left="260" w:right="3679" w:firstLine="258"/>
        <w:spacing w:after="0" w:line="250" w:lineRule="auto"/>
        <w:rPr>
          <w:sz w:val="20"/>
          <w:szCs w:val="20"/>
          <w:color w:val="auto"/>
        </w:rPr>
      </w:pPr>
      <w:r>
        <w:rPr>
          <w:rFonts w:ascii="Courier New" w:cs="Courier New" w:eastAsia="Courier New" w:hAnsi="Courier New"/>
          <w:sz w:val="14"/>
          <w:szCs w:val="14"/>
          <w:color w:val="auto"/>
        </w:rPr>
        <w:t>Last year, the BCC granted Career Shares to a limited number of senior executives. Career Shares are shares of Exxon common stock that normally may not be sold until after an executive reaches normal retirement age.</w:t>
      </w:r>
    </w:p>
    <w:p>
      <w:pPr>
        <w:spacing w:after="0" w:line="1" w:lineRule="exact"/>
        <w:rPr>
          <w:sz w:val="20"/>
          <w:szCs w:val="20"/>
          <w:color w:val="auto"/>
        </w:rPr>
      </w:pPr>
    </w:p>
    <w:p>
      <w:pPr>
        <w:ind w:left="260" w:right="3519"/>
        <w:spacing w:after="0" w:line="251" w:lineRule="auto"/>
        <w:rPr>
          <w:sz w:val="20"/>
          <w:szCs w:val="20"/>
          <w:color w:val="auto"/>
        </w:rPr>
      </w:pPr>
      <w:r>
        <w:rPr>
          <w:rFonts w:ascii="Courier New" w:cs="Courier New" w:eastAsia="Courier New" w:hAnsi="Courier New"/>
          <w:sz w:val="14"/>
          <w:szCs w:val="14"/>
          <w:color w:val="auto"/>
        </w:rPr>
        <w:t>The shares may be forfeited if an executive leaves before that time. Given the size, complexity, and global scope of Exxon's business, it is essential to retain an experienced senior management team. Career Shares help Exxon retain key strategic and operating executives for the long term. These awards also provide an additional incentive for superior long-term corporate performance. The number of Career Shares granted to senior executives also reflects the increased responsibility and complexity of senior positions.</w:t>
      </w:r>
    </w:p>
    <w:p>
      <w:pPr>
        <w:spacing w:after="0" w:line="33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The Committee bases individual Career Share grants on the executive's personal contribution and level of responsibility. The number of shares held by an executive is not a factor in determining individual grants since Career Shares are primarily designed to promote long-term retention.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U.S. Income Tax Limits on Deductibility</w:t>
      </w:r>
    </w:p>
    <w:p>
      <w:pPr>
        <w:spacing w:after="0" w:line="173" w:lineRule="exact"/>
        <w:rPr>
          <w:sz w:val="20"/>
          <w:szCs w:val="20"/>
          <w:color w:val="auto"/>
        </w:rPr>
      </w:pPr>
    </w:p>
    <w:p>
      <w:pPr>
        <w:ind w:left="260" w:right="3519" w:firstLine="258"/>
        <w:spacing w:after="0" w:line="250" w:lineRule="auto"/>
        <w:rPr>
          <w:sz w:val="20"/>
          <w:szCs w:val="20"/>
          <w:color w:val="auto"/>
        </w:rPr>
      </w:pPr>
      <w:r>
        <w:rPr>
          <w:rFonts w:ascii="Courier New" w:cs="Courier New" w:eastAsia="Courier New" w:hAnsi="Courier New"/>
          <w:sz w:val="14"/>
          <w:szCs w:val="14"/>
          <w:color w:val="auto"/>
        </w:rPr>
        <w:t>U.S. income tax law limits the amount Exxon can deduct for compensation paid to the CEO and the other four most highly paid executives. Performance-based compensation that meets IRS requirements is not subject to this limit. The short term awards and stock option grants described above are designed to meet these requirements so that Exxon can continue to deduct the related expenses. Specifically, the shareholders have approved broad performance measures for short term awards to the top executives.</w:t>
      </w:r>
    </w:p>
    <w:p>
      <w:pPr>
        <w:spacing w:after="0" w:line="3" w:lineRule="exact"/>
        <w:rPr>
          <w:sz w:val="20"/>
          <w:szCs w:val="20"/>
          <w:color w:val="auto"/>
        </w:rPr>
      </w:pPr>
    </w:p>
    <w:p>
      <w:pPr>
        <w:ind w:left="260" w:right="3519"/>
        <w:spacing w:after="0" w:line="251" w:lineRule="auto"/>
        <w:rPr>
          <w:sz w:val="20"/>
          <w:szCs w:val="20"/>
          <w:color w:val="auto"/>
        </w:rPr>
      </w:pPr>
      <w:r>
        <w:rPr>
          <w:rFonts w:ascii="Courier New" w:cs="Courier New" w:eastAsia="Courier New" w:hAnsi="Courier New"/>
          <w:sz w:val="14"/>
          <w:szCs w:val="14"/>
          <w:color w:val="auto"/>
        </w:rPr>
        <w:t>The shareholders also set limits on short term awards to these executives (0.2% of operating net income) and on individual option grants (0.2% of outstanding shares at year-end 1996, adjusted for stock splits). These are not targets, only maximums established for deductibility purposes. Actual award levels have been significantly less based on the factors and judgments described in the preceding sections of this report.</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CEO Compensation</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Within the framework described above, the BCC determines the CEO's compensation by judging his individual contributions to Exxon's business, level of responsibility, and career experience. The BCC does not think narrow quantitative measures or formulas are sufficient for determining Mr. Raymond's compensation. The Committee does not give specific weights to the factors considered, but the primary factor is the CEO's individual contributions to the business.</w:t>
      </w:r>
    </w:p>
    <w:p>
      <w:pPr>
        <w:spacing w:after="0" w:line="164" w:lineRule="exact"/>
        <w:rPr>
          <w:sz w:val="20"/>
          <w:szCs w:val="20"/>
          <w:color w:val="auto"/>
        </w:rPr>
      </w:pPr>
    </w:p>
    <w:p>
      <w:pPr>
        <w:ind w:left="260" w:right="3939" w:firstLine="258"/>
        <w:spacing w:after="0" w:line="251" w:lineRule="auto"/>
        <w:rPr>
          <w:sz w:val="20"/>
          <w:szCs w:val="20"/>
          <w:color w:val="auto"/>
        </w:rPr>
      </w:pPr>
      <w:r>
        <w:rPr>
          <w:rFonts w:ascii="Courier New" w:cs="Courier New" w:eastAsia="Courier New" w:hAnsi="Courier New"/>
          <w:sz w:val="14"/>
          <w:szCs w:val="14"/>
          <w:color w:val="auto"/>
        </w:rPr>
        <w:t>The Committee also considers Exxon's size, complexity, and business results as compared to its competitors in the industry and other major U.S.-based corporations outside the industry. The BCC believes the combination of Mr. Raymond's base salary and short-term awards is appropriate compared to CEOs of Exxon's competitors.</w:t>
      </w:r>
    </w:p>
    <w:p>
      <w:pPr>
        <w:spacing w:after="0" w:line="165"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Mr. Raymond's long-term incentive awards reflect his level of responsibility, his leadership, and the BCC's judgment of his overall contribution as CEO. In making this determination, the BCC considered the complex, highly technical, and long-term nature of Exxon's business. The Career Share award granted to Mr. Raymond recognizes his outstanding contributions to Exxon's business performance, continued strengthening of the Corporation's worldwide competitive position, and its progress toward long-range strategic goals. The restrictions on the award are designed to retain his leadership for the remainder of his career.</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IV-12</w:t>
      </w:r>
    </w:p>
    <w:p>
      <w:pPr>
        <w:sectPr>
          <w:pgSz w:w="11900" w:h="16838" w:orient="portrait"/>
          <w:cols w:equalWidth="0" w:num="1">
            <w:col w:w="10239"/>
          </w:cols>
          <w:pgMar w:left="220" w:top="616" w:right="1440" w:bottom="1440" w:gutter="0" w:footer="0" w:header="0"/>
        </w:sectPr>
      </w:pPr>
    </w:p>
    <w:bookmarkStart w:id="101" w:name="page102"/>
    <w:bookmarkEnd w:id="101"/>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BCC is made up of nonemployee directors who do not participate in any of the compensation plans they administer. The BCC approves or endorses all the programs that involve compensation paid or awarded to senior executives.</w:t>
      </w:r>
    </w:p>
    <w:p>
      <w:pPr>
        <w:spacing w:after="0" w:line="162" w:lineRule="exact"/>
        <w:rPr>
          <w:sz w:val="20"/>
          <w:szCs w:val="20"/>
          <w:color w:val="auto"/>
        </w:rPr>
      </w:pPr>
    </w:p>
    <w:p>
      <w:pPr>
        <w:ind w:right="3939" w:firstLine="258"/>
        <w:spacing w:after="0" w:line="251" w:lineRule="auto"/>
        <w:rPr>
          <w:sz w:val="20"/>
          <w:szCs w:val="20"/>
          <w:color w:val="auto"/>
        </w:rPr>
      </w:pPr>
      <w:r>
        <w:rPr>
          <w:rFonts w:ascii="Courier New" w:cs="Courier New" w:eastAsia="Courier New" w:hAnsi="Courier New"/>
          <w:sz w:val="14"/>
          <w:szCs w:val="14"/>
          <w:color w:val="auto"/>
        </w:rPr>
        <w:t>The BCC is responsible for seeing that Exxon's compensation program serves the best interest of its shareholders. To help meet this responsibility, the BCC is guided by an independent analysis of the competitiveness of Exxon's executive compensation. This analysis is prepared each year by a leading public accounting firm. The BCC also considers the results of the salary surveys described above.</w:t>
      </w:r>
    </w:p>
    <w:p>
      <w:pPr>
        <w:spacing w:after="0" w:line="164" w:lineRule="exact"/>
        <w:rPr>
          <w:sz w:val="20"/>
          <w:szCs w:val="20"/>
          <w:color w:val="auto"/>
        </w:rPr>
      </w:pPr>
    </w:p>
    <w:p>
      <w:pPr>
        <w:ind w:right="3779" w:firstLine="258"/>
        <w:spacing w:after="0" w:line="251" w:lineRule="auto"/>
        <w:rPr>
          <w:sz w:val="20"/>
          <w:szCs w:val="20"/>
          <w:color w:val="auto"/>
        </w:rPr>
      </w:pPr>
      <w:r>
        <w:rPr>
          <w:rFonts w:ascii="Courier New" w:cs="Courier New" w:eastAsia="Courier New" w:hAnsi="Courier New"/>
          <w:sz w:val="14"/>
          <w:szCs w:val="14"/>
          <w:color w:val="auto"/>
        </w:rPr>
        <w:t>In the opinion of the Committee, Exxon has an appropriate and competitive compensation program. The combination of sound base salary, competitive short term bonuses, and emphasis on long term incentives provides a balanced and stable foundation for effective executive leadership.</w:t>
      </w:r>
    </w:p>
    <w:p>
      <w:pPr>
        <w:sectPr>
          <w:pgSz w:w="11900" w:h="16838" w:orient="portrait"/>
          <w:cols w:equalWidth="0" w:num="1">
            <w:col w:w="9979"/>
          </w:cols>
          <w:pgMar w:left="480" w:top="616" w:right="1440" w:bottom="1440" w:gutter="0" w:footer="0" w:header="0"/>
        </w:sectPr>
      </w:pPr>
    </w:p>
    <w:p>
      <w:pPr>
        <w:spacing w:after="0" w:line="165" w:lineRule="exact"/>
        <w:rPr>
          <w:sz w:val="20"/>
          <w:szCs w:val="20"/>
          <w:color w:val="auto"/>
        </w:rPr>
      </w:pPr>
    </w:p>
    <w:p>
      <w:pPr>
        <w:ind w:left="360"/>
        <w:spacing w:after="0" w:line="255" w:lineRule="auto"/>
        <w:rPr>
          <w:sz w:val="20"/>
          <w:szCs w:val="20"/>
          <w:color w:val="auto"/>
        </w:rPr>
      </w:pPr>
      <w:r>
        <w:rPr>
          <w:rFonts w:ascii="Courier New" w:cs="Courier New" w:eastAsia="Courier New" w:hAnsi="Courier New"/>
          <w:sz w:val="14"/>
          <w:szCs w:val="14"/>
          <w:color w:val="auto"/>
        </w:rPr>
        <w:t>William R. Howell, Chairman Michael J. Boskin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 Hay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172" w:lineRule="exact"/>
        <w:rPr>
          <w:sz w:val="20"/>
          <w:szCs w:val="20"/>
          <w:color w:val="auto"/>
        </w:rPr>
      </w:pPr>
    </w:p>
    <w:p>
      <w:pPr>
        <w:sectPr>
          <w:pgSz w:w="11900" w:h="16838" w:orient="portrait"/>
          <w:cols w:equalWidth="0" w:num="2">
            <w:col w:w="2680" w:space="680"/>
            <w:col w:w="6619"/>
          </w:cols>
          <w:pgMar w:left="480" w:top="616"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3"/>
          <w:szCs w:val="13"/>
          <w:color w:val="auto"/>
        </w:rPr>
        <w:t>IV-13</w:t>
      </w:r>
    </w:p>
    <w:p>
      <w:pPr>
        <w:sectPr>
          <w:pgSz w:w="11900" w:h="16838" w:orient="portrait"/>
          <w:cols w:equalWidth="0" w:num="1">
            <w:col w:w="9979"/>
          </w:cols>
          <w:pgMar w:left="480" w:top="616" w:right="1440" w:bottom="1440" w:gutter="0" w:footer="0" w:header="0"/>
          <w:type w:val="continuous"/>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 Tables</w:t>
      </w:r>
    </w:p>
    <w:p>
      <w:pPr>
        <w:spacing w:after="0" w:line="173" w:lineRule="exact"/>
        <w:rPr>
          <w:sz w:val="20"/>
          <w:szCs w:val="20"/>
          <w:color w:val="auto"/>
        </w:rPr>
      </w:pPr>
    </w:p>
    <w:p>
      <w:pPr>
        <w:ind w:left="260" w:right="5000" w:firstLine="258"/>
        <w:spacing w:after="0" w:line="252" w:lineRule="auto"/>
        <w:rPr>
          <w:sz w:val="20"/>
          <w:szCs w:val="20"/>
          <w:color w:val="auto"/>
        </w:rPr>
      </w:pPr>
      <w:r>
        <w:rPr>
          <w:rFonts w:ascii="Courier New" w:cs="Courier New" w:eastAsia="Courier New" w:hAnsi="Courier New"/>
          <w:sz w:val="14"/>
          <w:szCs w:val="14"/>
          <w:color w:val="auto"/>
        </w:rPr>
        <w:t>These tables show the compensation of Exxon's Chairman and the four other most highly paid executives. See the Board Compensation Committee report beginning on page IV-10 for an explanation of our compensation philosophy.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3"/>
          </w:tcPr>
          <w:p>
            <w:pPr>
              <w:jc w:val="center"/>
              <w:ind w:right="568"/>
              <w:spacing w:after="0"/>
              <w:rPr>
                <w:sz w:val="20"/>
                <w:szCs w:val="20"/>
                <w:color w:val="auto"/>
              </w:rPr>
            </w:pPr>
            <w:r>
              <w:rPr>
                <w:rFonts w:ascii="Courier New" w:cs="Courier New" w:eastAsia="Courier New" w:hAnsi="Courier New"/>
                <w:sz w:val="14"/>
                <w:szCs w:val="14"/>
                <w:color w:val="auto"/>
              </w:rPr>
              <w:t>Annual Compensation</w:t>
            </w:r>
          </w:p>
        </w:tc>
        <w:tc>
          <w:tcPr>
            <w:tcW w:w="640" w:type="dxa"/>
            <w:vAlign w:val="bottom"/>
          </w:tcPr>
          <w:p>
            <w:pPr>
              <w:spacing w:after="0"/>
              <w:rPr>
                <w:sz w:val="14"/>
                <w:szCs w:val="14"/>
                <w:color w:val="auto"/>
              </w:rPr>
            </w:pPr>
          </w:p>
        </w:tc>
        <w:tc>
          <w:tcPr>
            <w:tcW w:w="400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Long Term Compensation</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4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86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Payouts</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Other Annual</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Restricted</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0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Salary</w:t>
            </w:r>
          </w:p>
        </w:tc>
        <w:tc>
          <w:tcPr>
            <w:tcW w:w="3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Bonus</w:t>
            </w:r>
          </w:p>
        </w:tc>
        <w:tc>
          <w:tcPr>
            <w:tcW w:w="15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Compensation</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LTIP</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Award(s)($)(1)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Payouts ($)(2)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L.R. Raymond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55,849</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1,275,000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Chairman and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1,750,000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26,472</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CEO</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1,550,000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19,977</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943,125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93,000</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 Dahan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244,935</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65,686</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780,001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4,488</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60,173</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3,590</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53,019</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5,660</w:t>
            </w:r>
          </w:p>
        </w:tc>
        <w:tc>
          <w:tcPr>
            <w:tcW w:w="64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65,686</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780,001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5,725</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60,173</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6,129</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53,019</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14,152</w:t>
            </w:r>
          </w:p>
        </w:tc>
        <w:tc>
          <w:tcPr>
            <w:tcW w:w="64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65,664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807,001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7,192</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348,500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62,174</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6,461</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57,497</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R.B. Nesbitt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769,615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9,719</w:t>
            </w:r>
          </w:p>
        </w:tc>
        <w:tc>
          <w:tcPr>
            <w:tcW w:w="64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62,134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648,000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8,411</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217,600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55,820</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10,170</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235,781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51,366</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Exxon</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Chemical</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right="5000" w:hanging="339"/>
        <w:spacing w:after="0" w:line="251"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restricted shares times the market price of Exxon stock on the day of grant. As of December 31, 1998, the total number and value of restricted shares held by these executives were: Mr. Raymond: 280,000 shares ($20,475,000); Mr. Dahan: 46,000 shares ($3,363,750); Mr. Longwell: 46,000 shares ($3,363,750); Mr. Wilhelm: 48,000 shares ($3,510,000); and Mr. Nesbitt: 18,000 shares ($1,316,250). The values given do not reflect the fact that the shares are restricted. The executives receive the same cash dividends on restricted shares as holders of regular common stock, but cannot sell the shares during the restricted period. See page IV-12 for more information on these shares, which we call Career Shares.</w:t>
      </w:r>
    </w:p>
    <w:p>
      <w:pPr>
        <w:spacing w:after="0" w:line="328"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Settlements of Earnings Bonus Units. See page IV-16 for more details.</w:t>
      </w:r>
    </w:p>
    <w:p>
      <w:pPr>
        <w:spacing w:after="0" w:line="172" w:lineRule="exact"/>
        <w:rPr>
          <w:rFonts w:ascii="Courier New" w:cs="Courier New" w:eastAsia="Courier New" w:hAnsi="Courier New"/>
          <w:sz w:val="14"/>
          <w:szCs w:val="14"/>
          <w:color w:val="auto"/>
        </w:rPr>
      </w:pPr>
    </w:p>
    <w:p>
      <w:pPr>
        <w:ind w:left="520" w:right="5080" w:hanging="339"/>
        <w:spacing w:after="0" w:line="251"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values represent matching credits under Exxon's thrift plans (Mr. Raymond: $114,000; Mr. Dahan: $52,683; Mr. Longwell: $52,683; Mr. Wilhelm: $52,661; and Mr. Nesbitt: $42,593) and costs of supplemental life insurance (Mr. Dahan: $13,003; Mr. Longwell: $13,003; Mr. Wilhelm: $13,003; and Mr. Nesbitt: $19,541).</w:t>
      </w:r>
    </w:p>
    <w:p>
      <w:pPr>
        <w:spacing w:after="0" w:line="164" w:lineRule="exact"/>
        <w:rPr>
          <w:rFonts w:ascii="Courier New" w:cs="Courier New" w:eastAsia="Courier New" w:hAnsi="Courier New"/>
          <w:sz w:val="14"/>
          <w:szCs w:val="14"/>
          <w:color w:val="auto"/>
        </w:rPr>
      </w:pPr>
    </w:p>
    <w:p>
      <w:pPr>
        <w:ind w:left="520" w:right="5000" w:hanging="339"/>
        <w:spacing w:after="0" w:line="255"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certain perquisites, including membership fees of $20,860 and tax assistance of $20,624.</w:t>
      </w:r>
    </w:p>
    <w:p>
      <w:pPr>
        <w:spacing w:after="0" w:line="159" w:lineRule="exact"/>
        <w:rPr>
          <w:rFonts w:ascii="Courier New" w:cs="Courier New" w:eastAsia="Courier New" w:hAnsi="Courier New"/>
          <w:sz w:val="14"/>
          <w:szCs w:val="14"/>
          <w:color w:val="auto"/>
        </w:rPr>
      </w:pPr>
    </w:p>
    <w:p>
      <w:pPr>
        <w:ind w:left="520" w:right="5340" w:hanging="339"/>
        <w:spacing w:after="0" w:line="255"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certain perquisites, including relocation expenses of $141,502 and tax assistance of $80,597.</w:t>
      </w:r>
    </w:p>
    <w:p>
      <w:pPr>
        <w:spacing w:after="0" w:line="159"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$79,615 representing cash for unused vacation.</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IV-14</w:t>
      </w:r>
    </w:p>
    <w:p>
      <w:pPr>
        <w:sectPr>
          <w:pgSz w:w="11900" w:h="16838" w:orient="portrait"/>
          <w:cols w:equalWidth="0" w:num="1">
            <w:col w:w="11380"/>
          </w:cols>
          <w:pgMar w:left="220" w:top="616" w:right="299" w:bottom="1440" w:gutter="0" w:footer="0" w:header="0"/>
        </w:sectPr>
      </w:pPr>
    </w:p>
    <w:bookmarkStart w:id="103" w:name="page104"/>
    <w:bookmarkEnd w:id="103"/>
    <w:p>
      <w:pPr>
        <w:ind w:left="2080"/>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Assumed Annual Rates of Stock Price</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Individual Grants (1)</w:t>
            </w:r>
          </w:p>
        </w:tc>
        <w:tc>
          <w:tcPr>
            <w:tcW w:w="124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Appreciation for Option Term (2)</w:t>
            </w:r>
          </w:p>
        </w:tc>
      </w:tr>
      <w:tr>
        <w:trPr>
          <w:trHeight w:val="166"/>
        </w:trPr>
        <w:tc>
          <w:tcPr>
            <w:tcW w:w="2200" w:type="dxa"/>
            <w:vAlign w:val="bottom"/>
          </w:tcPr>
          <w:p>
            <w:pPr>
              <w:spacing w:after="0"/>
              <w:rPr>
                <w:sz w:val="14"/>
                <w:szCs w:val="14"/>
                <w:color w:val="auto"/>
              </w:rPr>
            </w:pPr>
          </w:p>
        </w:tc>
        <w:tc>
          <w:tcPr>
            <w:tcW w:w="262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2"/>
              </w:rPr>
              <w:t>-------------------------------------------------------</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If Stock At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If Stock At</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$117.89</w:t>
            </w:r>
          </w:p>
        </w:tc>
        <w:tc>
          <w:tcPr>
            <w:tcW w:w="15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$187.72</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Underlying</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jc w:val="center"/>
              <w:ind w:right="150"/>
              <w:spacing w:after="0"/>
              <w:rPr>
                <w:sz w:val="20"/>
                <w:szCs w:val="20"/>
                <w:color w:val="auto"/>
              </w:rPr>
            </w:pPr>
            <w:r>
              <w:rPr>
                <w:rFonts w:ascii="Courier New" w:cs="Courier New" w:eastAsia="Courier New" w:hAnsi="Courier New"/>
                <w:sz w:val="14"/>
                <w:szCs w:val="14"/>
                <w:color w:val="auto"/>
              </w:rPr>
              <w:t>Options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Granted to</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 or</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jc w:val="center"/>
              <w:ind w:right="150"/>
              <w:spacing w:after="0"/>
              <w:rPr>
                <w:sz w:val="20"/>
                <w:szCs w:val="20"/>
                <w:color w:val="auto"/>
              </w:rPr>
            </w:pPr>
            <w:r>
              <w:rPr>
                <w:rFonts w:ascii="Courier New" w:cs="Courier New" w:eastAsia="Courier New" w:hAnsi="Courier New"/>
                <w:sz w:val="14"/>
                <w:szCs w:val="14"/>
                <w:color w:val="auto"/>
              </w:rPr>
              <w:t>Granted</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Employees in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Base Price</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jc w:val="center"/>
              <w:ind w:right="1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Fiscal Year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Date</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All Shareholders' Stock</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N/A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110.5 Billion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280.1 Billion</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Appreciation</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L. R. Raymond</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425,000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19,344,406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49,022,522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 Dahan</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9,103,250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23,069,422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H. J. Longwell</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9,103,250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23,069,422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 E. Wilhelm</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9,103,250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23,069,422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 B. Nesbitt</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right="4400" w:hanging="335"/>
        <w:spacing w:after="0" w:line="251" w:lineRule="auto"/>
        <w:tabs>
          <w:tab w:leader="none" w:pos="6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options is the market price of Exxon stock on the grant date. Options granted to senior executives become exercisable after one year of continuous employment or on death. The maximum option term is 10 years after grant or five years after death, if earlier. Options may be forfeited in cases of detrimental activity or early termination of employment. We did not grant any stock appreciation rights to senior executives last year.</w:t>
      </w:r>
    </w:p>
    <w:p>
      <w:pPr>
        <w:spacing w:after="0" w:line="329" w:lineRule="exact"/>
        <w:rPr>
          <w:rFonts w:ascii="Courier New" w:cs="Courier New" w:eastAsia="Courier New" w:hAnsi="Courier New"/>
          <w:sz w:val="14"/>
          <w:szCs w:val="14"/>
          <w:color w:val="auto"/>
        </w:rPr>
      </w:pPr>
    </w:p>
    <w:p>
      <w:pPr>
        <w:ind w:left="600" w:right="4660" w:hanging="335"/>
        <w:spacing w:after="0" w:line="252" w:lineRule="auto"/>
        <w:tabs>
          <w:tab w:leader="none" w:pos="6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columns show the gains option holders and all shareholders could realize if Exxon stock appreciates at a 5% or 10% rate. These growth rates are arbitrary assumptions specified by the SEC, not Exxon's predictions.</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IV-15</w:t>
      </w:r>
    </w:p>
    <w:p>
      <w:pPr>
        <w:sectPr>
          <w:pgSz w:w="11900" w:h="16838" w:orient="portrait"/>
          <w:cols w:equalWidth="0" w:num="1">
            <w:col w:w="10780"/>
          </w:cols>
          <w:pgMar w:left="480" w:top="616" w:right="639"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Option/SAR Exercises in Last Fiscal Year and FY-End Option/SAR Values</w:t>
      </w:r>
    </w:p>
    <w:p>
      <w:pPr>
        <w:sectPr>
          <w:pgSz w:w="11900" w:h="16838" w:orient="portrait"/>
          <w:cols w:equalWidth="0" w:num="1">
            <w:col w:w="10680"/>
          </w:cols>
          <w:pgMar w:left="220" w:top="61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Underlying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Options/SARs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Exercised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Underlying Unexercised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Options/SARs at FY-End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60"/>
        <w:spacing w:after="0"/>
        <w:tabs>
          <w:tab w:leader="none" w:pos="1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Value of Unexercised, In-The-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Money Options/SARs at FY-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End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80"/>
        <w:spacing w:after="0"/>
        <w:tabs>
          <w:tab w:leader="none" w:pos="1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920" w:space="720"/>
            <w:col w:w="1220" w:space="240"/>
            <w:col w:w="1120" w:space="360"/>
            <w:col w:w="2840" w:space="420"/>
            <w:col w:w="28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 R. 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204,232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8,719,565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2,848,980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425,000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97,119,946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318,750</w:t>
      </w:r>
    </w:p>
    <w:p>
      <w:pPr>
        <w:spacing w:after="0" w:line="173" w:lineRule="exact"/>
        <w:rPr>
          <w:sz w:val="20"/>
          <w:szCs w:val="20"/>
          <w:color w:val="auto"/>
        </w:rPr>
      </w:pPr>
    </w:p>
    <w:p>
      <w:pPr>
        <w:sectPr>
          <w:pgSz w:w="11900" w:h="16838" w:orient="portrait"/>
          <w:cols w:equalWidth="0" w:num="7">
            <w:col w:w="1260" w:space="720"/>
            <w:col w:w="620" w:space="600"/>
            <w:col w:w="820" w:space="720"/>
            <w:col w:w="100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Dahan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136,696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4,545,765</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716,854</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200,000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18,966,808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73" w:lineRule="exact"/>
        <w:rPr>
          <w:sz w:val="20"/>
          <w:szCs w:val="20"/>
          <w:color w:val="auto"/>
        </w:rPr>
      </w:pPr>
    </w:p>
    <w:p>
      <w:pPr>
        <w:sectPr>
          <w:pgSz w:w="11900" w:h="16838" w:orient="portrait"/>
          <w:cols w:equalWidth="0" w:num="7">
            <w:col w:w="1260" w:space="720"/>
            <w:col w:w="620" w:space="600"/>
            <w:col w:w="1000" w:space="720"/>
            <w:col w:w="82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 J. Longwell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60,252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2,617,312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1,063,980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200,000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33,990,728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73" w:lineRule="exact"/>
        <w:rPr>
          <w:sz w:val="20"/>
          <w:szCs w:val="20"/>
          <w:color w:val="auto"/>
        </w:rPr>
      </w:pPr>
    </w:p>
    <w:p>
      <w:pPr>
        <w:sectPr>
          <w:pgSz w:w="11900" w:h="16838" w:orient="portrait"/>
          <w:cols w:equalWidth="0" w:num="7">
            <w:col w:w="1360" w:space="720"/>
            <w:col w:w="520" w:space="600"/>
            <w:col w:w="820" w:space="720"/>
            <w:col w:w="100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E. Wilhelm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236,572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8,120,526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1,176,658</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200,000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38,231,813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73" w:lineRule="exact"/>
        <w:rPr>
          <w:sz w:val="20"/>
          <w:szCs w:val="20"/>
          <w:color w:val="auto"/>
        </w:rPr>
      </w:pPr>
    </w:p>
    <w:p>
      <w:pPr>
        <w:sectPr>
          <w:pgSz w:w="11900" w:h="16838" w:orient="portrait"/>
          <w:cols w:equalWidth="0" w:num="7">
            <w:col w:w="1260" w:space="720"/>
            <w:col w:w="620" w:space="600"/>
            <w:col w:w="820" w:space="720"/>
            <w:col w:w="100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B. Nesbitt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174,656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7,298,378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435,344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11,214,113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- 0 -</w:t>
      </w:r>
    </w:p>
    <w:p>
      <w:pPr>
        <w:spacing w:after="0" w:line="211" w:lineRule="exact"/>
        <w:rPr>
          <w:sz w:val="20"/>
          <w:szCs w:val="20"/>
          <w:color w:val="auto"/>
        </w:rPr>
      </w:pPr>
    </w:p>
    <w:p>
      <w:pPr>
        <w:sectPr>
          <w:pgSz w:w="11900" w:h="16838" w:orient="portrait"/>
          <w:cols w:equalWidth="0" w:num="7">
            <w:col w:w="1260" w:space="720"/>
            <w:col w:w="620" w:space="600"/>
            <w:col w:w="1000" w:space="720"/>
            <w:col w:w="1000" w:space="720"/>
            <w:col w:w="580" w:space="720"/>
            <w:col w:w="1260" w:space="720"/>
            <w:col w:w="760"/>
          </w:cols>
          <w:pgMar w:left="220" w:top="616" w:right="99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The difference between the option exercise price and the market price</w:t>
      </w:r>
    </w:p>
    <w:p>
      <w:pPr>
        <w:spacing w:after="0" w:line="7"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4"/>
          <w:szCs w:val="14"/>
          <w:color w:val="auto"/>
        </w:rPr>
        <w:t>of Exxon stock at year-end.</w:t>
        <w:tab/>
        <w:t>The actual gain, if any, an executive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realizes will depend on the market price of Exxon stock at the time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exercise. "In-the-money" means the market price of the stock is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greater than the exercise price of the option on the date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specified.</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Long Term Incentive Plans - Awards in Last Fiscal Year</w:t>
      </w:r>
    </w:p>
    <w:p>
      <w:pPr>
        <w:spacing w:after="0" w:line="200" w:lineRule="exact"/>
        <w:rPr>
          <w:sz w:val="20"/>
          <w:szCs w:val="20"/>
          <w:color w:val="auto"/>
        </w:rPr>
      </w:pPr>
    </w:p>
    <w:p>
      <w:pPr>
        <w:spacing w:after="0" w:line="304"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Estimated Future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Payouts Under Non-</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Stock Price-Based</w:t>
      </w:r>
    </w:p>
    <w:p>
      <w:pPr>
        <w:spacing w:after="0" w:line="7" w:lineRule="exact"/>
        <w:rPr>
          <w:sz w:val="20"/>
          <w:szCs w:val="20"/>
          <w:color w:val="auto"/>
        </w:rPr>
      </w:pPr>
    </w:p>
    <w:p>
      <w:pPr>
        <w:ind w:left="9220"/>
        <w:spacing w:after="0"/>
        <w:rPr>
          <w:sz w:val="20"/>
          <w:szCs w:val="20"/>
          <w:color w:val="auto"/>
        </w:rPr>
      </w:pPr>
      <w:r>
        <w:rPr>
          <w:rFonts w:ascii="Courier New" w:cs="Courier New" w:eastAsia="Courier New" w:hAnsi="Courier New"/>
          <w:sz w:val="14"/>
          <w:szCs w:val="14"/>
          <w:color w:val="auto"/>
        </w:rPr>
        <w:t>Plans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680"/>
          </w:cols>
          <w:pgMar w:left="220" w:top="616" w:right="9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Number of Shares, Units, or Other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Rights*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Performance or Other Period Until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Maturation or Payout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Maximum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1360" w:space="720"/>
            <w:col w:w="3020" w:space="340"/>
            <w:col w:w="3000" w:space="520"/>
            <w:col w:w="172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 R. Raymond</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301,140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1,355,130</w:t>
      </w:r>
    </w:p>
    <w:p>
      <w:pPr>
        <w:spacing w:after="0" w:line="173" w:lineRule="exact"/>
        <w:rPr>
          <w:sz w:val="20"/>
          <w:szCs w:val="20"/>
          <w:color w:val="auto"/>
        </w:rPr>
      </w:pPr>
    </w:p>
    <w:p>
      <w:pPr>
        <w:sectPr>
          <w:pgSz w:w="11900" w:h="16838" w:orient="portrait"/>
          <w:cols w:equalWidth="0" w:num="4">
            <w:col w:w="2480" w:space="720"/>
            <w:col w:w="2120" w:space="720"/>
            <w:col w:w="2560" w:space="720"/>
            <w:col w:w="136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Dahan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98,560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443,520</w:t>
      </w:r>
    </w:p>
    <w:p>
      <w:pPr>
        <w:spacing w:after="0" w:line="173"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 J. Longwell</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98,560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443,520</w:t>
      </w:r>
    </w:p>
    <w:p>
      <w:pPr>
        <w:spacing w:after="0" w:line="173"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E. Wilhelm</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98,560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443,520</w:t>
      </w:r>
    </w:p>
    <w:p>
      <w:pPr>
        <w:spacing w:after="0" w:line="173"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B. Nesbitt</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62,650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281,925</w:t>
      </w:r>
    </w:p>
    <w:p>
      <w:pPr>
        <w:spacing w:after="0" w:line="200"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4640" w:hanging="252"/>
        <w:spacing w:after="0" w:line="251" w:lineRule="auto"/>
        <w:tabs>
          <w:tab w:leader="none" w:pos="2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are Earnings Bonus Units or EBUs. Each EBU entitles the executive to receive an amount equal to Exxon's cumulative net income per common share announced each quarter beginning after the grant. Payout occurs on the fifth anniversary of grant or when the maximum settlement value of $4.50 per unit is reached, if earlier. SEC rules classify EBUs as long-term incentives, but because of the nature of Exxon's business we view EBUs as short-term awards. See page IV-11 for more details.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IV-16</w:t>
      </w:r>
    </w:p>
    <w:p>
      <w:pPr>
        <w:sectPr>
          <w:pgSz w:w="11900" w:h="16838" w:orient="portrait"/>
          <w:cols w:equalWidth="0" w:num="1">
            <w:col w:w="10680"/>
          </w:cols>
          <w:pgMar w:left="220" w:top="616" w:right="99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Chapter</w:t>
            </w:r>
          </w:p>
        </w:tc>
        <w:tc>
          <w:tcPr>
            <w:tcW w:w="3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Four - Other Exxon Annual Meeting Proposals</w:t>
            </w:r>
          </w:p>
        </w:tc>
      </w:tr>
      <w:tr>
        <w:trPr>
          <w:trHeight w:val="497"/>
        </w:trPr>
        <w:tc>
          <w:tcPr>
            <w:tcW w:w="29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Pension Plan Table</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1"/>
        </w:trPr>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Years of Service</w:t>
            </w:r>
          </w:p>
        </w:tc>
        <w:tc>
          <w:tcPr>
            <w:tcW w:w="13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524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Remuneration*</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35</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480,000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  560,000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720,000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2,400,000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3,960,000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4199" w:hanging="252"/>
        <w:spacing w:after="0" w:line="252" w:lineRule="auto"/>
        <w:tabs>
          <w:tab w:leader="none" w:pos="2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plan purposes, this means (1) average annual salary over the highest paid 36-month period during the employee's last 10 years of employment, plus (2) the average of the three highest cash bonus and EBU awards during the employee's last five years of employment.</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Employees who meet the age, service, and other requirements of Exxon's annuity plans are eligible for an annuity (or pension) after retirement. The table shows the approximate yearly annuity that would be paid to an Exxon employee in the top compensation (salary and bonus) and period of service categories. The annuity is calculated on a straight life basis with a five year minimum. The actual annuity would be reduced by a portion of the employee's Social Security benefits.</w:t>
      </w:r>
    </w:p>
    <w:p>
      <w:pPr>
        <w:spacing w:after="0" w:line="164"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For annuity purposes, covered compensation for the executives named in the Summary Compensation Table on page IV-14 includes amounts shown in the "Salary" and "Bonus" columns of that table, plus EBU awards shown in the Long Term Incentive Plans table on page IV-16.</w:t>
      </w:r>
    </w:p>
    <w:p>
      <w:pPr>
        <w:spacing w:after="0" w:line="162" w:lineRule="exact"/>
        <w:rPr>
          <w:sz w:val="20"/>
          <w:szCs w:val="20"/>
          <w:color w:val="auto"/>
        </w:rPr>
      </w:pPr>
    </w:p>
    <w:p>
      <w:pPr>
        <w:ind w:left="260" w:right="3859" w:firstLine="258"/>
        <w:spacing w:after="0" w:line="255" w:lineRule="auto"/>
        <w:rPr>
          <w:sz w:val="20"/>
          <w:szCs w:val="20"/>
          <w:color w:val="auto"/>
        </w:rPr>
      </w:pPr>
      <w:r>
        <w:rPr>
          <w:rFonts w:ascii="Courier New" w:cs="Courier New" w:eastAsia="Courier New" w:hAnsi="Courier New"/>
          <w:sz w:val="14"/>
          <w:szCs w:val="14"/>
          <w:color w:val="auto"/>
        </w:rPr>
        <w:t>At January 31, 1999*, the covered compensation and credited years of service for these executives were:</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Covered</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Years of</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Service</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Raymond</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4,495,460</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36</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Dahan</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1,649,090</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Longwell</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1,649,090</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36</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Wilhelm</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1,694,368</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Nesbitt</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1,216,142</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45</w:t>
            </w:r>
          </w:p>
        </w:tc>
      </w:tr>
    </w:tbl>
    <w:p>
      <w:pPr>
        <w:spacing w:after="0" w:line="335" w:lineRule="exact"/>
        <w:rPr>
          <w:sz w:val="20"/>
          <w:szCs w:val="20"/>
          <w:color w:val="auto"/>
        </w:rPr>
      </w:pPr>
    </w:p>
    <w:p>
      <w:pPr>
        <w:ind w:left="1480" w:right="4379" w:hanging="180"/>
        <w:spacing w:after="0" w:line="255" w:lineRule="auto"/>
        <w:tabs>
          <w:tab w:leader="none" w:pos="14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Figures given at Mr. Nesbitt's retirement effective January 1, 1999.</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IV-17</w:t>
      </w:r>
    </w:p>
    <w:p>
      <w:pPr>
        <w:sectPr>
          <w:pgSz w:w="11900" w:h="16838" w:orient="portrait"/>
          <w:cols w:equalWidth="0" w:num="1">
            <w:col w:w="10239"/>
          </w:cols>
          <w:pgMar w:left="220" w:top="616"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Graphs</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Annual total returns to Exxon shareholders were 22% in 1998, 28% in 1997, and 26% in 1996. Total returns mean share price increase plus dividends paid, with dividends reinvested. The graphs below show the relative investment performance of Exxon common stock, the S&amp;P 500, and an industry peer group over the last five- and 10-year periods. The peer group consists of seven other international integrated oil companies: Amoco, British Petroleum, Chevron, Mobil, Royal Dutch, "Shell" Transport and Trading, and Texaco.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Cumulative Total Returns]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0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Fiscal Years Ended December 31</w:t>
            </w:r>
          </w:p>
        </w:tc>
        <w:tc>
          <w:tcPr>
            <w:tcW w:w="64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4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6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[Ten-Year Cumulative Total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gridSpan w:val="5"/>
          </w:tcPr>
          <w:p>
            <w:pPr>
              <w:ind w:left="420"/>
              <w:spacing w:after="0"/>
              <w:rPr>
                <w:sz w:val="20"/>
                <w:szCs w:val="20"/>
                <w:color w:val="auto"/>
              </w:rPr>
            </w:pPr>
            <w:r>
              <w:rPr>
                <w:rFonts w:ascii="Courier New" w:cs="Courier New" w:eastAsia="Courier New" w:hAnsi="Courier New"/>
                <w:sz w:val="14"/>
                <w:szCs w:val="14"/>
                <w:color w:val="auto"/>
              </w:rPr>
              <w:t>Fiscal Years Ended December 31</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7540" w:type="dxa"/>
            <w:vAlign w:val="bottom"/>
            <w:gridSpan w:val="11"/>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1988</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1989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1991</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1992</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1993</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78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119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130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160</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169</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182</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184</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253</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320</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411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503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132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128</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166</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179</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197</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200</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275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338</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451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580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156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166</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161</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209</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231</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305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387</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476</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511</w:t>
            </w:r>
          </w:p>
        </w:tc>
      </w:tr>
      <w:tr>
        <w:trPr>
          <w:trHeight w:val="497"/>
        </w:trPr>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IV-18</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7" w:name="page108"/>
    <w:bookmarkEnd w:id="107"/>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BOARD OF DIRECTORS PROPOSAL: RATIFICATION OF INDEPENDENT ACCOUNTANTS (Item 4 on Exxon's proxy card)</w:t>
      </w:r>
    </w:p>
    <w:p>
      <w:pPr>
        <w:spacing w:after="0" w:line="160"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The Audit Committee of the Board has appointed PricewaterhouseCoopers LLP (PwC) to audit our financial statements for 1999. We are asking you to ratify that appointment.</w:t>
      </w:r>
    </w:p>
    <w:p>
      <w:pPr>
        <w:spacing w:after="0" w:line="16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PwC (as successor to Price Waterhouse LLP) has been Exxon's independent accounting firm for many years, and we believe they are well qualified for the job. A PwC representative will be at the annual meeting to answer appropriate questions and to make a statement if he desires.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Board recommends you vote FOR this proposal.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PROPOSALS (Items 5 through 8 on Exxon's proxy card)</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We expect the following proposals to be presented by shareholders at the annual meeting. Following SEC rules, we are reprinting the proposals and supporting statements as they were submitted to us. We take no responsibility for them. On request to the address under "The Companies" on page I-2, the Secretary will provide information about the shareholdings of the proposal sponsors.</w:t>
      </w:r>
    </w:p>
    <w:p>
      <w:pPr>
        <w:spacing w:after="0" w:line="164" w:lineRule="exact"/>
        <w:rPr>
          <w:sz w:val="20"/>
          <w:szCs w:val="20"/>
          <w:color w:val="auto"/>
        </w:rPr>
      </w:pPr>
    </w:p>
    <w:p>
      <w:pPr>
        <w:ind w:left="260" w:right="351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these proposals for the reasons we give after each one.</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Shareholder Proposal: Term Limit for Nonemployee Directors (Item 5 on Exxon's proxy card)</w:t>
      </w:r>
    </w:p>
    <w:p>
      <w:pPr>
        <w:spacing w:after="0" w:line="160"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This proposal was submitted by Mrs. Evelyn Y. Davis, Watergate Office Building, 2600 Virginia Avenue, N.W., Suite 215, Washington, DC 20037.</w:t>
      </w:r>
    </w:p>
    <w:p>
      <w:pPr>
        <w:spacing w:after="0" w:line="160"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"RESOLVED, That the stockholders of Exxon recommend that the Board take the necessary steps so that future outside directors shall not serve for more than six years."</w:t>
      </w:r>
    </w:p>
    <w:p>
      <w:pPr>
        <w:spacing w:after="0" w:line="163" w:lineRule="exact"/>
        <w:rPr>
          <w:sz w:val="20"/>
          <w:szCs w:val="20"/>
          <w:color w:val="auto"/>
        </w:rPr>
      </w:pPr>
    </w:p>
    <w:p>
      <w:pPr>
        <w:ind w:left="1380" w:right="3519" w:hanging="859"/>
        <w:spacing w:after="0" w:line="255" w:lineRule="auto"/>
        <w:tabs>
          <w:tab w:leader="none" w:pos="1360" w:val="left"/>
        </w:tabs>
        <w:rPr>
          <w:sz w:val="20"/>
          <w:szCs w:val="20"/>
          <w:color w:val="auto"/>
        </w:rPr>
      </w:pPr>
      <w:r>
        <w:rPr>
          <w:rFonts w:ascii="Courier New" w:cs="Courier New" w:eastAsia="Courier New" w:hAnsi="Courier New"/>
          <w:sz w:val="14"/>
          <w:szCs w:val="14"/>
          <w:color w:val="auto"/>
        </w:rPr>
        <w:t>REASONS:</w:t>
        <w:tab/>
        <w:t>"The President of the U.S.A. has a term limit, so do Governors of many states.</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Newer directors may bring in fresh outlooks and different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approaches with benefits to all shareholders.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No director should be able to feel that his or her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directorship is until retirement.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If you AGREE, please mark your proxy FOR this resolution."</w:t>
      </w:r>
    </w:p>
    <w:p>
      <w:pPr>
        <w:spacing w:after="0" w:line="173"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The Board believes that its current practices and those of the Board Affairs Committee concerning the nomination and service of directors ensure a balanced Board where individuals with diverse backgrounds, knowledge, and experience function well as a unit.</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Board Affairs Committee, which is comprised only of nonemployee directors, recommends candidates for Board membership to the full Board of Directors. The Committee annually develops a proposed slate of nominees which the Board must approve to be voted on by all shareholders. Shareholders vote every year on each of the directors. Historically, over 99% of the shareholders voting have voted in favor of each of the directors standing for election for any given year. In developing and recommending candidates, the Committee considers the overall needs of the Board, such as continuity and depth of knowledge and experience, as well as an individual's ability to contribute.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IV-19</w:t>
      </w:r>
    </w:p>
    <w:p>
      <w:pPr>
        <w:sectPr>
          <w:pgSz w:w="11900" w:h="16838" w:orient="portrait"/>
          <w:cols w:equalWidth="0" w:num="1">
            <w:col w:w="10239"/>
          </w:cols>
          <w:pgMar w:left="220" w:top="616"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Arbitrarily imposing a maximum of six years service for future nonemployee directors could result in the premature loss of directors who have acquired a great deal of knowledge and perspective about the company's operations and who may be in a position to make their most valuable contributions to Exxon's business.</w:t>
      </w:r>
    </w:p>
    <w:p>
      <w:pPr>
        <w:spacing w:after="0" w:line="165" w:lineRule="exact"/>
        <w:rPr>
          <w:sz w:val="20"/>
          <w:szCs w:val="20"/>
          <w:color w:val="auto"/>
        </w:rPr>
      </w:pPr>
    </w:p>
    <w:p>
      <w:pPr>
        <w:ind w:left="260" w:right="3679" w:firstLine="258"/>
        <w:spacing w:after="0" w:line="255" w:lineRule="auto"/>
        <w:rPr>
          <w:sz w:val="20"/>
          <w:szCs w:val="20"/>
          <w:color w:val="auto"/>
        </w:rPr>
      </w:pPr>
      <w:r>
        <w:rPr>
          <w:rFonts w:ascii="Courier New" w:cs="Courier New" w:eastAsia="Courier New" w:hAnsi="Courier New"/>
          <w:sz w:val="14"/>
          <w:szCs w:val="14"/>
          <w:color w:val="auto"/>
        </w:rPr>
        <w:t>A similar proposal was submitted by this proponent for the 1985 Annual Meeting, and almost 97% of shareholders voting, voted AGAINST it.</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Shareholder Proposal: Limitation on Shareholder Voting (Item 6 on Exxon's proxy card)</w:t>
      </w:r>
    </w:p>
    <w:p>
      <w:pPr>
        <w:spacing w:after="0" w:line="160" w:lineRule="exact"/>
        <w:rPr>
          <w:sz w:val="20"/>
          <w:szCs w:val="20"/>
          <w:color w:val="auto"/>
        </w:rPr>
      </w:pPr>
    </w:p>
    <w:p>
      <w:pPr>
        <w:ind w:left="260" w:right="3679" w:firstLine="258"/>
        <w:spacing w:after="0" w:line="255" w:lineRule="auto"/>
        <w:rPr>
          <w:sz w:val="20"/>
          <w:szCs w:val="20"/>
          <w:color w:val="auto"/>
        </w:rPr>
      </w:pPr>
      <w:r>
        <w:rPr>
          <w:rFonts w:ascii="Courier New" w:cs="Courier New" w:eastAsia="Courier New" w:hAnsi="Courier New"/>
          <w:sz w:val="14"/>
          <w:szCs w:val="14"/>
          <w:color w:val="auto"/>
        </w:rPr>
        <w:t>This proposal was submitted by Mr. J. F. Quilter, 500 Westridge Drive, Portola Valley, CA 94028-7721.</w:t>
      </w:r>
    </w:p>
    <w:p>
      <w:pPr>
        <w:spacing w:after="0" w:line="160"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"WHEREAS it is the usual practice for annual stockholders' meeting announcements to include a statement to the effect that if no direction is made the proxy will be voted for the nominations made or positions held by management.</w:t>
      </w:r>
    </w:p>
    <w:p>
      <w:pPr>
        <w:spacing w:after="0" w:line="162" w:lineRule="exact"/>
        <w:rPr>
          <w:sz w:val="20"/>
          <w:szCs w:val="20"/>
          <w:color w:val="auto"/>
        </w:rPr>
      </w:pPr>
    </w:p>
    <w:p>
      <w:pPr>
        <w:jc w:val="both"/>
        <w:ind w:left="260" w:right="3679" w:firstLine="258"/>
        <w:spacing w:after="0" w:line="252" w:lineRule="auto"/>
        <w:rPr>
          <w:sz w:val="20"/>
          <w:szCs w:val="20"/>
          <w:color w:val="auto"/>
        </w:rPr>
      </w:pPr>
      <w:r>
        <w:rPr>
          <w:rFonts w:ascii="Courier New" w:cs="Courier New" w:eastAsia="Courier New" w:hAnsi="Courier New"/>
          <w:sz w:val="14"/>
          <w:szCs w:val="14"/>
          <w:color w:val="auto"/>
        </w:rPr>
        <w:t>This clouds the voting results as to votes for directors and auditors, does not accurately reflect the desires of voting stockholders and skews the results. In a political election it would be tantamount to counting votes of those who do not vote as being in favor of the incumbent.</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THEREFORE IT IS RESOLVED, That the shareholders recommend that the Board of Directors take the necessary action to cause proxy balloting on nominees and items contained in the notice of the annual meeting to be tabulated for each nominee and proposal as in favor, opposed, abstain and returned unmarked. The decision shall be determined by the number of those voted in favor and opposed.</w:t>
      </w:r>
    </w:p>
    <w:p>
      <w:pPr>
        <w:spacing w:after="0" w:line="164" w:lineRule="exact"/>
        <w:rPr>
          <w:sz w:val="20"/>
          <w:szCs w:val="20"/>
          <w:color w:val="auto"/>
        </w:rPr>
      </w:pPr>
    </w:p>
    <w:p>
      <w:pPr>
        <w:ind w:left="260" w:right="3859" w:firstLine="258"/>
        <w:spacing w:after="0" w:line="255" w:lineRule="auto"/>
        <w:rPr>
          <w:sz w:val="20"/>
          <w:szCs w:val="20"/>
          <w:color w:val="auto"/>
        </w:rPr>
      </w:pPr>
      <w:r>
        <w:rPr>
          <w:rFonts w:ascii="Courier New" w:cs="Courier New" w:eastAsia="Courier New" w:hAnsi="Courier New"/>
          <w:sz w:val="14"/>
          <w:szCs w:val="14"/>
          <w:color w:val="auto"/>
        </w:rPr>
        <w:t>Unmarked ballots shall be considered only for the demonstration of a quorum.</w:t>
      </w:r>
    </w:p>
    <w:p>
      <w:pPr>
        <w:spacing w:after="0" w:line="160" w:lineRule="exact"/>
        <w:rPr>
          <w:sz w:val="20"/>
          <w:szCs w:val="20"/>
          <w:color w:val="auto"/>
        </w:rPr>
      </w:pPr>
    </w:p>
    <w:p>
      <w:pPr>
        <w:ind w:left="260" w:right="3599" w:firstLine="258"/>
        <w:spacing w:after="0" w:line="255" w:lineRule="auto"/>
        <w:rPr>
          <w:sz w:val="20"/>
          <w:szCs w:val="20"/>
          <w:color w:val="auto"/>
        </w:rPr>
      </w:pPr>
      <w:r>
        <w:rPr>
          <w:rFonts w:ascii="Courier New" w:cs="Courier New" w:eastAsia="Courier New" w:hAnsi="Courier New"/>
          <w:sz w:val="14"/>
          <w:szCs w:val="14"/>
          <w:color w:val="auto"/>
        </w:rPr>
        <w:t>For each nominee and proposal, stockholders shall be advised of the official results in the normal course of communication with stockholders."</w:t>
      </w:r>
    </w:p>
    <w:p>
      <w:pPr>
        <w:spacing w:after="0" w:line="160"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Exxon uses the same proxy voting procedure as the vast majority of other public corporations. For Exxon to use a different procedure could result in unnecessary confusion.</w:t>
      </w:r>
    </w:p>
    <w:p>
      <w:pPr>
        <w:spacing w:after="0" w:line="163" w:lineRule="exact"/>
        <w:rPr>
          <w:sz w:val="20"/>
          <w:szCs w:val="20"/>
          <w:color w:val="auto"/>
        </w:rPr>
      </w:pPr>
    </w:p>
    <w:p>
      <w:pPr>
        <w:ind w:left="260" w:right="3679" w:firstLine="258"/>
        <w:spacing w:after="0" w:line="252" w:lineRule="auto"/>
        <w:rPr>
          <w:sz w:val="20"/>
          <w:szCs w:val="20"/>
          <w:color w:val="auto"/>
        </w:rPr>
      </w:pPr>
      <w:r>
        <w:rPr>
          <w:rFonts w:ascii="Courier New" w:cs="Courier New" w:eastAsia="Courier New" w:hAnsi="Courier New"/>
          <w:sz w:val="14"/>
          <w:szCs w:val="14"/>
          <w:color w:val="auto"/>
        </w:rPr>
        <w:t>The proposal would deprive shareholders of a simple, easily understood way to vote for all of the Board of Directors' recommendations. It is based on the assumption that shareholders do not read or understand the clearly explained voting instructions.</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Exxon's proxy card provides shareholders the option to vote for, against, or to abstain on all items of business except the election of directors. In the case of directors, the shareholders may vote for or against each director. The proponent of this proposal assumes that shareholders who sign and return their proxy cards without marking specific items do not intend to cast their votes. It seems more likely that individuals who wish to be counted for quorum purposes, but do not want to vote on specific items, would simply mark "abstain".</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proxy card states in boldface letters that "If no other indication is made, the proxies shall vote (a) for the election of the director nominees and (b) in accordance with the recommendations of the Board of Directors on the other matters referred to on the reverse side." The Board believes that shareholders read proxy card instructions, understand this long-time practice, and fully intend to cast their votes in accordance with the instructions by simply and conveniently signing and returning the card.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IV-20</w:t>
      </w:r>
    </w:p>
    <w:p>
      <w:pPr>
        <w:sectPr>
          <w:pgSz w:w="11900" w:h="16838" w:orient="portrait"/>
          <w:cols w:equalWidth="0" w:num="1">
            <w:col w:w="10239"/>
          </w:cols>
          <w:pgMar w:left="220" w:top="616" w:right="1440" w:bottom="1440" w:gutter="0" w:footer="0" w:header="0"/>
        </w:sectPr>
      </w:pPr>
    </w:p>
    <w:bookmarkStart w:id="109" w:name="page110"/>
    <w:bookmarkEnd w:id="109"/>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Shareholder Proposal: Additional Report on Climate Change (Item 7 on Exxon's proxy card)</w:t>
      </w:r>
    </w:p>
    <w:p>
      <w:pPr>
        <w:spacing w:after="0" w:line="160" w:lineRule="exact"/>
        <w:rPr>
          <w:sz w:val="20"/>
          <w:szCs w:val="20"/>
          <w:color w:val="auto"/>
        </w:rPr>
      </w:pPr>
    </w:p>
    <w:p>
      <w:pPr>
        <w:ind w:left="260" w:right="3859" w:firstLine="258"/>
        <w:spacing w:after="0" w:line="252" w:lineRule="auto"/>
        <w:rPr>
          <w:sz w:val="20"/>
          <w:szCs w:val="20"/>
          <w:color w:val="auto"/>
        </w:rPr>
      </w:pPr>
      <w:r>
        <w:rPr>
          <w:rFonts w:ascii="Courier New" w:cs="Courier New" w:eastAsia="Courier New" w:hAnsi="Courier New"/>
          <w:sz w:val="14"/>
          <w:szCs w:val="14"/>
          <w:color w:val="auto"/>
        </w:rPr>
        <w:t>This proposal was submitted by The Province of St. Joseph of the Capuchin Order, 1015 North Ninth Street, Milwaukee, WI 53233 and twenty co-proponents.</w:t>
      </w:r>
    </w:p>
    <w:p>
      <w:pPr>
        <w:spacing w:after="0" w:line="163" w:lineRule="exact"/>
        <w:rPr>
          <w:sz w:val="20"/>
          <w:szCs w:val="20"/>
          <w:color w:val="auto"/>
        </w:rPr>
      </w:pPr>
    </w:p>
    <w:p>
      <w:pPr>
        <w:ind w:left="260" w:right="3779" w:firstLine="258"/>
        <w:spacing w:after="0" w:line="252" w:lineRule="auto"/>
        <w:rPr>
          <w:sz w:val="20"/>
          <w:szCs w:val="20"/>
          <w:color w:val="auto"/>
        </w:rPr>
      </w:pPr>
      <w:r>
        <w:rPr>
          <w:rFonts w:ascii="Courier New" w:cs="Courier New" w:eastAsia="Courier New" w:hAnsi="Courier New"/>
          <w:sz w:val="14"/>
          <w:szCs w:val="14"/>
          <w:color w:val="auto"/>
        </w:rPr>
        <w:t>"WHEREAS, this resolution's proponents are convinced overwhelming scientific evidence demonstrates that fossil fuel burning contributes to global warming.</w:t>
      </w:r>
    </w:p>
    <w:p>
      <w:pPr>
        <w:spacing w:after="0" w:line="163" w:lineRule="exact"/>
        <w:rPr>
          <w:sz w:val="20"/>
          <w:szCs w:val="20"/>
          <w:color w:val="auto"/>
        </w:rPr>
      </w:pPr>
    </w:p>
    <w:p>
      <w:pPr>
        <w:ind w:left="1120" w:right="4199" w:hanging="250"/>
        <w:spacing w:after="0" w:line="252" w:lineRule="auto"/>
        <w:tabs>
          <w:tab w:leader="none" w:pos="112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Despite this evidence, Exxon's management has led efforts which, we believe, undermine national and international responses addressing the problem:</w:t>
      </w:r>
    </w:p>
    <w:p>
      <w:pPr>
        <w:spacing w:after="0" w:line="163" w:lineRule="exact"/>
        <w:rPr>
          <w:sz w:val="20"/>
          <w:szCs w:val="20"/>
          <w:color w:val="auto"/>
        </w:rPr>
      </w:pPr>
    </w:p>
    <w:p>
      <w:pPr>
        <w:ind w:left="1120" w:right="3859" w:hanging="250"/>
        <w:spacing w:after="0" w:line="251"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last year's annual meeting shareholders had the opportunity to vote on the same resolution contained on these pages. However Lee R. Raymond stated (in regard to climate change): "What is perfectly clear is that 'nothing is clear.' There needs to be continuing public debate." On the one hand, management says it wants a debate; on the other, it has gone to the Securities and Exchange Commission trying to keep shareholders from voting on this resolution.</w:t>
      </w:r>
    </w:p>
    <w:p>
      <w:pPr>
        <w:spacing w:after="0" w:line="163" w:lineRule="exact"/>
        <w:rPr>
          <w:rFonts w:ascii="Courier New" w:cs="Courier New" w:eastAsia="Courier New" w:hAnsi="Courier New"/>
          <w:sz w:val="14"/>
          <w:szCs w:val="14"/>
          <w:color w:val="auto"/>
        </w:rPr>
      </w:pPr>
    </w:p>
    <w:p>
      <w:pPr>
        <w:ind w:left="1120" w:right="3779" w:hanging="250"/>
        <w:spacing w:after="0" w:line="252"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proponents of this resolution believe management's position is inaccurate, short-sighted and potentially damaging to the long-term financial interests of this company.</w:t>
      </w:r>
    </w:p>
    <w:p>
      <w:pPr>
        <w:spacing w:after="0" w:line="162" w:lineRule="exact"/>
        <w:rPr>
          <w:rFonts w:ascii="Courier New" w:cs="Courier New" w:eastAsia="Courier New" w:hAnsi="Courier New"/>
          <w:sz w:val="14"/>
          <w:szCs w:val="14"/>
          <w:color w:val="auto"/>
        </w:rPr>
      </w:pPr>
    </w:p>
    <w:p>
      <w:pPr>
        <w:ind w:left="1120" w:right="3859" w:hanging="250"/>
        <w:spacing w:after="0" w:line="251"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Last year, management urged shareholders to vote against the resolution, claiming without substantiation that "cuts in fossil fuel use ... would severely damage economies, industry and jobs." Yet 2000 economists have stated "the United States would be able to reduce its emissions to slow global warming without damaging the economy" (WP 2/14/97).</w:t>
      </w:r>
    </w:p>
    <w:p>
      <w:pPr>
        <w:spacing w:after="0" w:line="164" w:lineRule="exact"/>
        <w:rPr>
          <w:rFonts w:ascii="Courier New" w:cs="Courier New" w:eastAsia="Courier New" w:hAnsi="Courier New"/>
          <w:sz w:val="14"/>
          <w:szCs w:val="14"/>
          <w:color w:val="auto"/>
        </w:rPr>
      </w:pPr>
    </w:p>
    <w:p>
      <w:pPr>
        <w:ind w:left="1120" w:right="3779" w:hanging="250"/>
        <w:spacing w:after="0" w:line="252"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believe that management is part of a large-scale and highly-funded effort which is attempting to undermine existing public policy attempts to address the issue of human causation of global warming.</w:t>
      </w:r>
    </w:p>
    <w:p>
      <w:pPr>
        <w:spacing w:after="0" w:line="162" w:lineRule="exact"/>
        <w:rPr>
          <w:rFonts w:ascii="Courier New" w:cs="Courier New" w:eastAsia="Courier New" w:hAnsi="Courier New"/>
          <w:sz w:val="14"/>
          <w:szCs w:val="14"/>
          <w:color w:val="auto"/>
        </w:rPr>
      </w:pPr>
    </w:p>
    <w:p>
      <w:pPr>
        <w:ind w:left="1120" w:right="3679" w:hanging="250"/>
        <w:spacing w:after="0" w:line="252"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top two U.S. automobile companies have begun to make changes in their products which recognize the need to have less emissions from the burning of fossil fuels.</w:t>
      </w:r>
    </w:p>
    <w:p>
      <w:pPr>
        <w:spacing w:after="0" w:line="162" w:lineRule="exact"/>
        <w:rPr>
          <w:rFonts w:ascii="Courier New" w:cs="Courier New" w:eastAsia="Courier New" w:hAnsi="Courier New"/>
          <w:sz w:val="14"/>
          <w:szCs w:val="14"/>
          <w:color w:val="auto"/>
        </w:rPr>
      </w:pPr>
    </w:p>
    <w:p>
      <w:pPr>
        <w:ind w:left="1120" w:right="3939" w:hanging="250"/>
        <w:spacing w:after="0" w:line="250"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of the largest European fossil fuel companies, Royal Dutch Shell and British Petroleum, have already begun making decisions for their long-term growth which factor in the conclusions of the scientific community warning about the effect of fossil fuel combustion on climate change. John Browne, Group Chief Executive of BP America has stated: "The time to consider the policy dimensions of climate change is</w:t>
      </w:r>
    </w:p>
    <w:p>
      <w:pPr>
        <w:spacing w:after="0" w:line="3" w:lineRule="exact"/>
        <w:rPr>
          <w:rFonts w:ascii="Courier New" w:cs="Courier New" w:eastAsia="Courier New" w:hAnsi="Courier New"/>
          <w:sz w:val="14"/>
          <w:szCs w:val="14"/>
          <w:color w:val="auto"/>
        </w:rPr>
      </w:pPr>
    </w:p>
    <w:p>
      <w:pPr>
        <w:ind w:left="1120"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when the possibility cannot be discounted. ... We in BP have reached that point."</w:t>
      </w:r>
    </w:p>
    <w:p>
      <w:pPr>
        <w:spacing w:after="0" w:line="160" w:lineRule="exact"/>
        <w:rPr>
          <w:sz w:val="20"/>
          <w:szCs w:val="20"/>
          <w:color w:val="auto"/>
        </w:rPr>
      </w:pPr>
    </w:p>
    <w:p>
      <w:pPr>
        <w:ind w:left="1120" w:right="3779" w:hanging="250"/>
        <w:spacing w:after="0" w:line="251" w:lineRule="auto"/>
        <w:tabs>
          <w:tab w:leader="none" w:pos="112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an admission from an executive of a major competitor in the fossil fuel industry should have led Exxon's management to seriously re-examine the issue. Despite this, management continues to share with concerned shareholders and others only those opinions of scientists that agree with management's position. Many of these studies and/or scientists have been funded by management. We know of no case where such "evidence" regarding the burning of fossil fuels and climate change being proffered by such scientists has been subject to peer review.</w:t>
      </w:r>
    </w:p>
    <w:p>
      <w:pPr>
        <w:spacing w:after="0" w:line="329"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RESOLVED, Shareholders request the Board to create a committee of outside directors to independently review and issue (at reasonable cost and omitting proprietary information) a full report to shareholders by August, 1999 regarding the impact of climate change on our company's policies and practices. We recommend the following issues to be included: 1) any anticipated liabilities Exxon may incur from its possible contribution to the problem; 2) what Exxon can do to reduce carbon dioxide emissions from our fossil fuels.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you agree, please vote 'yes' for this resolution."</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IV-21</w:t>
      </w:r>
    </w:p>
    <w:p>
      <w:pPr>
        <w:sectPr>
          <w:pgSz w:w="11900" w:h="16838" w:orient="portrait"/>
          <w:cols w:equalWidth="0" w:num="1">
            <w:col w:w="10239"/>
          </w:cols>
          <w:pgMar w:left="220" w:top="616"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A similar proposal was presented by this same proponent at Exxon's 1998 annual meeting and was rejected by shareholders owning more than 95 percent of the shares voted.</w:t>
      </w:r>
    </w:p>
    <w:p>
      <w:pPr>
        <w:spacing w:after="0" w:line="16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proposal calls for a new Board committee to study global climate change. The Board believes such a committee would be an unwarranted duplication of effort since it is already kept well informed about this issue. The proposal also calls for a special report despite extensive, ongoing communications on this subject. Exxon already provides information to shareholders, employees, and the public through publications such as the annual report, The Lamp, Perspectives, special information booklets such as Global Climate Change:</w:t>
      </w:r>
    </w:p>
    <w:p>
      <w:pPr>
        <w:spacing w:after="0" w:line="164" w:lineRule="exact"/>
        <w:rPr>
          <w:sz w:val="20"/>
          <w:szCs w:val="20"/>
          <w:color w:val="auto"/>
        </w:rPr>
      </w:pPr>
    </w:p>
    <w:p>
      <w:pPr>
        <w:ind w:left="260" w:right="3679"/>
        <w:spacing w:after="0" w:line="252" w:lineRule="auto"/>
        <w:rPr>
          <w:sz w:val="20"/>
          <w:szCs w:val="20"/>
          <w:color w:val="auto"/>
        </w:rPr>
      </w:pPr>
      <w:r>
        <w:rPr>
          <w:rFonts w:ascii="Courier New" w:cs="Courier New" w:eastAsia="Courier New" w:hAnsi="Courier New"/>
          <w:sz w:val="14"/>
          <w:szCs w:val="14"/>
          <w:color w:val="auto"/>
        </w:rPr>
        <w:t>Everyone's Debate, and Exxon Initiatives Related to Global Climate, and executive speeches. These and other sources of information are available on Exxon's website (www.exxon.com).</w:t>
      </w:r>
    </w:p>
    <w:p>
      <w:pPr>
        <w:spacing w:after="0" w:line="16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Regrettably, in attempting to justify this proposal, the proponent has chosen to engage in personal allegations rather than address the major scientific, technical, economic, and social issues involved in the global climate change debate. The fact that Exxon's views are different from the proponent's is not an appropriate basis to characterize Exxon as "undermining public policy."</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Contrary to the proponent's claim, there is a broad range of interested and informed parties such as business, labor, consumer, agriculture, and other groups that, along with Exxon, are participating in legitimate public debate on this issue. This does not undermine public policy. It is an important component of the democratic process. Indeed, the views of most participants are similar to those of the U.S. Senate as expressed in Senate Resolution 98. The Senate passed (by a vote of 95-0) a resolution that the United States should not agree to a treaty that does not include specific mandated commitments by all nations or that would result in serious harm to the economy of the United States.</w:t>
      </w:r>
    </w:p>
    <w:p>
      <w:pPr>
        <w:spacing w:after="0" w:line="16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Similarly, statements by the proponent that scientific studies cited by Exxon are only those "funded by management" and have not been "subject to peer review" are incorrect. This is particularly disappointing since we have offered the proponent an opportunity to talk with numerous technical and economic experts. Had the proponent done so, it would have found that, contrary to the above assertion, the company has indeed cited numerous peer-reviewed studies in its communications regarding climate change.</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Earth's climate is affected by many complex variables. Throughout history, climate has fluctuated between periods of cooling and periods of warming. Some of those changes lasted hundreds of years, others hundreds of thousands. Over the past century, there has been a slight warming trend of one-half degree Celsius (about one degree Fahrenheit). This recent warming trend falls well within the range of the natural changes in the Earth's temperature over the past 250,000 years. The debate about climate change concerns whether this recent warming is primarily connected with our use of fossil fuels - coal, oil, and natural gas.</w:t>
      </w:r>
    </w:p>
    <w:p>
      <w:pPr>
        <w:spacing w:after="0" w:line="164"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Scientists concerned about global warming point to the greenhouse effect, a proven natural phenomenon. Water vapor and carbon dioxide (CO(2)) and other gases trap some of the sun's energy, creating a warming, or greenhouse effect. Nearly all CO(2) emissions come from natural sources. Only a small amount comes from burning fossil fuels. Does the tiny portion of greenhouse gases caused by burning fossil fuels have a measurable effect on worldwide climate? That is the crux of the debate.</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In December 1997, representatives from many governments attended meetings in Kyoto, Japan. The outcome of the meetings was a treaty which, if ratified, would commit certain countries to reduce CO(2) and other greenhouse gas emissions. The agreement would commit 38 developed countries, including the United States, to reduce their combined emissions an average of five percent below 1990 levels in the next 10 to 14 years. But the treaty excludes more than 130 developing countries from any commitments. It also left many implementation questions unanswered and little progress has been made since then in resolving these questions or in meeting the standards established by the Senate resolution.</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IV-22</w:t>
      </w:r>
    </w:p>
    <w:p>
      <w:pPr>
        <w:sectPr>
          <w:pgSz w:w="11900" w:h="16838" w:orient="portrait"/>
          <w:cols w:equalWidth="0" w:num="1">
            <w:col w:w="10239"/>
          </w:cols>
          <w:pgMar w:left="220" w:top="616" w:right="1440" w:bottom="1440" w:gutter="0" w:footer="0" w:header="0"/>
        </w:sectPr>
      </w:pPr>
    </w:p>
    <w:bookmarkStart w:id="111" w:name="page112"/>
    <w:bookmarkEnd w:id="111"/>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779" w:firstLine="258"/>
        <w:spacing w:after="0" w:line="251" w:lineRule="auto"/>
        <w:rPr>
          <w:sz w:val="20"/>
          <w:szCs w:val="20"/>
          <w:color w:val="auto"/>
        </w:rPr>
      </w:pPr>
      <w:r>
        <w:rPr>
          <w:rFonts w:ascii="Courier New" w:cs="Courier New" w:eastAsia="Courier New" w:hAnsi="Courier New"/>
          <w:sz w:val="14"/>
          <w:szCs w:val="14"/>
          <w:color w:val="auto"/>
        </w:rPr>
        <w:t>The published, peer-reviewed economic literature shows that the financial and social impact of these substantial, mandated fossil fuel reductions (through taxes, rationing, or other measures) would severely damage economies, industry, and jobs. Independent economists project that the targeted reductions in fossil-fuel would require price increases such as 40 percent for gasoline, 50 percent for home heating oil, 25 percent for electricity, and 50 percent for natural gas. These and other price hikes could cost the average American family of four about $2,700 a year. This work was confirmed by a government analysis (U.S. Department of Energy's Energy Information Administration-October 1998) which projects that meeting this target could increase U.S. energy prices by up to 83 percent and cost the economy over $300 billion annually.</w:t>
      </w:r>
    </w:p>
    <w:p>
      <w:pPr>
        <w:spacing w:after="0" w:line="329" w:lineRule="exact"/>
        <w:rPr>
          <w:sz w:val="20"/>
          <w:szCs w:val="20"/>
          <w:color w:val="auto"/>
        </w:rPr>
      </w:pPr>
    </w:p>
    <w:p>
      <w:pPr>
        <w:ind w:right="3779" w:firstLine="258"/>
        <w:spacing w:after="0" w:line="251" w:lineRule="auto"/>
        <w:rPr>
          <w:sz w:val="20"/>
          <w:szCs w:val="20"/>
          <w:color w:val="auto"/>
        </w:rPr>
      </w:pPr>
      <w:r>
        <w:rPr>
          <w:rFonts w:ascii="Courier New" w:cs="Courier New" w:eastAsia="Courier New" w:hAnsi="Courier New"/>
          <w:sz w:val="14"/>
          <w:szCs w:val="14"/>
          <w:color w:val="auto"/>
        </w:rPr>
        <w:t>Excluding developing nations from such reductions, which renders the Kyoto targets largely ineffective, will not prevent those countries from being hurt. Their exports will suffer as the economic growth of industrialized nations is impaired. In developing nations, reducing economic growth would mean fewer financial resources available for meeting real and immediate social needs, such as reduced poverty, clean drinking water, health care, and education.</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potential for climate change caused by elevated levels of CO(2) in the atmosphere is a legitimate concern, and reducing the scientific uncertainties is important. The public should support additional research on this issue. Industries should continue voluntary market-driven efforts to identify cost-effective ways to reduce energy use and emissions. Exxon and others are already working in areas such as energy efficiency and fuel switching-which means, for example, changing from coal to cleaner-burning natural gas. At Exxon, our refineries and chemical plants are 35 percent more energy-efficient today than they were 25 years ago. In addition, we operate or have an interest in 26 cogeneration plants around the world. Cogeneration makes steam and electricity simultaneously, using 30 percent less energy than making them separately.</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Advanced technology is one of the main tools industry is applying to reduce energy use and, with it, CO(2) emissions. Long-term research should continue to render substantial improvements - 50 percent to 100 percent--in energy efficiency. For example, Exxon is involved in several partnerships to develop advanced technology for greatly improved efficiency in transportation.</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Fortunately, all indications are that climate change is a very long-term phenomenon. The U.S. Congressional Office of Technology Assessment concluded, "Delaying the implementation of emissions controls for 10 to 20 years will have little effect on atmospheric concentrations of greenhouse gas emissions." We can make good use of that time. Researchers will be able to gain a better understanding of climate science. And there is a lot of research going on - about $2 billion worth a year in the U.S. alone. Exxon itself has funded studies by several major research organizations.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Exxon believes that sound science and sound economics should light the way as society addresses climate change. Patience is important as we allow facts to guide our course of action. With such an approach, the world can resolve global climate change in a way that also keeps economies healthy and growing. But the first step is an open and honest debate on the issue. Creating another Board committee and adding another special report are unnecessary, duplicative, and wasteful since the issue of global climate change is reviewed frequently with the full Board of Directors, the company has already produced extensive communications, and is committed to continue speaking out on this important matter.</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IV-23</w:t>
      </w:r>
    </w:p>
    <w:p>
      <w:pPr>
        <w:sectPr>
          <w:pgSz w:w="11900" w:h="16838" w:orient="portrait"/>
          <w:cols w:equalWidth="0" w:num="1">
            <w:col w:w="9979"/>
          </w:cols>
          <w:pgMar w:left="480" w:top="616"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Shareholder Proposal: Sexual Orientation Principles (Item 8 on Exxon's proxy card)</w:t>
      </w:r>
    </w:p>
    <w:p>
      <w:pPr>
        <w:spacing w:after="0" w:line="160" w:lineRule="exact"/>
        <w:rPr>
          <w:sz w:val="20"/>
          <w:szCs w:val="20"/>
          <w:color w:val="auto"/>
        </w:rPr>
      </w:pPr>
    </w:p>
    <w:p>
      <w:pPr>
        <w:ind w:left="260" w:right="3679" w:firstLine="258"/>
        <w:spacing w:after="0" w:line="255" w:lineRule="auto"/>
        <w:rPr>
          <w:sz w:val="20"/>
          <w:szCs w:val="20"/>
          <w:color w:val="auto"/>
        </w:rPr>
      </w:pPr>
      <w:r>
        <w:rPr>
          <w:rFonts w:ascii="Courier New" w:cs="Courier New" w:eastAsia="Courier New" w:hAnsi="Courier New"/>
          <w:sz w:val="14"/>
          <w:szCs w:val="14"/>
          <w:color w:val="auto"/>
        </w:rPr>
        <w:t>This proposal was submitted by Ms. Marianne Weil, Box 341, Orient, New York 11957 and three co-proponents.</w:t>
      </w:r>
    </w:p>
    <w:p>
      <w:pPr>
        <w:spacing w:after="0" w:line="160" w:lineRule="exact"/>
        <w:rPr>
          <w:sz w:val="20"/>
          <w:szCs w:val="20"/>
          <w:color w:val="auto"/>
        </w:rPr>
      </w:pPr>
    </w:p>
    <w:p>
      <w:pPr>
        <w:ind w:left="260" w:right="4119" w:firstLine="258"/>
        <w:spacing w:after="0" w:line="252" w:lineRule="auto"/>
        <w:rPr>
          <w:sz w:val="20"/>
          <w:szCs w:val="20"/>
          <w:color w:val="auto"/>
        </w:rPr>
      </w:pPr>
      <w:r>
        <w:rPr>
          <w:rFonts w:ascii="Courier New" w:cs="Courier New" w:eastAsia="Courier New" w:hAnsi="Courier New"/>
          <w:sz w:val="14"/>
          <w:szCs w:val="14"/>
          <w:color w:val="auto"/>
        </w:rPr>
        <w:t>"WHEREAS, our Company has pledged its commitment to principles of non-discrimination, but has not in written form explicitly barred discrimination based on sexual orientation;</w:t>
      </w:r>
    </w:p>
    <w:p>
      <w:pPr>
        <w:spacing w:after="0" w:line="16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WHEREAS, employment discrimination and the denial of equal benefits on</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the basis of sexual orientation diminishes employee morale and productivity;</w:t>
      </w:r>
    </w:p>
    <w:p>
      <w:pPr>
        <w:spacing w:after="0" w:line="173" w:lineRule="exact"/>
        <w:rPr>
          <w:sz w:val="20"/>
          <w:szCs w:val="20"/>
          <w:color w:val="auto"/>
        </w:rPr>
      </w:pPr>
    </w:p>
    <w:p>
      <w:pPr>
        <w:ind w:left="260" w:right="3859" w:firstLine="258"/>
        <w:spacing w:after="0" w:line="252" w:lineRule="auto"/>
        <w:rPr>
          <w:sz w:val="20"/>
          <w:szCs w:val="20"/>
          <w:color w:val="auto"/>
        </w:rPr>
      </w:pPr>
      <w:r>
        <w:rPr>
          <w:rFonts w:ascii="Courier New" w:cs="Courier New" w:eastAsia="Courier New" w:hAnsi="Courier New"/>
          <w:sz w:val="14"/>
          <w:szCs w:val="14"/>
          <w:color w:val="auto"/>
        </w:rPr>
        <w:t>WHEREAS, a National Gay and Lesbian Task Force study revealed that between 16% and 44% of gay men and lesbians in twenty cities nationwide have experienced some form of workplace harassment or discrimination related to their sexual orientation;</w:t>
      </w:r>
    </w:p>
    <w:p>
      <w:pPr>
        <w:spacing w:after="0" w:line="162" w:lineRule="exact"/>
        <w:rPr>
          <w:sz w:val="20"/>
          <w:szCs w:val="20"/>
          <w:color w:val="auto"/>
        </w:rPr>
      </w:pPr>
    </w:p>
    <w:p>
      <w:pPr>
        <w:ind w:left="260" w:right="3679" w:firstLine="258"/>
        <w:spacing w:after="0" w:line="252" w:lineRule="auto"/>
        <w:rPr>
          <w:sz w:val="20"/>
          <w:szCs w:val="20"/>
          <w:color w:val="auto"/>
        </w:rPr>
      </w:pPr>
      <w:r>
        <w:rPr>
          <w:rFonts w:ascii="Courier New" w:cs="Courier New" w:eastAsia="Courier New" w:hAnsi="Courier New"/>
          <w:sz w:val="14"/>
          <w:szCs w:val="14"/>
          <w:color w:val="auto"/>
        </w:rPr>
        <w:t>WHEREAS, San Francisco, Atlanta and New York have adopted and other jurisdictions are considering adopting legislation restricting business with companies which do not guarantee equal treatment for lesbian and gay employees;</w:t>
      </w:r>
    </w:p>
    <w:p>
      <w:pPr>
        <w:spacing w:after="0" w:line="162" w:lineRule="exact"/>
        <w:rPr>
          <w:sz w:val="20"/>
          <w:szCs w:val="20"/>
          <w:color w:val="auto"/>
        </w:rPr>
      </w:pPr>
    </w:p>
    <w:p>
      <w:pPr>
        <w:ind w:left="260" w:right="3939" w:firstLine="258"/>
        <w:spacing w:after="0" w:line="252" w:lineRule="auto"/>
        <w:rPr>
          <w:sz w:val="20"/>
          <w:szCs w:val="20"/>
          <w:color w:val="auto"/>
        </w:rPr>
      </w:pPr>
      <w:r>
        <w:rPr>
          <w:rFonts w:ascii="Courier New" w:cs="Courier New" w:eastAsia="Courier New" w:hAnsi="Courier New"/>
          <w:sz w:val="14"/>
          <w:szCs w:val="14"/>
          <w:color w:val="auto"/>
        </w:rPr>
        <w:t>WHEREAS, our company has operations in and makes sales to public institutions in states and cities which prohibit discrimination on the basis of sexual orientation;</w:t>
      </w:r>
    </w:p>
    <w:p>
      <w:pPr>
        <w:spacing w:after="0" w:line="163" w:lineRule="exact"/>
        <w:rPr>
          <w:sz w:val="20"/>
          <w:szCs w:val="20"/>
          <w:color w:val="auto"/>
        </w:rPr>
      </w:pPr>
    </w:p>
    <w:p>
      <w:pPr>
        <w:ind w:left="260" w:right="3779" w:firstLine="258"/>
        <w:spacing w:after="0" w:line="252" w:lineRule="auto"/>
        <w:rPr>
          <w:sz w:val="20"/>
          <w:szCs w:val="20"/>
          <w:color w:val="auto"/>
        </w:rPr>
      </w:pPr>
      <w:r>
        <w:rPr>
          <w:rFonts w:ascii="Courier New" w:cs="Courier New" w:eastAsia="Courier New" w:hAnsi="Courier New"/>
          <w:sz w:val="14"/>
          <w:szCs w:val="14"/>
          <w:color w:val="auto"/>
        </w:rPr>
        <w:t>WHEREAS, stakeholders in our company have an interest in preventing discrimination and resolving complaints internally to avoid costly litigation or damage to our reputation as an equal opportunity employer;</w:t>
      </w:r>
    </w:p>
    <w:p>
      <w:pPr>
        <w:spacing w:after="0" w:line="163" w:lineRule="exact"/>
        <w:rPr>
          <w:sz w:val="20"/>
          <w:szCs w:val="20"/>
          <w:color w:val="auto"/>
        </w:rPr>
      </w:pPr>
    </w:p>
    <w:p>
      <w:pPr>
        <w:ind w:left="260" w:right="3519" w:firstLine="258"/>
        <w:spacing w:after="0" w:line="255" w:lineRule="auto"/>
        <w:rPr>
          <w:sz w:val="20"/>
          <w:szCs w:val="20"/>
          <w:color w:val="auto"/>
        </w:rPr>
      </w:pPr>
      <w:r>
        <w:rPr>
          <w:rFonts w:ascii="Courier New" w:cs="Courier New" w:eastAsia="Courier New" w:hAnsi="Courier New"/>
          <w:sz w:val="14"/>
          <w:szCs w:val="14"/>
          <w:color w:val="auto"/>
        </w:rPr>
        <w:t>WHEREAS, numerous major companies in the petroleum and energy industries have written policy barring sexual orientation discrimination;</w:t>
      </w:r>
    </w:p>
    <w:p>
      <w:pPr>
        <w:spacing w:after="0" w:line="160"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WHEREAS, the hundreds of corporations that have adopted sexual orientation non-discrimination policies - including over 100 publicly-traded companies also providing spousal benefits to same-sex partners of employees - place themselves in a more competitive position to recruit and retain employees from the widest available pool of talent;</w:t>
      </w:r>
    </w:p>
    <w:p>
      <w:pPr>
        <w:spacing w:after="0" w:line="165"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WHEREAS, national polls have consistently found more than three-quarters of Americans support equal rights in the workplace for gay men, lesbians and bisexuals;</w:t>
      </w:r>
    </w:p>
    <w:p>
      <w:pPr>
        <w:spacing w:after="0" w:line="16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WHEREAS, prominent gay and lesbian political and community leaders have proposed "The Equality Principles on Sexual Orientation" to serve as guidelines for corporate policies:</w:t>
      </w:r>
    </w:p>
    <w:p>
      <w:pPr>
        <w:spacing w:after="0" w:line="163" w:lineRule="exact"/>
        <w:rPr>
          <w:sz w:val="20"/>
          <w:szCs w:val="20"/>
          <w:color w:val="auto"/>
        </w:rPr>
      </w:pPr>
    </w:p>
    <w:p>
      <w:pPr>
        <w:ind w:left="520" w:right="3599" w:hanging="253"/>
        <w:spacing w:after="0" w:line="257" w:lineRule="auto"/>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Explicit prohibitions against discrimination based on sexual orientation will be included in the company's written employment policy statement.</w:t>
      </w:r>
    </w:p>
    <w:p>
      <w:pPr>
        <w:spacing w:after="0" w:line="322" w:lineRule="exact"/>
        <w:rPr>
          <w:rFonts w:ascii="Courier New" w:cs="Courier New" w:eastAsia="Courier New" w:hAnsi="Courier New"/>
          <w:sz w:val="14"/>
          <w:szCs w:val="14"/>
          <w:color w:val="auto"/>
        </w:rPr>
      </w:pPr>
    </w:p>
    <w:p>
      <w:pPr>
        <w:ind w:left="520" w:right="4199" w:hanging="253"/>
        <w:spacing w:after="0" w:line="255" w:lineRule="auto"/>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Discrimination against HIV-positive employees or those with AIDS will be strictly prohibited.</w:t>
      </w:r>
    </w:p>
    <w:p>
      <w:pPr>
        <w:spacing w:after="0" w:line="159" w:lineRule="exact"/>
        <w:rPr>
          <w:rFonts w:ascii="Courier New" w:cs="Courier New" w:eastAsia="Courier New" w:hAnsi="Courier New"/>
          <w:sz w:val="14"/>
          <w:szCs w:val="14"/>
          <w:color w:val="auto"/>
        </w:rPr>
      </w:pPr>
    </w:p>
    <w:p>
      <w:pPr>
        <w:ind w:left="520" w:right="4199" w:hanging="253"/>
        <w:spacing w:after="0" w:line="255" w:lineRule="auto"/>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groups, regardless of sexual orientation, will be given equal standing with other employee associations.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Diversity training will include sexual orientation issues.</w:t>
      </w:r>
    </w:p>
    <w:p>
      <w:pPr>
        <w:spacing w:after="0" w:line="172" w:lineRule="exact"/>
        <w:rPr>
          <w:rFonts w:ascii="Courier New" w:cs="Courier New" w:eastAsia="Courier New" w:hAnsi="Courier New"/>
          <w:sz w:val="14"/>
          <w:szCs w:val="14"/>
          <w:color w:val="auto"/>
        </w:rPr>
      </w:pPr>
    </w:p>
    <w:p>
      <w:pPr>
        <w:ind w:left="520" w:right="3939" w:hanging="253"/>
        <w:spacing w:after="0" w:line="252" w:lineRule="auto"/>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Spousal benefits will be offered to domestic partners of employees, regardless of sexual orientation, on an equal basis with those granted to married employees.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IV-24</w:t>
      </w:r>
    </w:p>
    <w:p>
      <w:pPr>
        <w:sectPr>
          <w:pgSz w:w="11900" w:h="16838" w:orient="portrait"/>
          <w:cols w:equalWidth="0" w:num="1">
            <w:col w:w="10239"/>
          </w:cols>
          <w:pgMar w:left="220" w:top="616" w:right="1440" w:bottom="1440" w:gutter="0" w:footer="0" w:header="0"/>
        </w:sectPr>
      </w:pPr>
    </w:p>
    <w:bookmarkStart w:id="113" w:name="page114"/>
    <w:bookmarkEnd w:id="113"/>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4279" w:hanging="253"/>
        <w:spacing w:after="0" w:line="252" w:lineRule="auto"/>
        <w:tabs>
          <w:tab w:leader="none" w:pos="2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advertising policy will bar negative sexual orientation stereotypes and will not discriminate against advertising in publications on the basis of sexual orientation.</w:t>
      </w:r>
    </w:p>
    <w:p>
      <w:pPr>
        <w:spacing w:after="0" w:line="162" w:lineRule="exact"/>
        <w:rPr>
          <w:rFonts w:ascii="Courier New" w:cs="Courier New" w:eastAsia="Courier New" w:hAnsi="Courier New"/>
          <w:sz w:val="14"/>
          <w:szCs w:val="14"/>
          <w:color w:val="auto"/>
        </w:rPr>
      </w:pPr>
    </w:p>
    <w:p>
      <w:pPr>
        <w:ind w:left="260" w:right="4019" w:hanging="253"/>
        <w:spacing w:after="0" w:line="255" w:lineRule="auto"/>
        <w:tabs>
          <w:tab w:leader="none" w:pos="2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discriminate in the sale of goods or services on the basis of sexual orientation.</w:t>
      </w:r>
    </w:p>
    <w:p>
      <w:pPr>
        <w:spacing w:after="0" w:line="159" w:lineRule="exact"/>
        <w:rPr>
          <w:rFonts w:ascii="Courier New" w:cs="Courier New" w:eastAsia="Courier New" w:hAnsi="Courier New"/>
          <w:sz w:val="14"/>
          <w:szCs w:val="14"/>
          <w:color w:val="auto"/>
        </w:rPr>
      </w:pPr>
    </w:p>
    <w:p>
      <w:pPr>
        <w:ind w:left="260" w:right="3859" w:hanging="253"/>
        <w:spacing w:after="0" w:line="252" w:lineRule="auto"/>
        <w:tabs>
          <w:tab w:leader="none" w:pos="2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non-discrimination policies on sexual orientation must be disseminated throughout the company. A senior company official will be appointed to monitor compliance corporate wide.</w:t>
      </w:r>
    </w:p>
    <w:p>
      <w:pPr>
        <w:spacing w:after="0" w:line="163" w:lineRule="exact"/>
        <w:rPr>
          <w:sz w:val="20"/>
          <w:szCs w:val="20"/>
          <w:color w:val="auto"/>
        </w:rPr>
      </w:pPr>
    </w:p>
    <w:p>
      <w:pPr>
        <w:ind w:right="3939" w:firstLine="258"/>
        <w:spacing w:after="0" w:line="255" w:lineRule="auto"/>
        <w:rPr>
          <w:sz w:val="20"/>
          <w:szCs w:val="20"/>
          <w:color w:val="auto"/>
        </w:rPr>
      </w:pPr>
      <w:r>
        <w:rPr>
          <w:rFonts w:ascii="Courier New" w:cs="Courier New" w:eastAsia="Courier New" w:hAnsi="Courier New"/>
          <w:sz w:val="14"/>
          <w:szCs w:val="14"/>
          <w:color w:val="auto"/>
        </w:rPr>
        <w:t>RESOLVED, The Shareholders request the Board of Directors adopt and implement a written policy barring sexual orientation discrimination.</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SUPPORTING STATEMENT: Sexual orientation discrimination is a morally wrong and self-defeating business practice. By implementing an equitable policy, our Company will ensure a respectful and supportive atmosphere for all employees and enhance its competitive edge by joining the growing ranks of energy companies guaranteeing equal opportunity for all employees.</w:t>
      </w:r>
    </w:p>
    <w:p>
      <w:pPr>
        <w:spacing w:after="0" w:line="165" w:lineRule="exact"/>
        <w:rPr>
          <w:sz w:val="20"/>
          <w:szCs w:val="20"/>
          <w:color w:val="auto"/>
        </w:rPr>
      </w:pPr>
    </w:p>
    <w:p>
      <w:pPr>
        <w:ind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Exxon believes that its current policies on "Equal Employment Opportunity" and "Harassment in the Workplace" already meet the proponent's stated objective that the Corporation adopt a written policy barring discrimination based on the grounds of sexual orientation.</w:t>
      </w:r>
    </w:p>
    <w:p>
      <w:pPr>
        <w:spacing w:after="0" w:line="162"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When this issue was raised at last year's Annual Meeting of Shareholders, Mr. Lee Raymond, Chairman and Chief Executive Officer of the Corporation, stated that ". . . we have a policy to not discriminate against anybody for any reason, period."</w:t>
      </w:r>
    </w:p>
    <w:p>
      <w:pPr>
        <w:spacing w:after="0" w:line="162"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It has been Exxon's long-standing policy and practice to not tolerate discrimination or harassment of any kind in the workplace. Earlier this year, an updated "Harassment in the Workplace Policy" was issued to confirm and strengthen those underlying objectives. It provides in part:</w:t>
      </w:r>
    </w:p>
    <w:p>
      <w:pPr>
        <w:spacing w:after="0" w:line="162" w:lineRule="exact"/>
        <w:rPr>
          <w:sz w:val="20"/>
          <w:szCs w:val="20"/>
          <w:color w:val="auto"/>
        </w:rPr>
      </w:pPr>
    </w:p>
    <w:p>
      <w:pPr>
        <w:ind w:left="520" w:right="3599"/>
        <w:spacing w:after="0" w:line="251" w:lineRule="auto"/>
        <w:rPr>
          <w:sz w:val="20"/>
          <w:szCs w:val="20"/>
          <w:color w:val="auto"/>
        </w:rPr>
      </w:pPr>
      <w:r>
        <w:rPr>
          <w:rFonts w:ascii="Courier New" w:cs="Courier New" w:eastAsia="Courier New" w:hAnsi="Courier New"/>
          <w:sz w:val="14"/>
          <w:szCs w:val="14"/>
          <w:color w:val="auto"/>
        </w:rPr>
        <w:t>"It is the policy of Exxon Corporation to prohibit any form of unlawful harassment based on race, color, sex, religion, national origin, citizenship status, age, physical or mental disability or veteran status. In addition, the Corporation's harassment policy prohibits any other form of harassment. Such conduct, while perhaps not unlawful is considered unacceptable in Exxon's workplace."</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It is Exxon's practice to list as forms of harassment in its policies only those which are specifically prohibited by federal law. To name all possible examples of harassment could provide a long list which would only divert attention from the basic need for a harassment-free workplace. The revised language in the Harassment Policy makes it clear that "any other form of harassment" is prohibited. The Harassment Policy goes on to broadly define harassment as follows: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"Harassment is any inappropriate conduct which has the purpose or effect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600" w:hanging="335"/>
        <w:spacing w:after="0"/>
        <w:tabs>
          <w:tab w:leader="none" w:pos="6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Creating an intimidating, hostile, or offensive work environment;</w:t>
      </w:r>
    </w:p>
    <w:p>
      <w:pPr>
        <w:spacing w:after="0" w:line="7" w:lineRule="exact"/>
        <w:rPr>
          <w:rFonts w:ascii="Courier New" w:cs="Courier New" w:eastAsia="Courier New" w:hAnsi="Courier New"/>
          <w:sz w:val="14"/>
          <w:szCs w:val="14"/>
          <w:color w:val="auto"/>
        </w:rPr>
      </w:pPr>
    </w:p>
    <w:p>
      <w:pPr>
        <w:ind w:left="600" w:hanging="335"/>
        <w:spacing w:after="0"/>
        <w:tabs>
          <w:tab w:leader="none" w:pos="6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Unreasonably interfering with an individual's work performance; or</w:t>
      </w:r>
    </w:p>
    <w:p>
      <w:pPr>
        <w:spacing w:after="0" w:line="7" w:lineRule="exact"/>
        <w:rPr>
          <w:rFonts w:ascii="Courier New" w:cs="Courier New" w:eastAsia="Courier New" w:hAnsi="Courier New"/>
          <w:sz w:val="14"/>
          <w:szCs w:val="14"/>
          <w:color w:val="auto"/>
        </w:rPr>
      </w:pPr>
    </w:p>
    <w:p>
      <w:pPr>
        <w:ind w:left="600" w:hanging="335"/>
        <w:spacing w:after="0"/>
        <w:tabs>
          <w:tab w:leader="none" w:pos="6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an individual's employment opportunity."</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This definition of "harassment" and the language prohibiting harassment of any kind provide for a broad anti-discrimination policy that clearly encompasses discrimination on the basis of sexual orientation in the workplace. The Harassment Policy also sets forth the procedures for individuals to follow in the event they believe that they have been subjected to harassment. The Harassment Policy thus comprises a comprehensive</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IV-25</w:t>
      </w:r>
    </w:p>
    <w:p>
      <w:pPr>
        <w:sectPr>
          <w:pgSz w:w="11900" w:h="16838" w:orient="portrait"/>
          <w:cols w:equalWidth="0" w:num="1">
            <w:col w:w="9979"/>
          </w:cols>
          <w:pgMar w:left="480" w:top="616"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3939"/>
        <w:spacing w:after="0" w:line="252" w:lineRule="auto"/>
        <w:rPr>
          <w:sz w:val="20"/>
          <w:szCs w:val="20"/>
          <w:color w:val="auto"/>
        </w:rPr>
      </w:pPr>
      <w:r>
        <w:rPr>
          <w:rFonts w:ascii="Courier New" w:cs="Courier New" w:eastAsia="Courier New" w:hAnsi="Courier New"/>
          <w:sz w:val="14"/>
          <w:szCs w:val="14"/>
          <w:color w:val="auto"/>
        </w:rPr>
        <w:t>anti-harassment policy that is applicable to individuals who have been subjected to harassment or discrimination on the basis of sexual orientation.</w:t>
      </w:r>
    </w:p>
    <w:p>
      <w:pPr>
        <w:spacing w:after="0" w:line="163" w:lineRule="exact"/>
        <w:rPr>
          <w:sz w:val="20"/>
          <w:szCs w:val="20"/>
          <w:color w:val="auto"/>
        </w:rPr>
      </w:pPr>
    </w:p>
    <w:p>
      <w:pPr>
        <w:ind w:left="260" w:right="3679" w:firstLine="258"/>
        <w:spacing w:after="0" w:line="251" w:lineRule="auto"/>
        <w:rPr>
          <w:sz w:val="20"/>
          <w:szCs w:val="20"/>
          <w:color w:val="auto"/>
        </w:rPr>
      </w:pPr>
      <w:r>
        <w:rPr>
          <w:rFonts w:ascii="Courier New" w:cs="Courier New" w:eastAsia="Courier New" w:hAnsi="Courier New"/>
          <w:sz w:val="14"/>
          <w:szCs w:val="14"/>
          <w:color w:val="auto"/>
        </w:rPr>
        <w:t>In summary, the revised Harassment Policy makes it unequivocally clear that Exxon does not tolerate discrimination on any grounds, including sexual orientation. Thus, the Corporation has already implemented a written policy barring sexual orientation discrimination, and there is no need to make the changes recommended by the proponent.</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Section 16(a) of the Securities and Exchange Act of 1934 requires that our executive officers and directors file reports of their ownership and changes in ownership of Exxon stock on Forms 3, 4 and 5 with the SEC and the NYSE. In 1998, Mr. Esrey's initial filing on Form 3 inadvertently failed to report ownership of 380 shares of Exxon common stock. The error was corrected in a subsequent filing.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IV-26</w:t>
      </w:r>
    </w:p>
    <w:p>
      <w:pPr>
        <w:sectPr>
          <w:pgSz w:w="11900" w:h="16838" w:orient="portrait"/>
          <w:cols w:equalWidth="0" w:num="1">
            <w:col w:w="10239"/>
          </w:cols>
          <w:pgMar w:left="220" w:top="616" w:right="1440" w:bottom="1440" w:gutter="0" w:footer="0" w:header="0"/>
        </w:sectPr>
      </w:pPr>
    </w:p>
    <w:bookmarkStart w:id="115" w:name="page116"/>
    <w:bookmarkEnd w:id="115"/>
    <w:p>
      <w:pPr>
        <w:jc w:val="center"/>
        <w:ind w:right="3339"/>
        <w:spacing w:after="0"/>
        <w:rPr>
          <w:sz w:val="20"/>
          <w:szCs w:val="20"/>
          <w:color w:val="auto"/>
        </w:rPr>
      </w:pPr>
      <w:r>
        <w:rPr>
          <w:rFonts w:ascii="Courier New" w:cs="Courier New" w:eastAsia="Courier New" w:hAnsi="Courier New"/>
          <w:sz w:val="14"/>
          <w:szCs w:val="14"/>
          <w:color w:val="auto"/>
        </w:rPr>
        <w:t>CHAPTER FIVE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OTHER MOBIL ANNUAL MEETING PROPOSALS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PROPOSAL: ELECTION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on Mobil's proxy card)</w:t>
      </w:r>
    </w:p>
    <w:p>
      <w:pPr>
        <w:spacing w:after="0" w:line="173" w:lineRule="exact"/>
        <w:rPr>
          <w:sz w:val="20"/>
          <w:szCs w:val="20"/>
          <w:color w:val="auto"/>
        </w:rPr>
      </w:pPr>
    </w:p>
    <w:p>
      <w:pPr>
        <w:ind w:right="3859" w:firstLine="517"/>
        <w:spacing w:after="0" w:line="251" w:lineRule="auto"/>
        <w:rPr>
          <w:sz w:val="20"/>
          <w:szCs w:val="20"/>
          <w:color w:val="auto"/>
        </w:rPr>
      </w:pPr>
      <w:r>
        <w:rPr>
          <w:rFonts w:ascii="Courier New" w:cs="Courier New" w:eastAsia="Courier New" w:hAnsi="Courier New"/>
          <w:sz w:val="14"/>
          <w:szCs w:val="14"/>
          <w:color w:val="auto"/>
        </w:rPr>
        <w:t>The Mobil Board is classified into three classes, as nearly equal in number as possible. The members of the Board serve for three years. The terms of office of the members of one class of directors expire each year in rotation so that the members of one class are elected at each annual meeting for full three-year terms. The terms of office of four of the present directors will expire at this annual meeting.</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We wish to advise you that Robert O. Swanson, a director since 1991 and an Executive Vice President, retired on August 1, 1998, after more than 39 years of service to Mobil. We also wish to advise you that Lewis M. Branscomb, a director since 1978, and Allen F. Jacobson, a director since 1988, will each resign effective May 1, 1999, in accordance with our retirement policies. We deeply appreciate Messrs. Swanson's, Brancomb's and Jacobson's contributions to Mobil.</w:t>
      </w:r>
    </w:p>
    <w:p>
      <w:pPr>
        <w:spacing w:after="0" w:line="164" w:lineRule="exact"/>
        <w:rPr>
          <w:sz w:val="20"/>
          <w:szCs w:val="20"/>
          <w:color w:val="auto"/>
        </w:rPr>
      </w:pPr>
    </w:p>
    <w:p>
      <w:pPr>
        <w:jc w:val="both"/>
        <w:ind w:right="3939" w:firstLine="517"/>
        <w:spacing w:after="0" w:line="252" w:lineRule="auto"/>
        <w:rPr>
          <w:sz w:val="20"/>
          <w:szCs w:val="20"/>
          <w:color w:val="auto"/>
        </w:rPr>
      </w:pPr>
      <w:r>
        <w:rPr>
          <w:rFonts w:ascii="Courier New" w:cs="Courier New" w:eastAsia="Courier New" w:hAnsi="Courier New"/>
          <w:sz w:val="14"/>
          <w:szCs w:val="14"/>
          <w:color w:val="auto"/>
        </w:rPr>
        <w:t>Four directors have been nominated for election to three-year terms expiring at the annual meeting in 2002 or until completion of the merger, if earlier. The terms of the other directors will continue as indicated below.</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ages of directors are as of March 1, 1999.</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Mobil Board recommends you vote FOR each of the nominees listed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TERMS EXPIRING IN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UNTIL COMPLETION OF THE MERGER, IF EARLIER)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Charles A. Heimbold, Jr.</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Since 1995, Mr. Heimbold has been chairman and</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chief executive officer of Bristol-Myers Squibb</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Company, a manufacturer of consumer products</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and pharmaceuticals.</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He served as president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 Bristol-Myers Squibb Company from 1992 to</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Charles A. Heimbold, Jr.]</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1994 and president and chief executive</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officer from 1994 to 1995.  Mr. Heimbold is</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 member of Mobil's Audit Committee,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Age 65</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Committee on Directors and Board Affairs and</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Director since 1995</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Finance Committee.</w:t>
            </w: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6640" w:type="dxa"/>
            <w:vAlign w:val="bottom"/>
            <w:gridSpan w:val="4"/>
          </w:tcPr>
          <w:p>
            <w:pPr>
              <w:ind w:left="1740"/>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Samuel C. Johnson</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Mr. Johnson is chairman of the board of S. C.</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Johnson &amp; Son, Inc., a manufacturer of chemical</w:t>
            </w:r>
          </w:p>
        </w:tc>
      </w:tr>
      <w:tr>
        <w:trPr>
          <w:trHeight w:val="166"/>
        </w:trPr>
        <w:tc>
          <w:tcPr>
            <w:tcW w:w="238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specialty products.  He is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also a director of</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Deere and Company, H.</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J.</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Heinz Company, a</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Director and chairman of Johnson International</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Samuel C. Johnson]</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Inc., and a director and chairman of Johnson</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Worldwide Associates, Inc.  Mr. Johnson is</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chairman of Mobil's Public Issues Committee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Age 70</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and a member of Mobil's Management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Director since 1981</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Compensation and Organization Committee.</w:t>
            </w:r>
          </w:p>
        </w:tc>
      </w:tr>
    </w:tbl>
    <w:p>
      <w:pPr>
        <w:spacing w:after="0" w:line="1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w:t>
      </w:r>
    </w:p>
    <w:p>
      <w:pPr>
        <w:sectPr>
          <w:pgSz w:w="11900" w:h="16838" w:orient="portrait"/>
          <w:cols w:equalWidth="0" w:num="1">
            <w:col w:w="10239"/>
          </w:cols>
          <w:pgMar w:left="220" w:top="450"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Helene L. Kaplan</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Mrs. Kaplan is Of Counsel to Skadden, Arps,</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Slate, Meagher &amp; Flom LLP, a law firm which</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Mobil and/or affiliates of Mobil retained during</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1998 and 1999.</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Mrs.  Kaplan is also a</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director of Bell Atlantic Corporation, Chase</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Helene L. Kaplan]</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Manhattan Corporation, the May Department</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Stores Company and Metropolitan Life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Insurance Company.  Mrs.  Kaplan is a member</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of Mobil's Audit Committee, Committee on</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 65</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Directors and Board Affairs and Finance</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Director since 1989</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Committee.</w:t>
            </w:r>
          </w:p>
        </w:tc>
        <w:tc>
          <w:tcPr>
            <w:tcW w:w="2800" w:type="dxa"/>
            <w:vAlign w:val="bottom"/>
          </w:tcPr>
          <w:p>
            <w:pPr>
              <w:spacing w:after="0"/>
              <w:rPr>
                <w:sz w:val="14"/>
                <w:szCs w:val="14"/>
                <w:color w:val="auto"/>
              </w:rPr>
            </w:pPr>
          </w:p>
        </w:tc>
      </w:tr>
      <w:tr>
        <w:trPr>
          <w:trHeight w:val="331"/>
        </w:trPr>
        <w:tc>
          <w:tcPr>
            <w:tcW w:w="168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Mrs. Peters is a partner in Gibson, Dunn &amp;</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Crutcher, a law firm which Mobil and/or</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affiliates of Mobil retained during 1998 and may</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retain in 1999.</w:t>
            </w:r>
          </w:p>
        </w:tc>
        <w:tc>
          <w:tcPr>
            <w:tcW w:w="2800" w:type="dxa"/>
            <w:vAlign w:val="bottom"/>
          </w:tcPr>
          <w:p>
            <w:pPr>
              <w:ind w:left="140"/>
              <w:spacing w:after="0"/>
              <w:rPr>
                <w:sz w:val="20"/>
                <w:szCs w:val="20"/>
                <w:color w:val="auto"/>
              </w:rPr>
            </w:pPr>
            <w:r>
              <w:rPr>
                <w:rFonts w:ascii="Courier New" w:cs="Courier New" w:eastAsia="Courier New" w:hAnsi="Courier New"/>
                <w:sz w:val="14"/>
                <w:szCs w:val="14"/>
                <w:color w:val="auto"/>
              </w:rPr>
              <w:t>She is also a director of</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the Minnesota Mining and Manufacturing</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Company, Callaway Golf Company, Merrill Lynch</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&amp; Co. and Northrop Grumman Corporation.  Mrs.</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Peters is a member of Mobil's Audit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 57</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Committee, Finance Committee and Public</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Director since 1992</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Issues Committee.</w:t>
            </w:r>
          </w:p>
        </w:tc>
      </w:tr>
    </w:tbl>
    <w:p>
      <w:pPr>
        <w:spacing w:after="0" w:line="1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WHOSE TERMS EXPIRE IN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UPON COMPLETION OF THE MERGER, IF EARLIER)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Mr. Renna</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joined Mobil in 1968 and has been</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and Chief Operating Officer since</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March 1, 1998.  From 1996 until March 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1998, Mr. Renna was an executive vice</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president with responsibility for the North</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America Marketing and Refining, Europe/Former</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Soviet Union, South America and Supply,</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Trading and Transportation business groups</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and, from September 1, 1997, with</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responsibility also for the North America</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Exploration and Producing business group.</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From 1986</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to 1996, he was an executive vice</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Mobil Oil Corporation and</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its Marketing and Refining</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Division.  He has been a director of</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Mobil Oil Corporation since 1985.  Mr. Renna</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Age 54</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is a director of Brands, Inc. and is a</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Director since 1986</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member of Mobil's Executive Committee.</w:t>
            </w:r>
          </w:p>
        </w:tc>
      </w:tr>
    </w:tbl>
    <w:p>
      <w:pPr>
        <w:spacing w:after="0" w:line="1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w:t>
      </w:r>
    </w:p>
    <w:p>
      <w:pPr>
        <w:sectPr>
          <w:pgSz w:w="11900" w:h="16838" w:orient="portrait"/>
          <w:cols w:equalWidth="0" w:num="1">
            <w:col w:w="10239"/>
          </w:cols>
          <w:pgMar w:left="220" w:top="616" w:right="1440" w:bottom="1440" w:gutter="0" w:footer="0" w:header="0"/>
        </w:sectPr>
      </w:pPr>
    </w:p>
    <w:bookmarkStart w:id="117" w:name="page118"/>
    <w:bookmarkEnd w:id="117"/>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V. Fites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V. Fites]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Fites is the former chairman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Caterpillar Inc., a</w:t>
      </w:r>
    </w:p>
    <w:p>
      <w:pPr>
        <w:spacing w:after="0" w:line="7"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4"/>
          <w:szCs w:val="14"/>
          <w:color w:val="auto"/>
        </w:rPr>
        <w:t>manufacturer of heavy machinery.</w:t>
        <w:tab/>
        <w:t>He is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director of Caterpillar Inc., AT&amp;T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Georgia-Pacific Corporation and Wolverine</w:t>
      </w:r>
    </w:p>
    <w:p>
      <w:pPr>
        <w:spacing w:after="0" w:line="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World Wide, Inc.</w:t>
        <w:tab/>
        <w:t>Mr. Fites is a member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Mobil's Committee on Directors and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Affairs, Finance Committee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Sanford,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Sanford,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Sanford is the retired chairman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Bankers Trust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its principal subsidiary, Bankers Trust</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He is also a director of J. C. Penney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 Mr. Sanford is chairman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Mobil's Finance Committee and a member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on Directors and Board Affairs.</w:t>
      </w:r>
    </w:p>
    <w:p>
      <w:pPr>
        <w:spacing w:after="0" w:line="173" w:lineRule="exact"/>
        <w:rPr>
          <w:sz w:val="20"/>
          <w:szCs w:val="20"/>
          <w:color w:val="auto"/>
        </w:rPr>
      </w:pPr>
    </w:p>
    <w:p>
      <w:pPr>
        <w:sectPr>
          <w:pgSz w:w="11900" w:h="16838" w:orient="portrait"/>
          <w:cols w:equalWidth="0" w:num="2">
            <w:col w:w="1980" w:space="6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G. Schwartz</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G. Schwartz]</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Schwartz is the former chairman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president and chief executive officer of</w:t>
      </w:r>
    </w:p>
    <w:p>
      <w:pPr>
        <w:spacing w:after="0" w:line="7"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4"/>
          <w:szCs w:val="14"/>
          <w:color w:val="auto"/>
        </w:rPr>
        <w:t>Metropolitan Life Insurance Company.</w:t>
        <w:tab/>
        <w:t>He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Metropolitan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COMSAT Corporation, Lone Star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Lowe's Companies, Inc. and Potlatch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is a member of the board of trustees of</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Consolidated Edison Company of New York.</w:t>
      </w:r>
      <w:r>
        <w:rPr>
          <w:sz w:val="20"/>
          <w:szCs w:val="20"/>
          <w:color w:val="auto"/>
        </w:rPr>
        <w:tab/>
      </w:r>
      <w:r>
        <w:rPr>
          <w:rFonts w:ascii="Courier New" w:cs="Courier New" w:eastAsia="Courier New" w:hAnsi="Courier New"/>
          <w:sz w:val="13"/>
          <w:szCs w:val="13"/>
          <w:color w:val="auto"/>
        </w:rPr>
        <w:t>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Schwartz is Chairman of Mobil's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 and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its Public Issues 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Iain D. T. Vallance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Iain D. T. Vallance]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Vallance is chairman of British</w:t>
      </w:r>
    </w:p>
    <w:p>
      <w:pPr>
        <w:spacing w:after="0" w:line="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4"/>
          <w:szCs w:val="14"/>
          <w:color w:val="auto"/>
        </w:rPr>
        <w:t>Telecommunications plc.</w:t>
        <w:tab/>
        <w:t>He also serves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vice-chairman of The Royal Bank of Scotland.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Vallance is a member of Mobil's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Finance Committee and Public Issues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V-3</w:t>
      </w:r>
    </w:p>
    <w:p>
      <w:pPr>
        <w:sectPr>
          <w:pgSz w:w="11900" w:h="16838" w:orient="portrait"/>
          <w:cols w:equalWidth="0" w:num="1">
            <w:col w:w="10239"/>
          </w:cols>
          <w:pgMar w:left="220" w:top="616" w:right="1440" w:bottom="1440" w:gutter="0" w:footer="0" w:header="0"/>
          <w:type w:val="continuous"/>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WHOSE TERMS EXPIRE IN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UPON COMPLETION OF THE MERGER, IF EARLIER)</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Richard Munro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Richard Munro]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1997, Mr. Munro has been chairman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Genentech, Inc., a manufacturer of</w:t>
      </w:r>
    </w:p>
    <w:p>
      <w:pPr>
        <w:spacing w:after="0" w:line="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pharmaceuticals.</w:t>
        <w:tab/>
        <w:t>He is the former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executive committee of the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co-chairman of the board and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Time-Warner Inc.,</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a publishing and communications company.</w:t>
      </w:r>
      <w:r>
        <w:rPr>
          <w:sz w:val="20"/>
          <w:szCs w:val="20"/>
          <w:color w:val="auto"/>
        </w:rPr>
        <w:tab/>
      </w:r>
      <w:r>
        <w:rPr>
          <w:rFonts w:ascii="Courier New" w:cs="Courier New" w:eastAsia="Courier New" w:hAnsi="Courier New"/>
          <w:sz w:val="13"/>
          <w:szCs w:val="13"/>
          <w:color w:val="auto"/>
        </w:rPr>
        <w: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also a director of Kmart Corporation, The</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Kellogg Company and Sensormatic Company.</w:t>
      </w:r>
      <w:r>
        <w:rPr>
          <w:sz w:val="20"/>
          <w:szCs w:val="20"/>
          <w:color w:val="auto"/>
        </w:rPr>
        <w:tab/>
      </w:r>
      <w:r>
        <w:rPr>
          <w:rFonts w:ascii="Courier New" w:cs="Courier New" w:eastAsia="Courier New" w:hAnsi="Courier New"/>
          <w:sz w:val="13"/>
          <w:szCs w:val="13"/>
          <w:color w:val="auto"/>
        </w:rPr>
        <w:t>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Munro is a member of Mobil's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Public Issues 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Lucio A. Noto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Lucip A. Noto]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Noto joined Mobil in 1962 and has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 since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1994.</w:t>
        <w:tab/>
        <w:t>He was president and chief operating</w:t>
      </w:r>
    </w:p>
    <w:p>
      <w:pPr>
        <w:spacing w:after="0" w:line="7"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4"/>
          <w:szCs w:val="14"/>
          <w:color w:val="auto"/>
        </w:rPr>
        <w:t>officer from 1993 until March 1, 1998.</w:t>
        <w:tab/>
        <w: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been a director of Mobil Oil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1986 and 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Mobil Oil</w:t>
      </w:r>
    </w:p>
    <w:p>
      <w:pPr>
        <w:spacing w:after="0" w:line="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4"/>
          <w:szCs w:val="14"/>
          <w:color w:val="auto"/>
        </w:rPr>
        <w:t>Corporation since 1994.</w:t>
        <w:tab/>
        <w:t>He is also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International Business Machines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 Philip Morris Companies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Noto is chairman of Mobil's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200"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spacing w:after="0" w:line="1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BOARD OF DIRECTORS PROPOSAL: APPROVAL AND RATIFICATION OF APPOINTMENT OF INDEPENDENT AUDITORS FOR FISCAL YEAR 1999 (Item 3 on Mobil's proxy card)</w:t>
      </w:r>
    </w:p>
    <w:p>
      <w:pPr>
        <w:spacing w:after="0" w:line="160" w:lineRule="exact"/>
        <w:rPr>
          <w:sz w:val="20"/>
          <w:szCs w:val="20"/>
          <w:color w:val="auto"/>
        </w:rPr>
      </w:pPr>
    </w:p>
    <w:p>
      <w:pPr>
        <w:ind w:right="3939" w:firstLine="517"/>
        <w:spacing w:after="0" w:line="251" w:lineRule="auto"/>
        <w:rPr>
          <w:sz w:val="20"/>
          <w:szCs w:val="20"/>
          <w:color w:val="auto"/>
        </w:rPr>
      </w:pPr>
      <w:r>
        <w:rPr>
          <w:rFonts w:ascii="Courier New" w:cs="Courier New" w:eastAsia="Courier New" w:hAnsi="Courier New"/>
          <w:sz w:val="14"/>
          <w:szCs w:val="14"/>
          <w:color w:val="auto"/>
        </w:rPr>
        <w:t>The Mobil Board desires, in accordance with its established policy, to obtain from you an indication of your approval or disapproval of the Board's appointment of Ernst &amp; Young LLP, Fairfax Square-Tower II, 8075 Leesburg Pike, Vienna, Virginia 22182-2709, as independent auditors of Mobil and its subsidiaries for 1999.</w:t>
      </w:r>
    </w:p>
    <w:p>
      <w:pPr>
        <w:spacing w:after="0" w:line="165"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Ernst &amp; Young LLP has been serving Mobil and its subsidiaries for many years. It has no direct financial interest or any material indirect financial interest in Mobil or any of its subsidiaries. While serving as independent auditor, Ernst &amp; Young LLP has had no connection with Mobil or any of its subsidiaries as promoter, underwriter, voting trustee, director, officer or employee. During 1998, Ernst &amp; Young LLP rendered audit services amounting to $12.9 million.</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Audit Committee recommended and the Mobil Board approved the</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appointment of Ernst &amp; Young LLP as independent auditors.</w:t>
        <w:tab/>
        <w:t>The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reviewed the performance of Ernst &amp; Young LLP in prior years as 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firm's reputation for integrity and competence in the fields of</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4"/>
          <w:szCs w:val="14"/>
          <w:color w:val="auto"/>
        </w:rPr>
        <w:t>accounting and auditing, and the status of litigation involving the firm.</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 is satisfied with Ernst &amp; Young LLP in these respects.</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Representatives of Ernst &amp; Young LLP will be present at the Mobil meeting to respond to appropriate questions from those of you attending the meeting and to make such statements as they may desire.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V-4</w:t>
      </w:r>
    </w:p>
    <w:p>
      <w:pPr>
        <w:sectPr>
          <w:pgSz w:w="11900" w:h="16838" w:orient="portrait"/>
          <w:cols w:equalWidth="0" w:num="1">
            <w:col w:w="10239"/>
          </w:cols>
          <w:pgMar w:left="220" w:top="616" w:right="1440" w:bottom="1440" w:gutter="0" w:footer="0" w:header="0"/>
          <w:type w:val="continuous"/>
        </w:sectPr>
      </w:pPr>
    </w:p>
    <w:bookmarkStart w:id="119" w:name="page120"/>
    <w:bookmarkEnd w:id="119"/>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Mobil Board recommends you vote FOR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resolution which will be presented at the meeting:</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"RESOLVED, that the appointment, by the Board of Directors of the Corporation, of Ernst &amp; Young LLP as independent auditors of the Corporation and its subsidiary companies, for fiscal year 1999, be and hereby is approved and ratified."</w:t>
      </w:r>
    </w:p>
    <w:p>
      <w:pPr>
        <w:spacing w:after="0" w:line="16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If the resolution is defeated, the adverse vote will be considered a direction to the Mobil Board to select other auditors for the following year. However, because of the difficulty and expense in making any substitution of auditors so long after the beginning of the current year, it is contemplated that the appointment for the year 1999 will be permitted to stand unless the Mobil Board finds other good reasons for making a change.</w:t>
      </w:r>
    </w:p>
    <w:p>
      <w:pPr>
        <w:spacing w:after="0" w:line="330"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SHAREHOLDER PROPOSALS</w:t>
        <w:tab/>
        <w:t>(Items 4 and 5 on Mobil's proxy card)</w:t>
      </w:r>
    </w:p>
    <w:p>
      <w:pPr>
        <w:spacing w:after="0" w:line="17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We expect the following proposals to be presented by shareholders at the annual meeting. Following SEC rules, we are reprinting the proposals and supporting statements as they were submitted to us. We take no responsibility for them.</w:t>
      </w:r>
    </w:p>
    <w:p>
      <w:pPr>
        <w:spacing w:after="0" w:line="162"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Shareholder Proposal: Voting of Signed but Unmarked Proxies (Item 4 on Mobil's proxy card)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following proposal was</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submitted by J.F.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Quilter, 500</w:t>
            </w:r>
          </w:p>
        </w:tc>
        <w:tc>
          <w:tcPr>
            <w:tcW w:w="90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Westridge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Drive, Portola Valley,</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California 94028,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the owner of</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1,352.6814</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shares of</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Mobil common stock:</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0" w:lineRule="exact"/>
        <w:rPr>
          <w:sz w:val="20"/>
          <w:szCs w:val="20"/>
          <w:color w:val="auto"/>
        </w:rPr>
      </w:pPr>
    </w:p>
    <w:p>
      <w:pPr>
        <w:ind w:left="520" w:right="3779" w:firstLine="517"/>
        <w:spacing w:after="0" w:line="252" w:lineRule="auto"/>
        <w:rPr>
          <w:sz w:val="20"/>
          <w:szCs w:val="20"/>
          <w:color w:val="auto"/>
        </w:rPr>
      </w:pPr>
      <w:r>
        <w:rPr>
          <w:rFonts w:ascii="Courier New" w:cs="Courier New" w:eastAsia="Courier New" w:hAnsi="Courier New"/>
          <w:sz w:val="14"/>
          <w:szCs w:val="14"/>
          <w:color w:val="auto"/>
        </w:rPr>
        <w:t>WHEREAS, it is the usual practice for annual stockholders' meeting announcements to include a statement to the effect that if no direction is made the proxy will be voted for the nominations made or positions held by management.</w:t>
      </w:r>
    </w:p>
    <w:p>
      <w:pPr>
        <w:spacing w:after="0" w:line="162"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This clouds the voting results as to votes for directors and auditors, does not accurately reflect the desires of voting stockholders and skews the results. In a political election it would be tantamount to counting votes of those who do not vote as being in favor of the incumbent.</w:t>
      </w:r>
    </w:p>
    <w:p>
      <w:pPr>
        <w:spacing w:after="0" w:line="165"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THEREFORE, it is RESOLVED that the shareholders recommend that the Board of Directors take the necessary action to cause proxy balloting on nominees and items contained in the notice of the annual meeting to be tabulated for each nominee and proposal as in favor, opposed, abstain and returned unmarked. The decision shall be determined by the number of those voted in favor and opposed.</w:t>
      </w:r>
    </w:p>
    <w:p>
      <w:pPr>
        <w:spacing w:after="0" w:line="164" w:lineRule="exact"/>
        <w:rPr>
          <w:sz w:val="20"/>
          <w:szCs w:val="20"/>
          <w:color w:val="auto"/>
        </w:rPr>
      </w:pPr>
    </w:p>
    <w:p>
      <w:pPr>
        <w:ind w:left="520" w:right="3779" w:firstLine="517"/>
        <w:spacing w:after="0" w:line="255" w:lineRule="auto"/>
        <w:rPr>
          <w:sz w:val="20"/>
          <w:szCs w:val="20"/>
          <w:color w:val="auto"/>
        </w:rPr>
      </w:pPr>
      <w:r>
        <w:rPr>
          <w:rFonts w:ascii="Courier New" w:cs="Courier New" w:eastAsia="Courier New" w:hAnsi="Courier New"/>
          <w:sz w:val="14"/>
          <w:szCs w:val="14"/>
          <w:color w:val="auto"/>
        </w:rPr>
        <w:t>Unmarked ballots shall be considered only for the demonstration of a quorum.</w:t>
      </w:r>
    </w:p>
    <w:p>
      <w:pPr>
        <w:spacing w:after="0" w:line="160" w:lineRule="exact"/>
        <w:rPr>
          <w:sz w:val="20"/>
          <w:szCs w:val="20"/>
          <w:color w:val="auto"/>
        </w:rPr>
      </w:pPr>
    </w:p>
    <w:p>
      <w:pPr>
        <w:ind w:left="520" w:right="3779" w:firstLine="517"/>
        <w:spacing w:after="0" w:line="252" w:lineRule="auto"/>
        <w:rPr>
          <w:sz w:val="20"/>
          <w:szCs w:val="20"/>
          <w:color w:val="auto"/>
        </w:rPr>
      </w:pPr>
      <w:r>
        <w:rPr>
          <w:rFonts w:ascii="Courier New" w:cs="Courier New" w:eastAsia="Courier New" w:hAnsi="Courier New"/>
          <w:sz w:val="14"/>
          <w:szCs w:val="14"/>
          <w:color w:val="auto"/>
        </w:rPr>
        <w:t>For each nominee and proposal, stockholders shall be advised of the official results in the normal course of communication with stockholders.</w:t>
      </w:r>
    </w:p>
    <w:p>
      <w:pPr>
        <w:spacing w:after="0" w:line="163" w:lineRule="exact"/>
        <w:rPr>
          <w:sz w:val="20"/>
          <w:szCs w:val="20"/>
          <w:color w:val="auto"/>
        </w:rPr>
      </w:pPr>
    </w:p>
    <w:p>
      <w:pPr>
        <w:ind w:right="4639" w:firstLine="517"/>
        <w:spacing w:after="0" w:line="255" w:lineRule="auto"/>
        <w:rPr>
          <w:sz w:val="20"/>
          <w:szCs w:val="20"/>
          <w:color w:val="auto"/>
        </w:rPr>
      </w:pPr>
      <w:r>
        <w:rPr>
          <w:rFonts w:ascii="Courier New" w:cs="Courier New" w:eastAsia="Courier New" w:hAnsi="Courier New"/>
          <w:sz w:val="14"/>
          <w:szCs w:val="14"/>
          <w:color w:val="auto"/>
        </w:rPr>
        <w:t>The Mobil Board recommends you vote AGAINST the adoption of this proposal.</w:t>
      </w:r>
    </w:p>
    <w:p>
      <w:pPr>
        <w:spacing w:after="0" w:line="160"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As permitted by applicable laws and regulations, and consistent with the practice of virtually all public corporations, Mobil advises shareholders that if they sign, date and return their proxy cards without indicating how they wish to vote, their proxies will be voted in accordance with the Board's recommendations. This entirely lawful and customary procedure serves as a convenience to those shareholders who wish to vote on all matters as management recommends. The proponent asserts that the procedure "clouds the voting results. . . , does not accurately reflect the desires</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of voting stockholders and skews the results." However, it in no way affects the rights of any shareholder to vote in opposition to management's recommendations on any or all matters or to abstain from voting: a shareholder need only mark the appropriate boxes on the proxy card to record his or her votes. Accordingly, the Mobil Board strongly disagrees with the proponent's assertion.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V-5</w:t>
      </w:r>
    </w:p>
    <w:p>
      <w:pPr>
        <w:sectPr>
          <w:pgSz w:w="11900" w:h="16838" w:orient="portrait"/>
          <w:cols w:equalWidth="0" w:num="1">
            <w:col w:w="10239"/>
          </w:cols>
          <w:pgMar w:left="220" w:top="616"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the foregoing reasons, the Mobil Board recommends you vote AGAINST the adoption of the proposal.</w:t>
      </w:r>
    </w:p>
    <w:p>
      <w:pPr>
        <w:spacing w:after="0" w:line="160"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Shareholder Proposal: Global Warming</w:t>
        <w:tab/>
        <w:t>(Item 5 on Mobil's proxy card)</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following proposal was submitted by Friends of the Earth Action, 1025 Vermont Avenue, NW #300, Washington, DC 20005-6303 and the National Council of the Churches of Christ in the USA, 475 Riverside Drive, New York, New York 10115-0050, which state that they are the holders of a total of 5,858 shares of Mobil common stock, and six other shareholders who state that they hold 60,900 shares of Mobil common stock in the aggregate and whose names and addresses will be furnished on request: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WHEREAS:</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The overwhelming majority of independent, peer-reviewed atmospheric scientists agree that global warming is not hypothetical but a real, existing problem posing serious challenges for modern civilization;</w:t>
      </w:r>
    </w:p>
    <w:p>
      <w:pPr>
        <w:spacing w:after="0" w:line="162"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The impacts of global warming on our public health and welfare include increased occurrence of extreme weather events, sea-level rise, increased spread of infectious diseases, and more frequent and deadly heat waves like the summer of 1998 which was linked to more than 150 deaths in Texas alone.</w:t>
      </w:r>
    </w:p>
    <w:p>
      <w:pPr>
        <w:spacing w:after="0" w:line="165"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British Petroleum and Royal Dutch Shell have already begun making decisions for their long-term growth which factor in the conclusions of the scientific community warning about the effect of fossil fuel combustion on climate change. John Browne, Group Chief Executive of BP America has stated: "The time to consider the policy dimensions of climate change is...when the possibility cannot be discounted.... We in BP have reached that point."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WE BELIEVE:</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It will cost U.S. taxpayers billions of dollars to combat the impacts of global warming. So far, our company has not lived up to its responsibility as a producer of the pollution which causes global warming. In order to leave the children of the world a safe and healthy environment, and protect threatened plants and animals, it is time for Mobil to catch up with other companies who are preparing for the future now by taking the concrete steps necessary to assess their opportunities for reducing the amount of carbon pollution they produce. Failing to rise to the challenge set by industry leaders will hurt our company's competitiveness and cost our shareholders increasing amounts of money.</w:t>
      </w:r>
    </w:p>
    <w:p>
      <w:pPr>
        <w:spacing w:after="0" w:line="163"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RESOLVED: that the shareholders of Mobil request that the Board of Directors report (at reasonable costs and omitting proprietary information), to shareholders by August 1999, on the greenhouse gas emissions from our company's own operations and products, including (with dollar amounts where relevant) (i) what our company is doing in research and/or action to reduce those emissions and ameliorate the problem, (ii) the financial exposure of our company and its shareholders due to the likely costs of reducing those emissions and potential liability for damages associated with climate change, and</w:t>
      </w:r>
    </w:p>
    <w:p>
      <w:pPr>
        <w:spacing w:after="0" w:line="4" w:lineRule="exact"/>
        <w:rPr>
          <w:sz w:val="20"/>
          <w:szCs w:val="20"/>
          <w:color w:val="auto"/>
        </w:rPr>
      </w:pPr>
    </w:p>
    <w:p>
      <w:pPr>
        <w:jc w:val="both"/>
        <w:ind w:left="520" w:right="4199" w:firstLine="5"/>
        <w:spacing w:after="0" w:line="252" w:lineRule="auto"/>
        <w:tabs>
          <w:tab w:leader="none" w:pos="103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by our company, or by the industry associations to which it pays dues, promoting the view that the issue of climate change is exaggerated, not real, or that global warming may be beneficial.</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SUPPORTING STATEMENT</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We believe that Mobil is exposing its shareholders to financial risk by continuing to produce unnecessary amounts of the pollution which causes global warming, even as the problem of climate change becomes more severe, more widely understood, and more likely to lead to legislation that will penalize excessive carbon polluters. Furthermore, we believe that our company is incurring costs for advertising and lobbying to suggest that the problem of global warming is exaggerated, not real, or too costly to deal with; and thus using our prestige and influence to delay any lessening of climate change.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V-6</w:t>
      </w:r>
    </w:p>
    <w:p>
      <w:pPr>
        <w:sectPr>
          <w:pgSz w:w="11900" w:h="16838" w:orient="portrait"/>
          <w:cols w:equalWidth="0" w:num="1">
            <w:col w:w="10239"/>
          </w:cols>
          <w:pgMar w:left="220" w:top="616" w:right="1440" w:bottom="1440" w:gutter="0" w:footer="0" w:header="0"/>
        </w:sectPr>
      </w:pPr>
    </w:p>
    <w:bookmarkStart w:id="121" w:name="page122"/>
    <w:bookmarkEnd w:id="121"/>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The Mobil Board recommends you vote AGAINST the adoption of this proposal.</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Mobil has consistently communicated its view that all energy resources, including our products, should be used wisely. Furthermore, Mobil has undertaken numerous energy-saving initiatives in the interest of maximizing the efficiency of its operations. Information on these measures, as well as Mobil's position on global climate change, is already widely available in publications such as Mobil's opinion-editorials appearing in major newspapers and magazines worldwide, in Mobil's climate primer entitled, "Global Climate Change: Issues, Impacts and Solutions," in Mobil World, and in the special global climate section of Mobil's web site which can be found at www.mobil.com.</w:t>
      </w:r>
    </w:p>
    <w:p>
      <w:pPr>
        <w:spacing w:after="0" w:line="164"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In addition, Mobil's Annual Environmental, Health and Safety Report will include this year, for the first time, an inventory of carbon emissions</w:t>
      </w:r>
    </w:p>
    <w:p>
      <w:pPr>
        <w:spacing w:after="0" w:line="1"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from Mobil's global operations in 1998. These figures will also be available on Mobil's web site. Thus, the Mobil Board believes that Mobil is fulfilling its obligations to the public and its shareholders by sharing information on its views about, and its extensive activities relating to, global warming. Therefore, the Board recommends that you vote against this proposal.</w:t>
      </w:r>
    </w:p>
    <w:p>
      <w:pPr>
        <w:spacing w:after="0" w:line="327"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Mobil has stated that it is concerned about the possible impacts of human emissions of greenhouse gases on the world's climate. However, Mobil believes that a system of mandated emission targets as embodied in the Kyoto Protocol is the wrong approach to addressing this issue. The magnitude and timing of potential climate change or the effectiveness of proposed solutions and their impacts on the quality of life are not understood. Yet there are many voluntary steps that are being taken to use our energy resources more wisely. And there are promising technologies that can make a sizeable difference in the future.</w:t>
      </w:r>
    </w:p>
    <w:p>
      <w:pPr>
        <w:spacing w:after="0" w:line="164" w:lineRule="exact"/>
        <w:rPr>
          <w:sz w:val="20"/>
          <w:szCs w:val="20"/>
          <w:color w:val="auto"/>
        </w:rPr>
      </w:pPr>
    </w:p>
    <w:p>
      <w:pPr>
        <w:ind w:right="3939" w:firstLine="517"/>
        <w:spacing w:after="0" w:line="251" w:lineRule="auto"/>
        <w:rPr>
          <w:sz w:val="20"/>
          <w:szCs w:val="20"/>
          <w:color w:val="auto"/>
        </w:rPr>
      </w:pPr>
      <w:r>
        <w:rPr>
          <w:rFonts w:ascii="Courier New" w:cs="Courier New" w:eastAsia="Courier New" w:hAnsi="Courier New"/>
          <w:sz w:val="14"/>
          <w:szCs w:val="14"/>
          <w:color w:val="auto"/>
        </w:rPr>
        <w:t>We have also stated, "The choice at this time is not between action and inaction, but between responsible actions and actions that put our economy and business at risk." Mobil supports prudent voluntary cost-effective actions now while learning more about climate change and the possible responses to its effects.</w:t>
      </w:r>
    </w:p>
    <w:p>
      <w:pPr>
        <w:spacing w:after="0" w:line="165"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To enhance its learning about these issues, Mobil actively supports climate change research programs at universities and leading institutions. Mobil supports two efforts at the Massachusetts Institute of Technology: the Joint Program on Science and Policy of Global Changes, and the Energy Choices for a Greenhouse Constrained World. Mobil also supports the Battelle Northwest Study: A Global Energy Technology Strategy to Address Climate Change. These are independent groups that share our desire to find some common-sense answers to the questions asked in the climate change debate.</w:t>
      </w:r>
    </w:p>
    <w:p>
      <w:pPr>
        <w:spacing w:after="0" w:line="329" w:lineRule="exact"/>
        <w:rPr>
          <w:sz w:val="20"/>
          <w:szCs w:val="20"/>
          <w:color w:val="auto"/>
        </w:rPr>
      </w:pPr>
    </w:p>
    <w:p>
      <w:pPr>
        <w:ind w:right="3779" w:firstLine="517"/>
        <w:spacing w:after="0" w:line="250" w:lineRule="auto"/>
        <w:rPr>
          <w:sz w:val="20"/>
          <w:szCs w:val="20"/>
          <w:color w:val="auto"/>
        </w:rPr>
      </w:pPr>
      <w:r>
        <w:rPr>
          <w:rFonts w:ascii="Courier New" w:cs="Courier New" w:eastAsia="Courier New" w:hAnsi="Courier New"/>
          <w:sz w:val="14"/>
          <w:szCs w:val="14"/>
          <w:color w:val="auto"/>
        </w:rPr>
        <w:t>Contrary to the assertions in this resolution, Mobil is taking "concrete steps" to assess opportunities for reducing greenhouse gases from its operations. While we seek to learn more about the science of climate change, Mobil remains committed to research and development efforts that assess technologies that reduce emissions of greenhouse gases. In addition to tracking emissions from Mobil facilities, we are implementing projects to reduce flaring and venting in our operations in the North Sea and offshore Nigeria. Mobil is also supporting projects to counter emissions through initiatives such as our reforestation projects with American Forest. Mobil's joint venture with Ford Motor Company, called "Let's Drive for a Better Future," will develop new energy-efficient fuel and power-train technologies as well as assess opportunities involving direct-injection diesel, hydrocarbon processors for fuel-cell systems, and alternative fuels. These efforts will result in significant contributions toward the efficient and low emissions use of Mobil products.</w:t>
      </w:r>
    </w:p>
    <w:p>
      <w:pPr>
        <w:spacing w:after="0" w:line="17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Mobil also participates in the International Energy Agency's Greenhouse Gas Research and Development Program, which includes technology assessment, and research and development target-setting for the oil and petrochemical industry. Mobil has installed energy saving technologies at refineries, undertaken energy management audits and worked to reduce gas flaring in our offshore producing fields. Mobil participates in government programs to promote energy efficiency in office buildings and has been recognized by the U.S. EPA for a host of awards. In addition, use of Mobil's industry-leading synthetic lubricants has measurable energy efficiency benefits in many applications.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V-7</w:t>
      </w:r>
    </w:p>
    <w:p>
      <w:pPr>
        <w:sectPr>
          <w:pgSz w:w="11900" w:h="16838" w:orient="portrait"/>
          <w:cols w:equalWidth="0" w:num="1">
            <w:col w:w="10239"/>
          </w:cols>
          <w:pgMar w:left="220" w:top="616"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4019" w:firstLine="517"/>
        <w:spacing w:after="0" w:line="252" w:lineRule="auto"/>
        <w:rPr>
          <w:sz w:val="20"/>
          <w:szCs w:val="20"/>
          <w:color w:val="auto"/>
        </w:rPr>
      </w:pPr>
      <w:r>
        <w:rPr>
          <w:rFonts w:ascii="Courier New" w:cs="Courier New" w:eastAsia="Courier New" w:hAnsi="Courier New"/>
          <w:sz w:val="14"/>
          <w:szCs w:val="14"/>
          <w:color w:val="auto"/>
        </w:rPr>
        <w:t>Mobil has cut its carbon emissions by more than one million metric tons in the past three years. In addition to being effective, our emissions reduction programs are economically logical and justified.</w:t>
      </w:r>
    </w:p>
    <w:p>
      <w:pPr>
        <w:spacing w:after="0" w:line="163"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With its continued support for scientific research, Mobil is taking a leadership role in the effort to achieve an understanding of how man-made emissions affect climate. Mobil believes that while such an understanding is being pursued, reasonable companies should take actions to reduce greenhouse emissions within the framework of good economic sense. Mobil is doing just that.</w:t>
      </w:r>
    </w:p>
    <w:p>
      <w:pPr>
        <w:spacing w:after="0" w:line="164"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the foregoing reasons, the Mobil Board recommends you vote AGAINST the adoption of the proposal.</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V-8</w:t>
      </w:r>
    </w:p>
    <w:p>
      <w:pPr>
        <w:sectPr>
          <w:pgSz w:w="11900" w:h="16838" w:orient="portrait"/>
          <w:cols w:equalWidth="0" w:num="1">
            <w:col w:w="10239"/>
          </w:cols>
          <w:pgMar w:left="220" w:top="616" w:right="1440" w:bottom="1440" w:gutter="0" w:footer="0" w:header="0"/>
        </w:sectPr>
      </w:pPr>
    </w:p>
    <w:bookmarkStart w:id="123" w:name="page124"/>
    <w:bookmarkEnd w:id="123"/>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MOBIL 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Meetings</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During 1998, the Mobil Board met 11 times and all current directors attended more than 75 percent of the meetings of the Mobil Board and their respective Board committees.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Compensation</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Mobil employees receive no extra pay for serving on the Mobil Board or its committees. Each non-employee director receives an annual retainer comprised of $36,000 and 600 shares of Mobil common stock in the form of deferred common share equivalents. Non-employee directors also receive a fee of $1,250 for each Board meeting and committee meeting attended, plus travel allowances where appropriate. Directors who chair committees receive additional annual fees of $8,000. Non-employee directors may not participate in Mobil's incentive compensation or other employee benefit programs. However, Mobil provides $100,000 of non-contributory group life insurance and $500,000 of accidental death insurance for accidents occurring while on Mobil business.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Under the deferred fee plan, non-employee directors may defer, until retirement, receipt of all or a part of their fees and the cash portion of their annual retainers. Deferred amounts may either be credited with notional interest or be represented by common share equivalents which earn notional dividends equal to dividends declared on Mobil common stock. Notional interest on deferred cash accounts is credited at the average rate for 10-year U.S. Treasury bonds over a six-month period, plus 1%, currently 6.08% per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of the Mobil Board</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Mobil Board appoints standing committees to help carry out its duties. The functions and current membership of the five standing committees established by the Mobil Board are described below. Each committee meets regularly during the year and promptly following each meeting advises the full Board of its actions and recommendations. Each committee is composed entirely of non-employee directors.</w:t>
      </w:r>
    </w:p>
    <w:p>
      <w:pPr>
        <w:spacing w:after="0" w:line="330"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Audit Committee, established in 1969, reviews with the independent auditors and Mobil's General Auditor the general scope of their respective audit coverages. Such reviews include consideration of Mobil's accounting practices, procedures and system of internal accounting controls and any significant problems encountered. The committee also recommends to the Board the appointment of Mobil's principal independent auditors.</w:t>
      </w:r>
    </w:p>
    <w:p>
      <w:pPr>
        <w:spacing w:after="0" w:line="164" w:lineRule="exact"/>
        <w:rPr>
          <w:sz w:val="20"/>
          <w:szCs w:val="20"/>
          <w:color w:val="auto"/>
        </w:rPr>
      </w:pPr>
    </w:p>
    <w:p>
      <w:pPr>
        <w:ind w:left="520" w:right="3779" w:firstLine="517"/>
        <w:spacing w:after="0" w:line="252" w:lineRule="auto"/>
        <w:rPr>
          <w:sz w:val="20"/>
          <w:szCs w:val="20"/>
          <w:color w:val="auto"/>
        </w:rPr>
      </w:pPr>
      <w:r>
        <w:rPr>
          <w:rFonts w:ascii="Courier New" w:cs="Courier New" w:eastAsia="Courier New" w:hAnsi="Courier New"/>
          <w:sz w:val="14"/>
          <w:szCs w:val="14"/>
          <w:color w:val="auto"/>
        </w:rPr>
        <w:t>At least annually, the committee reviews the services performed and the fees charged by Mobil's independent auditors and determines that the non-audit services rendered by the independent auditors do not compromise their independence.</w:t>
      </w:r>
    </w:p>
    <w:p>
      <w:pPr>
        <w:spacing w:after="0" w:line="162"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independent auditors and Mobil's General Auditor have direct access to the committee and may discuss with it any matters which may arise in connection with audits, the maintenance of internal accounting controls or any other matters relating to Mobil's financial affairs. Furthermore, the committee may authorize the independent auditors to investigate any matters which the committee deems appropriate and may present its recommendations and conclusions to the Board.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V-9</w:t>
      </w:r>
    </w:p>
    <w:p>
      <w:pPr>
        <w:sectPr>
          <w:pgSz w:w="11900" w:h="16838" w:orient="portrait"/>
          <w:cols w:equalWidth="0" w:num="1">
            <w:col w:w="10239"/>
          </w:cols>
          <w:pgMar w:left="220" w:top="616"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Lewis M. Branscomb (Chairman)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Charles A. Heimbold,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Helene L. Kaplan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Aulana L. Peters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Iain D. T. Vallance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Meetings last year: four.</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on Directors and Board Affairs, established in 1977, reviews and makes recommendations to the Board regarding: corporate governance matters, including effectiveness of the Board, its committees and individual directors; procedures of the Board and its committees; and the composition, duties and responsibilities of the committees. The committee also reviews and makes recommendations to the Board regarding compensation and meeting fees of non-employee directors.</w:t>
      </w:r>
    </w:p>
    <w:p>
      <w:pPr>
        <w:spacing w:after="0" w:line="164"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In addition, the committee proposes to the Board a slate of directors for election by the shareholders at the annual meeting and identifies and proposes to the Board candidates to fill Board vacancies. The committee considers suggestions from many sources, including shareholders, regarding possible candidates for director.</w:t>
      </w:r>
    </w:p>
    <w:p>
      <w:pPr>
        <w:spacing w:after="0" w:line="165" w:lineRule="exact"/>
        <w:rPr>
          <w:sz w:val="20"/>
          <w:szCs w:val="20"/>
          <w:color w:val="auto"/>
        </w:rPr>
      </w:pPr>
    </w:p>
    <w:p>
      <w:pPr>
        <w:ind w:left="520" w:right="4199" w:firstLine="517"/>
        <w:spacing w:after="0" w:line="255" w:lineRule="auto"/>
        <w:rPr>
          <w:sz w:val="20"/>
          <w:szCs w:val="20"/>
          <w:color w:val="auto"/>
        </w:rPr>
      </w:pPr>
      <w:r>
        <w:rPr>
          <w:rFonts w:ascii="Courier New" w:cs="Courier New" w:eastAsia="Courier New" w:hAnsi="Courier New"/>
          <w:sz w:val="14"/>
          <w:szCs w:val="14"/>
          <w:color w:val="auto"/>
        </w:rPr>
        <w:t>The committee will consider your suggestions for possible director candidates if you follow the procedure described below:</w:t>
      </w:r>
    </w:p>
    <w:p>
      <w:pPr>
        <w:spacing w:after="0" w:line="160"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You should send your nomination(s) to the Secretary of the Committee on Directors and Board Affairs, Mobil Corporation, 3225 Gallows Road, Fairfax, Virginia 22037-0001. Your nomination(s) should describe the qualifications of the candidate and should be accompanied by a written statement that the candidate is willing to serve and is committed to representing the interests of all the shareholders. Candidates must be endorsed by a member of the Committee on Directors and Board Affairs or be supported by the holders of not less than 200 shares of common stock. This number is subject to periodic review by the Committee on Directors and Board Affairs.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You may also make your nomination(s) at an annual shareholders' meeting in the manner provided in the Mobil by-laws. The Mobil by-laws require, among other things, that you provide written notice of your nomination(s) to Mobil at least 90 days before the anniversary date of the preceding annual meeting. For a description of the full procedure governing these nominations, you should read the Mobil by-laws. You may obtain a copy of the Mobil by-laws from the Secretary of Mobil. At any meeting of shareholders, the presiding officer may refuse to acknowledge the nomination of any person not made in compliance with the procedure specified in the Mobil by-laws.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Allen F. Jacobson (Chairman)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Charles A. Heimbold,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Helene L. Kaplan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Charles S. Sanford, Jr.</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Meetings last year: two.</w:t>
      </w:r>
    </w:p>
    <w:p>
      <w:pPr>
        <w:spacing w:after="0" w:line="173" w:lineRule="exact"/>
        <w:rPr>
          <w:sz w:val="20"/>
          <w:szCs w:val="20"/>
          <w:color w:val="auto"/>
        </w:rPr>
      </w:pPr>
    </w:p>
    <w:p>
      <w:pPr>
        <w:ind w:left="520" w:right="3339" w:firstLine="517"/>
        <w:spacing w:after="0" w:line="252" w:lineRule="auto"/>
        <w:rPr>
          <w:sz w:val="20"/>
          <w:szCs w:val="20"/>
          <w:color w:val="auto"/>
        </w:rPr>
      </w:pPr>
      <w:r>
        <w:rPr>
          <w:rFonts w:ascii="Courier New" w:cs="Courier New" w:eastAsia="Courier New" w:hAnsi="Courier New"/>
          <w:sz w:val="14"/>
          <w:szCs w:val="14"/>
          <w:color w:val="auto"/>
        </w:rPr>
        <w:t>The Management Compensation and Organization Committee, established in 1960, reviews, approves and recommends to the Mobil Board: (1) Mobil's employee and management compensation and benefit policies; (2) management incentive compensation plans, including stock option plans; (3) the amount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V-10</w:t>
      </w:r>
    </w:p>
    <w:p>
      <w:pPr>
        <w:sectPr>
          <w:pgSz w:w="11900" w:h="16838" w:orient="portrait"/>
          <w:cols w:equalWidth="0" w:num="1">
            <w:col w:w="10239"/>
          </w:cols>
          <w:pgMar w:left="220" w:top="616" w:right="1440" w:bottom="1440" w:gutter="0" w:footer="0" w:header="0"/>
        </w:sectPr>
      </w:pPr>
    </w:p>
    <w:bookmarkStart w:id="125" w:name="page126"/>
    <w:bookmarkEnd w:id="125"/>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and form of compensation of employee directors and senior managers of Mobil; and (4) all senior management appointments and any significant structural changes in the management and organization of Mobil. The committee also administers the Mobil incentive compensation and stock option plans.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Robert G. Schwartz (Chairman)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Allen F. Jacobson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Samuel C. Johnson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 Richard Munro</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Meetings last year: six.</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report of the committee on executive compensation starts on page V-12.</w:t>
      </w:r>
    </w:p>
    <w:p>
      <w:pPr>
        <w:spacing w:after="0" w:line="160" w:lineRule="exact"/>
        <w:rPr>
          <w:sz w:val="20"/>
          <w:szCs w:val="20"/>
          <w:color w:val="auto"/>
        </w:rPr>
      </w:pPr>
    </w:p>
    <w:p>
      <w:pPr>
        <w:ind w:right="3859" w:firstLine="517"/>
        <w:spacing w:after="0" w:line="250" w:lineRule="auto"/>
        <w:rPr>
          <w:sz w:val="20"/>
          <w:szCs w:val="20"/>
          <w:color w:val="auto"/>
        </w:rPr>
      </w:pPr>
      <w:r>
        <w:rPr>
          <w:rFonts w:ascii="Courier New" w:cs="Courier New" w:eastAsia="Courier New" w:hAnsi="Courier New"/>
          <w:sz w:val="14"/>
          <w:szCs w:val="14"/>
          <w:color w:val="auto"/>
        </w:rPr>
        <w:t>The Public Issues Committee, established in 1973, reviews and makes recommendations regarding: (1) Mobil's domestic and international policies, programs, position and strategies involving political, social and environmental trends and issues; (2) shareholder proposals; (3) support of business, charitable and educational organizations; (4) Mobil's employment and workplace policies and practices, including those relating to equal employment opportunity, non-discrimination and diversity in the workplace; and</w:t>
      </w:r>
    </w:p>
    <w:p>
      <w:pPr>
        <w:spacing w:after="0" w:line="3" w:lineRule="exact"/>
        <w:rPr>
          <w:sz w:val="20"/>
          <w:szCs w:val="20"/>
          <w:color w:val="auto"/>
        </w:rPr>
      </w:pPr>
    </w:p>
    <w:p>
      <w:pPr>
        <w:ind w:right="4119" w:firstLine="5"/>
        <w:spacing w:after="0" w:line="255" w:lineRule="auto"/>
        <w:tabs>
          <w:tab w:leader="none" w:pos="43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Mobil's environmental, health and safety policies, programs, practices and performance.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Samuel C. Johnson (Chairman)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Lewis M. Branscomb</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 Richard Munro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Aulana L. Peters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Robert G. Schwartz</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Iain D. T. Vallance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Meetings last year: three.</w:t>
      </w:r>
    </w:p>
    <w:p>
      <w:pPr>
        <w:spacing w:after="0" w:line="173" w:lineRule="exact"/>
        <w:rPr>
          <w:sz w:val="20"/>
          <w:szCs w:val="20"/>
          <w:color w:val="auto"/>
        </w:rPr>
      </w:pPr>
    </w:p>
    <w:p>
      <w:pPr>
        <w:ind w:right="3859" w:firstLine="517"/>
        <w:spacing w:after="0" w:line="251" w:lineRule="auto"/>
        <w:rPr>
          <w:sz w:val="20"/>
          <w:szCs w:val="20"/>
          <w:color w:val="auto"/>
        </w:rPr>
      </w:pPr>
      <w:r>
        <w:rPr>
          <w:rFonts w:ascii="Courier New" w:cs="Courier New" w:eastAsia="Courier New" w:hAnsi="Courier New"/>
          <w:sz w:val="14"/>
          <w:szCs w:val="14"/>
          <w:color w:val="auto"/>
        </w:rPr>
        <w:t>The Finance Committee, established in February 1998, reviews and makes recommendations to the Mobil Board regarding: Mobil's financial structure, condition and major policies; Mobil's policies and programs for the management of risk, including its insurance program; and the funding, performance and administration of pension benefit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Charles S. Sanford, Jr. (Chairman)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Charles A. Heimbold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Helene L. Kaplan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Aulana L. Peters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Iain D.T. Vallance.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Meetings last year: two.</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V-11</w:t>
      </w:r>
    </w:p>
    <w:p>
      <w:pPr>
        <w:sectPr>
          <w:pgSz w:w="11900" w:h="16838" w:orient="portrait"/>
          <w:cols w:equalWidth="0" w:num="1">
            <w:col w:w="9719"/>
          </w:cols>
          <w:pgMar w:left="740" w:top="616"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Compensation and Organization Committee Report</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Management Compensation and Organization Committee of the Mobil Board consists of directors who are neither employees nor officers of Mobil. The committee regularly reviews Mobil's executive compensation policies and programs and determines the compensation of the senior executive officers. Mobil's decisions on compensation of the chairman and chief executive officer and other employee directors are reviewed with and approved by all of the non-employee directors, who constitute a majority of the Board.</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executive compensation program includes four elements which, in the committee's view, constitute a flexible and balanced method of establishing total compensation for senior management. The four compensation elements, further discussed below, are base salary, short-term incentive awards, long-term incentive awards, and stock options.</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committee's overall philosophy regarding the compensation of Mobil's executive officers is that these officers should receive total compensation that is equal to the average for comparable positions paid by the seven petroleum comparator or peer companies referred to in the following section when Mobil's performance is average compared to those companies; total compensation that is below the average for comparable positions when Mobil's comparative performance is below average; and total compensation that is above the average for comparable positions when Mobil's comparative performance is above average.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annually reviews salary ranges for senior positions and approves adjustments necessary to align these ranges with the competitive rates of pay reported by seven major petroleum companies for similar positions. These companies constitute Mobil's petroleum comparator group, and are named in the Performance Graph on page V-16, except that the salary data for the U.S. subsidiaries of British Petroleum Company p.l.c. and Royal Dutch Petroleum Company/ "Shell" Transport and Trading Company p.l.c. are used because parent company data are not available. The committee chose these seven companies as comparators because they are the major companies in direct competition with Mobil in most of its areas of business.</w:t>
      </w:r>
    </w:p>
    <w:p>
      <w:pPr>
        <w:spacing w:after="0" w:line="163"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The committee annually adopts guidelines for executive salary increases which are consistent with guidelines for all U.S. salaried employees. These guidelines are generally based on the average salary increase budget within the comparator group. Actual salaries within the established salary ranges are determined based on the individual executive's performance, position in the salary range and experience level.</w:t>
      </w:r>
    </w:p>
    <w:p>
      <w:pPr>
        <w:spacing w:after="0" w:line="164"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The committee's guidelines apply to annual periods beginning on July 1. The guidelines adopted by the committee for the year beginning July 1, 1998 provided for base pay increases for employees whose salaries were below the competitive rate for their jobs, and lump sum payments instead of base pay increases for employees whose salaries were above the competitive rate for their jobs. Mr. Noto's performance in 1998 was excellent. Faced with deteriorating industry fundamentals and economic problems in some key markets, Mobil fared better than the average of the petroleum comparator group in several important performance measures, such as return on capital employed, earnings per share growth and total return to shareholders. Benefits from expense reduction programs and other self-help initiatives offset significantly lower crude prices. For this reason, and in view of the fact that Mr. Noto's salary is below the competitive rate for the job, the committee approved an increase in Mr. Noto's base salary to $980,000.</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Mr. Noto's salary continues to be below the average and median base salary paid for a comparable position by the companies in the petroleum comparator group.</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V-12</w:t>
      </w:r>
    </w:p>
    <w:p>
      <w:pPr>
        <w:sectPr>
          <w:pgSz w:w="11900" w:h="16838" w:orient="portrait"/>
          <w:cols w:equalWidth="0" w:num="1">
            <w:col w:w="10239"/>
          </w:cols>
          <w:pgMar w:left="220" w:top="616" w:right="1440" w:bottom="1440" w:gutter="0" w:footer="0" w:header="0"/>
        </w:sectPr>
      </w:pPr>
    </w:p>
    <w:bookmarkStart w:id="127" w:name="page128"/>
    <w:bookmarkEnd w:id="127"/>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Incentive Program</w:t>
      </w:r>
    </w:p>
    <w:p>
      <w:pPr>
        <w:spacing w:after="0" w:line="173" w:lineRule="exact"/>
        <w:rPr>
          <w:sz w:val="20"/>
          <w:szCs w:val="20"/>
          <w:color w:val="auto"/>
        </w:rPr>
      </w:pPr>
    </w:p>
    <w:p>
      <w:pPr>
        <w:ind w:left="520" w:right="3939" w:firstLine="517"/>
        <w:spacing w:after="0" w:line="252" w:lineRule="auto"/>
        <w:rPr>
          <w:sz w:val="20"/>
          <w:szCs w:val="20"/>
          <w:color w:val="auto"/>
        </w:rPr>
      </w:pPr>
      <w:r>
        <w:rPr>
          <w:rFonts w:ascii="Courier New" w:cs="Courier New" w:eastAsia="Courier New" w:hAnsi="Courier New"/>
          <w:sz w:val="14"/>
          <w:szCs w:val="14"/>
          <w:color w:val="auto"/>
        </w:rPr>
        <w:t>The goal of the short-term incentive program is to place a portion of executives' annual compensation at risk to encourage and reward sustained high performance each year.</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Under guidelines adopted by the committee for administering the 1995 Mobil incentive compensation and stock ownership plan, under which short-term incentive awards for 1998 were made, a short-term incentive award target has been set for each eligible employee. This target is the difference between the estimated total cash compensation (base salary plus short-term incentive award) for comparable positions at the petroleum comparator companies and the midpoint of the salary range for the employee's salary grade. This target is then multiplied by a performance factor which, in the case of the chairman and chief executive officer and the other four executive officers identified in the Summary Compensation Table on page V-17, can range from 0 to 1.75 depending equally on Mobil's rankings in return on capital employed and earnings per share growth during the preceding year, in each case relative to that of the peer companies during the same year.</w:t>
      </w:r>
    </w:p>
    <w:p>
      <w:pPr>
        <w:spacing w:after="0" w:line="328"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Based on Mobil's performance during 1998, Mobil's ranking among its peers was third in return on capital employed and second in earnings per share growth, indicating an above average performance factor of 1.40. Accordingly, the committee approved an award of $1,537,700 for Mr. Noto, which was the amount determined by multiplying Mr. Noto's incentive award target by the 1998 performance factor. The Committee notes that this award does not exceed the maximum award payable to Mr. Noto under the terms of the plan as approved by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 Program</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long-term incentive program links executive rewards to growth in long-term shareholder value. The program is intended to focus executives' attention on Mobil's performance over a period of longer than one year. The committee believes this program is a key tool in building value for Mobil shareholders, because it rewards the strategic decisions on capital investments which are necessary for success in the petroleum industry. It is structured in four-year performance cycles during which achievement of longer-term financial, strategic and operational objectives is measured.</w:t>
      </w:r>
    </w:p>
    <w:p>
      <w:pPr>
        <w:spacing w:after="0" w:line="164"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The committee allots contingent stock equivalents, also known as performance shares, to key executives annually, at the beginning of each four-year performance cycle. The committee allots a number of performance shares to each executive based on a dollar amount, calculated by multiplying the midpoint of the executive's salary grade by a percentage which varies with position level. The committee then converts the amount determined in this manner into performance shares at the average market price of Mobil common stock over the 30 trading days immediately before the date of allotment. Over the four-year performance cycle, dividend equivalents are credited with respect to these allotments. These dividend equivalents are immediately converted into additional performance shares.</w:t>
      </w:r>
    </w:p>
    <w:p>
      <w:pPr>
        <w:spacing w:after="0" w:line="329"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At the end of the four-year cycle, the committee determines the amount of the long-term award by multiplying the number of performance shares then-credited to an executive's account by (1) the average market price of Mobil common stock over the 30 trading days immediately before the end of the cycle and (2) a performance factor. The performance factor can range from between 0 and 150% depending on Mobil's performance over the cycle relative to its petroleum comparator group as measured by three criteria: return to shareholders (weighted 50%), earnings per share growth (weighted</w:t>
      </w:r>
    </w:p>
    <w:p>
      <w:pPr>
        <w:spacing w:after="0" w:line="4" w:lineRule="exact"/>
        <w:rPr>
          <w:sz w:val="20"/>
          <w:szCs w:val="20"/>
          <w:color w:val="auto"/>
        </w:rPr>
      </w:pPr>
    </w:p>
    <w:p>
      <w:pPr>
        <w:ind w:left="520" w:right="3859"/>
        <w:spacing w:after="0" w:line="251" w:lineRule="auto"/>
        <w:rPr>
          <w:sz w:val="20"/>
          <w:szCs w:val="20"/>
          <w:color w:val="auto"/>
        </w:rPr>
      </w:pPr>
      <w:r>
        <w:rPr>
          <w:rFonts w:ascii="Courier New" w:cs="Courier New" w:eastAsia="Courier New" w:hAnsi="Courier New"/>
          <w:sz w:val="14"/>
          <w:szCs w:val="14"/>
          <w:color w:val="auto"/>
        </w:rPr>
        <w:t>25%), and return on capital employed (weighted 25%). The design of the plan provides for a performance factor of 100% when Mobil achieves average performance within the comparator group, with a higher or lower factor for higher than average or lower than average performance.</w:t>
      </w:r>
    </w:p>
    <w:p>
      <w:pPr>
        <w:spacing w:after="0" w:line="165"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For the 1995-1998 performance cycle, a special incentive was provided. Prior to the start of the cycle, Mobil's chairman set three challenging goals for Mobil to achieve by the end of 1998: annual net income of $3.0 billion; annual return on capital employed of 12%; and a stock price of $125 prior to the two-for-one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V-13</w:t>
      </w:r>
    </w:p>
    <w:p>
      <w:pPr>
        <w:sectPr>
          <w:pgSz w:w="11900" w:h="16838" w:orient="portrait"/>
          <w:cols w:equalWidth="0" w:num="1">
            <w:col w:w="10239"/>
          </w:cols>
          <w:pgMar w:left="220" w:top="616"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stock split effective May 20, 1997. When the committee made the allotments of performance shares at the start of the 1995-1998 cycle, it determined that the awards otherwise payable at the end of the cycle would be increased by 5% if one of these goals was achieved by the end of 1998, 15% if two of these goals were achieved within that time or 30% if all three of these goals were achieved within that time.</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At the end of the 1995-1998 cycle, the committee compared Mobil's performance for the cycle with the performance of its petroleum comparator companies as measured by the three criteria described above. Relative to the comparator group, Mobil's total return to shareholders ranked third, at 23.8%, its earnings per share growth ranked sixth, and its return on capital employed ranked fourth. Taking all of these factors and their relative weightings into account, the committee determined that the performance factor for the cycle was 100%.</w:t>
      </w:r>
    </w:p>
    <w:p>
      <w:pPr>
        <w:spacing w:after="0" w:line="164"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Mr. Noto was allotted 23,320 performance shares at the start of the 1995-1998 cycle. Based on the market price of Mobil common stock at the time of the allotment, $43.16 per share, the shares allotted to him had a nominal value at the time of grant equal to the midpoint of his salary group at Mobil at that time. At the end of the 1995-1998 cycle, through the crediting of dividend equivalents to his account, there were 26,532 performance shares credited to his account. The market price of Mobil common stock at the end of the cycle was $86.55. Accordingly, applying the formula described above, his actual long-term incentive award was $2,296,234. This reflected in part an increase in the price of Mobil common stock over the cycle of $43.39 per share. In addition, because Mobil had, well before 1998, achieved the three performance goals described above, each long-term incentive award otherwise payable was increased by 30%. As a result, Mr. Noto's total award for the 1995-1998 cycle was $2,985,052. Mr. Noto elected to defer 90% of this award and received 31,041 common share equivalents as a result of such deferral.</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Stock options are granted to emphasize the importance of increasing shareholder value over the long term, and to encourage and facilitate executives' personal ownership of Mobil stock. The committee's policy is to grant options annually, at fair market value, to sustain executives' long-term perspective. The committee has established stock ownership guidelines which provide a strong incentive for executives to strive for long-term results and to become significant Mobil shareholders. These guidelines call for executives to own Mobil stock equal in value to a specified multiple of their respective annual salaries, with the multiple increasing with increases in executives' salary grades. Executives moving to positions requiring higher levels of stock ownership are given five years to comply with these guidelines.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size of the stock option grant is related to the level of responsibility and individual performance of the executive and is intended, in conjunction with the long-term incentive program, to provide executives with the opportunity for total average long-term incentive compensation comparable to that afforded for similar positions by the petroleum comparator companies over time. Because a number of Mobil's competitors have just one form of long-term compensation, generally stock options, the grant size is not targeted to the number of options granted by other companies.</w:t>
      </w:r>
    </w:p>
    <w:p>
      <w:pPr>
        <w:spacing w:after="0" w:line="164" w:lineRule="exact"/>
        <w:rPr>
          <w:sz w:val="20"/>
          <w:szCs w:val="20"/>
          <w:color w:val="auto"/>
        </w:rPr>
      </w:pPr>
    </w:p>
    <w:p>
      <w:pPr>
        <w:ind w:left="520" w:right="4539" w:firstLine="517"/>
        <w:spacing w:after="0" w:line="252" w:lineRule="auto"/>
        <w:rPr>
          <w:sz w:val="20"/>
          <w:szCs w:val="20"/>
          <w:color w:val="auto"/>
        </w:rPr>
      </w:pPr>
      <w:r>
        <w:rPr>
          <w:rFonts w:ascii="Courier New" w:cs="Courier New" w:eastAsia="Courier New" w:hAnsi="Courier New"/>
          <w:sz w:val="14"/>
          <w:szCs w:val="14"/>
          <w:color w:val="auto"/>
        </w:rPr>
        <w:t>In 1998, the committee awarded Mr. Noto 200,000 stock options. The committee believes the 1998 stock option grant level is competitively justified for the reasons described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left="520" w:right="3339" w:firstLine="517"/>
        <w:spacing w:after="0" w:line="251" w:lineRule="auto"/>
        <w:rPr>
          <w:sz w:val="20"/>
          <w:szCs w:val="20"/>
          <w:color w:val="auto"/>
        </w:rPr>
      </w:pPr>
      <w:r>
        <w:rPr>
          <w:rFonts w:ascii="Courier New" w:cs="Courier New" w:eastAsia="Courier New" w:hAnsi="Courier New"/>
          <w:sz w:val="14"/>
          <w:szCs w:val="14"/>
          <w:color w:val="auto"/>
        </w:rPr>
        <w:t>Each year, the Committee reviews the compensation program, giving particular attention to the program's linkage to increasing shareholder value while maintaining competitive total compensation within the petroleum comparator group. Since the competitive market for executive talent extends beyond the petroleum industry, the committee also makes cross checks each year against a broader comparator group. In 1997 and 1998, an outside consultant reviewed for the committee the total compensation of the chairman and chief executive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V-14</w:t>
      </w:r>
    </w:p>
    <w:p>
      <w:pPr>
        <w:sectPr>
          <w:pgSz w:w="11900" w:h="16838" w:orient="portrait"/>
          <w:cols w:equalWidth="0" w:num="1">
            <w:col w:w="10239"/>
          </w:cols>
          <w:pgMar w:left="220" w:top="616" w:right="1440" w:bottom="1440" w:gutter="0" w:footer="0" w:header="0"/>
        </w:sectPr>
      </w:pPr>
    </w:p>
    <w:bookmarkStart w:id="129" w:name="page130"/>
    <w:bookmarkEnd w:id="129"/>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officer and other senior executives. This review was based on a survey of comparable positions at 18 other major corporations of similar size, complexity and quality from both the oil and other industries.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believes that the compensation program described above effectively links executive and shareholder interests and provides incentives that are consistent with the long-term strategies required for success in the petroleum industry. Generally, a majority share of a senior executive's total compensation is structured in the form of incentives which reward the executive depending on corporate and individual performance. Within the program's mix of performance-based incentives, an executive has an opportunity to earn above average total compensation for above average corporate and individual performance.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 Tax Deductibility</w:t>
      </w:r>
    </w:p>
    <w:p>
      <w:pPr>
        <w:spacing w:after="0" w:line="173" w:lineRule="exact"/>
        <w:rPr>
          <w:sz w:val="20"/>
          <w:szCs w:val="20"/>
          <w:color w:val="auto"/>
        </w:rPr>
      </w:pPr>
    </w:p>
    <w:p>
      <w:pPr>
        <w:ind w:left="520" w:right="3679" w:firstLine="517"/>
        <w:spacing w:after="0" w:line="252" w:lineRule="auto"/>
        <w:rPr>
          <w:sz w:val="20"/>
          <w:szCs w:val="20"/>
          <w:color w:val="auto"/>
        </w:rPr>
      </w:pPr>
      <w:r>
        <w:rPr>
          <w:rFonts w:ascii="Courier New" w:cs="Courier New" w:eastAsia="Courier New" w:hAnsi="Courier New"/>
          <w:sz w:val="14"/>
          <w:szCs w:val="14"/>
          <w:color w:val="auto"/>
        </w:rPr>
        <w:t>U.S. income tax law limits the amount Mobil can deduct for compensation paid to named executive officers. Performance-based compensation that meets IRS requirements is not subject to this limit.</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All awards made to the named executive officers under the 1995 Mobil incentive compensation and stock ownership plan are designed to meet these requirements so that Mobil can deduct the related expenses. Awards made under prior plans are deductible for Federal income tax purposes to the extent permitted by transitional rules provided by IRS regulations.</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recognizes the possibility that at times, the amount of the base salary of a named executive officer, and other compensation not described in the preceding paragraph, may exceed the $1 million deduction limit allowed by the IRS and so may not be fully deductible for Federal income tax purposes. The committee's policy is to make a determination at any such time whether to authorize the payment of these amounts without regard to deductibility or whether the terms of the payment should be modified so as to preserve any deduction otherwise available.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Management Compensation and Organization Committee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Robert G. Schwartz, Chairman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Allen F. Jacobson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Samuel C. Johnson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J. Richard Munro</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V-15</w:t>
      </w:r>
    </w:p>
    <w:p>
      <w:pPr>
        <w:sectPr>
          <w:pgSz w:w="11900" w:h="16838" w:orient="portrait"/>
          <w:cols w:equalWidth="0" w:num="1">
            <w:col w:w="10239"/>
          </w:cols>
          <w:pgMar w:left="220" w:top="616"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left="520" w:right="3939" w:firstLine="517"/>
        <w:spacing w:after="0" w:line="252" w:lineRule="auto"/>
        <w:rPr>
          <w:sz w:val="20"/>
          <w:szCs w:val="20"/>
          <w:color w:val="auto"/>
        </w:rPr>
      </w:pPr>
      <w:r>
        <w:rPr>
          <w:rFonts w:ascii="Courier New" w:cs="Courier New" w:eastAsia="Courier New" w:hAnsi="Courier New"/>
          <w:sz w:val="14"/>
          <w:szCs w:val="14"/>
          <w:color w:val="auto"/>
        </w:rPr>
        <w:t>The following graph compares the five-year cumulative total shareholder return, including reinvested dividends, on Mobil common stock, with two other indexes:</w:t>
      </w:r>
    </w:p>
    <w:p>
      <w:pPr>
        <w:spacing w:after="0" w:line="32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FIVE-YEAR CUMMULATIVE TOTAL RETURNS(1)</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VALUE OF $100 INVESTED AT YEAR-END 1993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[Graphic Omitted]</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97"/>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Fiscal Years ended</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4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1995</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48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153</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173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211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101</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139</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171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228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107</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141</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181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224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bl>
    <w:p>
      <w:pPr>
        <w:spacing w:after="0" w:line="17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Assumes $100 invested on December 31, 1993, in Mobil common stock, S&amp;P 500 Index, and a composite index, weighted by market capitalization each year, of the following seven major petroleum companies: Exxon Corporation, Chevron Corporation, Amoco Corporation, Royal Dutch Petroleum Company/ "Shell" Transport and Trading Company p.l.c., Atlantic Richfield Company, British Petroleum Company p.l.c., and Texaco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80" w:right="5839" w:hanging="3272"/>
        <w:spacing w:after="0" w:line="505" w:lineRule="auto"/>
        <w:tabs>
          <w:tab w:leader="none" w:pos="35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return assumes reinvestment of dividends. V-16</w:t>
      </w:r>
    </w:p>
    <w:p>
      <w:pPr>
        <w:sectPr>
          <w:pgSz w:w="11900" w:h="16838" w:orient="portrait"/>
          <w:cols w:equalWidth="0" w:num="1">
            <w:col w:w="10239"/>
          </w:cols>
          <w:pgMar w:left="220" w:top="616" w:right="1440" w:bottom="1440" w:gutter="0" w:footer="0" w:header="0"/>
        </w:sectPr>
      </w:pPr>
    </w:p>
    <w:bookmarkStart w:id="131" w:name="page132"/>
    <w:bookmarkEnd w:id="131"/>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4840" w:firstLine="517"/>
        <w:spacing w:after="0" w:line="251" w:lineRule="auto"/>
        <w:rPr>
          <w:sz w:val="20"/>
          <w:szCs w:val="20"/>
          <w:color w:val="auto"/>
        </w:rPr>
      </w:pPr>
      <w:r>
        <w:rPr>
          <w:rFonts w:ascii="Courier New" w:cs="Courier New" w:eastAsia="Courier New" w:hAnsi="Courier New"/>
          <w:sz w:val="14"/>
          <w:szCs w:val="14"/>
          <w:color w:val="auto"/>
        </w:rPr>
        <w:t>The following table presents information for the past three years for the chief executive officer and the other four most highly compensated executive officers of Mobil. See the Management Compensation and Organization Committee report beginning on page V-12 for an explanation of our compensation philosophy.</w:t>
      </w: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Long-term Compensation</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60" w:type="dxa"/>
            <w:vAlign w:val="bottom"/>
            <w:gridSpan w:val="3"/>
          </w:tcPr>
          <w:p>
            <w:pPr>
              <w:jc w:val="right"/>
              <w:ind w:right="1248"/>
              <w:spacing w:after="0"/>
              <w:rPr>
                <w:sz w:val="20"/>
                <w:szCs w:val="20"/>
                <w:color w:val="auto"/>
              </w:rPr>
            </w:pPr>
            <w:r>
              <w:rPr>
                <w:rFonts w:ascii="Courier New" w:cs="Courier New" w:eastAsia="Courier New" w:hAnsi="Courier New"/>
                <w:sz w:val="14"/>
                <w:szCs w:val="14"/>
                <w:color w:val="auto"/>
              </w:rPr>
              <w:t>Annual Compensation</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Awards</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Payouts</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5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Underlying</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Other Annual</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Optional</w:t>
            </w:r>
          </w:p>
        </w:tc>
        <w:tc>
          <w:tcPr>
            <w:tcW w:w="128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 of December 31, 1998</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Salary</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Bonus</w:t>
            </w: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Compensation(1)</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SARs(2)</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LTIP Payouts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955,000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$1,537,700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$2,985,052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$102,016</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1,130,400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43,142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1,417,335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61,833</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and chief executive officer,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72,883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1,089,086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113,000</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754,167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874,500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1,657,785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80,396</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president and chief</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473,900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32,355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1,062,967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84,349</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operating officer,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64,468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1,140,984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76,860</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495,000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1,027,472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70,053</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482,500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15,569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511,494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28,825</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Oil Corporation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470,000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32,530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598,906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49,400</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391,500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578,905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332,399</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and chief financial officer,</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383,500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375,955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33,484</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Oil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4660" w:hanging="352"/>
        <w:spacing w:after="0" w:line="255" w:lineRule="auto"/>
        <w:tabs>
          <w:tab w:leader="none" w:pos="3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payments in respect of allotments of contingent share equivalents under the long-term incentive program.</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covered by grants may be exercised as stock options only.</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values represent: (1) Company allocations to Mobil's supplemental</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savings plan (Mr. Noto: $99,108; Mr. Renna: $78,371; Mr. DeLoach:</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$45,930; Mr. Cramer: $33,500; and Mr. Pryor: $33,230); (2) premiums paid by</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under the executive life insurance plan (Mr. Noto: $2,908; Mr.</w:t>
      </w:r>
    </w:p>
    <w:p>
      <w:pPr>
        <w:spacing w:after="0" w:line="7" w:lineRule="exact"/>
        <w:rPr>
          <w:rFonts w:ascii="Courier New" w:cs="Courier New" w:eastAsia="Courier New" w:hAnsi="Courier New"/>
          <w:sz w:val="14"/>
          <w:szCs w:val="14"/>
          <w:color w:val="auto"/>
        </w:rPr>
      </w:pPr>
    </w:p>
    <w:p>
      <w:pPr>
        <w:ind w:left="360" w:right="492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Renna: $2,025; Mr. DeLoach: $1,123; Mr. Cramer: $1,276; and Mr. Pryor: $254); (3) lump sum payment of $23,000 to Mr. DeLoach instead of salary increase; and (4) payments of $247,623 to Mr. Cramer in respect of an overseas assignment and $50,000 as a special award for outstanding contribution during the merger negotiations.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V-17</w:t>
      </w:r>
    </w:p>
    <w:p>
      <w:pPr>
        <w:sectPr>
          <w:pgSz w:w="11900" w:h="16838" w:orient="portrait"/>
          <w:cols w:equalWidth="0" w:num="1">
            <w:col w:w="11300"/>
          </w:cols>
          <w:pgMar w:left="220" w:top="616" w:right="379"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OPTION TABLES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following two tables present further details on stock options.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Option/SAR Grants in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Potential Realizable Value at</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Assumed</w:t>
            </w:r>
          </w:p>
        </w:tc>
        <w:tc>
          <w:tcPr>
            <w:tcW w:w="21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Annual Rates of</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Stock Price Appreciation</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Individual Grants</w:t>
            </w:r>
          </w:p>
        </w:tc>
        <w:tc>
          <w:tcPr>
            <w:tcW w:w="1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21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Option Term(2)</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 of Total</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0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Options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Underlying</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Granted to</w:t>
            </w:r>
          </w:p>
        </w:tc>
        <w:tc>
          <w:tcPr>
            <w:tcW w:w="1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Grant Date</w:t>
            </w:r>
          </w:p>
        </w:tc>
      </w:tr>
      <w:tr>
        <w:trPr>
          <w:trHeight w:val="166"/>
        </w:trPr>
        <w:tc>
          <w:tcPr>
            <w:tcW w:w="2200" w:type="dxa"/>
            <w:vAlign w:val="bottom"/>
          </w:tcPr>
          <w:p>
            <w:pPr>
              <w:spacing w:after="0"/>
              <w:rPr>
                <w:sz w:val="14"/>
                <w:szCs w:val="14"/>
                <w:color w:val="auto"/>
              </w:rPr>
            </w:pPr>
          </w:p>
        </w:tc>
        <w:tc>
          <w:tcPr>
            <w:tcW w:w="11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Employees</w:t>
            </w:r>
          </w:p>
        </w:tc>
        <w:tc>
          <w:tcPr>
            <w:tcW w:w="1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or Base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Present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Granted(1)</w:t>
            </w:r>
          </w:p>
        </w:tc>
        <w:tc>
          <w:tcPr>
            <w:tcW w:w="10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 1998</w:t>
            </w:r>
          </w:p>
        </w:tc>
        <w:tc>
          <w:tcPr>
            <w:tcW w:w="1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Date</w:t>
            </w: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Value(3)</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$71.22(4)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$116.01(4)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$184.72(4)</w:t>
            </w:r>
          </w:p>
        </w:tc>
        <w:tc>
          <w:tcPr>
            <w:tcW w:w="122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4.5%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8,958,250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22,700,250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$2,610,000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5,150,994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13,052,644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$1,500,750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2,463,519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6,242,569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$717,750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2,015,606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5,107,556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$587,250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2,015,606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5,107,556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$587,250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4580" w:hanging="352"/>
        <w:spacing w:after="0" w:line="251" w:lineRule="auto"/>
        <w:tabs>
          <w:tab w:leader="none" w:pos="3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covered by grants which may be exercised as stock options. Options may be granted to employees as qualified stock options, which are defined as incentive stock options in the Internal Revenue Code, or options which are not qualified. All options are granted at an option price equal to the fair market value of a share of Mobil common stock on the date of grant (but not less than the par value) for up to ten years after grant as determined by the Management Compensation and Organization Committee. All options are 100% exercisable after three years. Options are not transferable by the employee. If the employee dies before exercising an option, it may be exercised on behalf of his or her estate or distributed to an heir or legatee.</w:t>
      </w:r>
    </w:p>
    <w:p>
      <w:pPr>
        <w:spacing w:after="0" w:line="163" w:lineRule="exact"/>
        <w:rPr>
          <w:rFonts w:ascii="Courier New" w:cs="Courier New" w:eastAsia="Courier New" w:hAnsi="Courier New"/>
          <w:sz w:val="14"/>
          <w:szCs w:val="14"/>
          <w:color w:val="auto"/>
        </w:rPr>
      </w:pPr>
    </w:p>
    <w:p>
      <w:pPr>
        <w:ind w:left="360" w:right="5080" w:hanging="352"/>
        <w:spacing w:after="0" w:line="255" w:lineRule="auto"/>
        <w:tabs>
          <w:tab w:leader="none" w:pos="3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figures shown are potential future undiscounted values and are unrelated to the grant date present values shown in the next column.</w:t>
      </w:r>
    </w:p>
    <w:p>
      <w:pPr>
        <w:spacing w:after="0" w:line="159" w:lineRule="exact"/>
        <w:rPr>
          <w:rFonts w:ascii="Courier New" w:cs="Courier New" w:eastAsia="Courier New" w:hAnsi="Courier New"/>
          <w:sz w:val="14"/>
          <w:szCs w:val="14"/>
          <w:color w:val="auto"/>
        </w:rPr>
      </w:pPr>
    </w:p>
    <w:p>
      <w:pPr>
        <w:ind w:left="360" w:right="4660" w:hanging="352"/>
        <w:spacing w:after="0" w:line="250" w:lineRule="auto"/>
        <w:tabs>
          <w:tab w:leader="none" w:pos="3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based on modified Black-Scholes option pricing model which includes assumptions for variables such as interest rates, stock price volatility and future dividend yield. Mobil's use of this model should not be construed as an endorsement of its accuracy. Whether the model assumptions used will prove to be accurate cannot be known at the date of grant. The Black-Scholes model produces a value based on freely tradeable securities. Mobil employee stock options are not transferable, so the "present value" shown cannot be realized by the holder. Recognizing the limitations of the model as described, the following assumptions were used to estimate the grant date present value: dividend yield of 3.20%, five-year zero-coupon risk-free interest rate of 5.66%, estimated volatility of 18% and estimated average expected option term of five years. Mobil stock options are issued at the fair market value of its stock on the date of grant, and terminate if unexercised after ten years. The holder can derive a benefit only to the extent the market value of Mobil common stock is higher than the exercise price at the date of the actual exercise.</w:t>
      </w:r>
    </w:p>
    <w:p>
      <w:pPr>
        <w:spacing w:after="0" w:line="338" w:lineRule="exact"/>
        <w:rPr>
          <w:rFonts w:ascii="Courier New" w:cs="Courier New" w:eastAsia="Courier New" w:hAnsi="Courier New"/>
          <w:sz w:val="14"/>
          <w:szCs w:val="14"/>
          <w:color w:val="auto"/>
        </w:rPr>
      </w:pPr>
    </w:p>
    <w:p>
      <w:pPr>
        <w:ind w:left="360" w:right="4840" w:hanging="352"/>
        <w:spacing w:after="0" w:line="252" w:lineRule="auto"/>
        <w:tabs>
          <w:tab w:leader="none" w:pos="3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assumed annual rate of stock price appreciation of 0%, 5% or 10% per year should occur, the market value per share of Mobil common stock at the end of the ten-year option term would be $71.22, $116.01 or $184.72, as the case may be.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V-18</w:t>
      </w:r>
    </w:p>
    <w:p>
      <w:pPr>
        <w:sectPr>
          <w:pgSz w:w="11900" w:h="16838" w:orient="portrait"/>
          <w:cols w:equalWidth="0" w:num="1">
            <w:col w:w="11300"/>
          </w:cols>
          <w:pgMar w:left="220" w:top="616" w:right="379" w:bottom="1440" w:gutter="0" w:footer="0" w:header="0"/>
        </w:sectPr>
      </w:pPr>
    </w:p>
    <w:bookmarkStart w:id="133" w:name="page134"/>
    <w:bookmarkEnd w:id="133"/>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Aggregated Option/SAR Exercises in 1998 and Year-End Option/SAR Values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Number of</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c>
          <w:tcPr>
            <w:tcW w:w="1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Value of</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Underlying</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Unexercised</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Unexercised</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Options/SARs</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Options/SARs (4)</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at FY-end</w:t>
            </w:r>
          </w:p>
        </w:tc>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at FY-end</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 Acquired</w:t>
            </w:r>
          </w:p>
        </w:tc>
        <w:tc>
          <w:tcPr>
            <w:tcW w:w="26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Exercisable/</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Exercisable/</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on Exercise(1)</w:t>
            </w:r>
          </w:p>
        </w:tc>
        <w:tc>
          <w:tcPr>
            <w:tcW w:w="2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Realized(2)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Unexercisable(3)</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Unexercisable(3)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28,582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1,148,290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355,000</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16,799,844</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620,000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14,433,750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1,023,125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166,522</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7,811,982</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255,000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5,679,219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81,438</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247,454</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12,727,028</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3,899,844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351,961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108,388</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5,602,682</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2,695,781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143,365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90,334</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4,638,317</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2,281,031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number of shares covered by stock options or SARs exercised.</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Difference between exercise price and market value on date of exercise.</w:t>
      </w:r>
    </w:p>
    <w:p>
      <w:pPr>
        <w:spacing w:after="0" w:line="172" w:lineRule="exact"/>
        <w:rPr>
          <w:rFonts w:ascii="Courier New" w:cs="Courier New" w:eastAsia="Courier New" w:hAnsi="Courier New"/>
          <w:sz w:val="14"/>
          <w:szCs w:val="14"/>
          <w:color w:val="auto"/>
        </w:rPr>
      </w:pPr>
    </w:p>
    <w:p>
      <w:pPr>
        <w:ind w:left="360" w:right="3620" w:hanging="352"/>
        <w:spacing w:after="0" w:line="252" w:lineRule="auto"/>
        <w:tabs>
          <w:tab w:leader="none" w:pos="3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options granted prior to 1995 were 100% exercisable after one year. Non-qualified options granted prior to 1995 were 50% exercisable after one year and 100% exercisable after two years. All options granted in 1995 and thereafter are 100% exercisable after three years.</w:t>
      </w:r>
    </w:p>
    <w:p>
      <w:pPr>
        <w:spacing w:after="0" w:line="162" w:lineRule="exact"/>
        <w:rPr>
          <w:rFonts w:ascii="Courier New" w:cs="Courier New" w:eastAsia="Courier New" w:hAnsi="Courier New"/>
          <w:sz w:val="14"/>
          <w:szCs w:val="14"/>
          <w:color w:val="auto"/>
        </w:rPr>
      </w:pPr>
    </w:p>
    <w:p>
      <w:pPr>
        <w:ind w:left="360" w:right="3880" w:hanging="352"/>
        <w:spacing w:after="0" w:line="255" w:lineRule="auto"/>
        <w:tabs>
          <w:tab w:leader="none" w:pos="3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is based on the December 31, 1998 stock price of $87.125.</w:t>
      </w:r>
    </w:p>
    <w:p>
      <w:pPr>
        <w:spacing w:after="0" w:line="32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Long-term Incentive Program Contingent Allotments in 1998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Performance</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or Other</w:t>
            </w: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Estimated Future Payouts</w:t>
            </w: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Contingent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Period Until</w:t>
            </w:r>
          </w:p>
        </w:tc>
        <w:tc>
          <w:tcPr>
            <w:tcW w:w="280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73"/>
              </w:rPr>
              <w:t>-------------------------------------------</w:t>
            </w: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6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Maturation or</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Equivalents</w:t>
            </w:r>
          </w:p>
        </w:tc>
        <w:tc>
          <w:tcPr>
            <w:tcW w:w="16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Payouts</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Threshold</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Target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16,906</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$1,472,935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$2,209,403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12,535</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1,092,112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1,638,168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5,711</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497,571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746,356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5,168</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450,262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675,393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5,168</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450,262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675,393</w:t>
            </w:r>
          </w:p>
        </w:tc>
      </w:tr>
    </w:tbl>
    <w:p>
      <w:pPr>
        <w:spacing w:after="0" w:line="200" w:lineRule="exact"/>
        <w:rPr>
          <w:sz w:val="20"/>
          <w:szCs w:val="20"/>
          <w:color w:val="auto"/>
        </w:rPr>
      </w:pPr>
    </w:p>
    <w:p>
      <w:pPr>
        <w:spacing w:after="0" w:line="301" w:lineRule="exact"/>
        <w:rPr>
          <w:sz w:val="20"/>
          <w:szCs w:val="20"/>
          <w:color w:val="auto"/>
        </w:rPr>
      </w:pPr>
    </w:p>
    <w:p>
      <w:pPr>
        <w:ind w:left="520" w:right="3360" w:firstLine="517"/>
        <w:spacing w:after="0" w:line="251" w:lineRule="auto"/>
        <w:rPr>
          <w:sz w:val="20"/>
          <w:szCs w:val="20"/>
          <w:color w:val="auto"/>
        </w:rPr>
      </w:pPr>
      <w:r>
        <w:rPr>
          <w:rFonts w:ascii="Courier New" w:cs="Courier New" w:eastAsia="Courier New" w:hAnsi="Courier New"/>
          <w:sz w:val="14"/>
          <w:szCs w:val="14"/>
          <w:color w:val="auto"/>
        </w:rPr>
        <w:t>Under this program, we determine allotments of contingent stock equivalents, also known as performance shares, for participants annually, at the start of a four-year performance period. We base these allotments on dollar amounts, determined by reference to the participants' level within Mobil and the midpoint of the participants' salary grade at the beginning of each period, which we then convert into performance shares at the average market price for Mobil common stock over the 30 trading days immediately preceding the allotment. Over the four-year cycle, we will credit dividend equivalents with respect to these allotments, which we will immediately convert into additional performance shares. After the end of the period, the Management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V-19</w:t>
      </w:r>
    </w:p>
    <w:p>
      <w:pPr>
        <w:sectPr>
          <w:pgSz w:w="11900" w:h="16838" w:orient="portrait"/>
          <w:cols w:equalWidth="0" w:num="1">
            <w:col w:w="10260"/>
          </w:cols>
          <w:pgMar w:left="220" w:top="616" w:right="1419"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Compensation and Organization Committee of the Mobil Board determines the extent to which the contingent allotments should be converted into actual awards. The committee's policy in granting actual awards is based on Mobil's performance relative to its petroleum comparator group using three criteria: earnings per share growth, return on capital employed, and total shareholder return.</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Payouts under the program are based in part on the price of the</w:t>
      </w:r>
    </w:p>
    <w:p>
      <w:pPr>
        <w:spacing w:after="0" w:line="7" w:lineRule="exact"/>
        <w:rPr>
          <w:sz w:val="20"/>
          <w:szCs w:val="20"/>
          <w:color w:val="auto"/>
        </w:rPr>
      </w:pPr>
    </w:p>
    <w:p>
      <w:pPr>
        <w:ind w:left="520"/>
        <w:spacing w:after="0"/>
        <w:tabs>
          <w:tab w:leader="none" w:pos="2320" w:val="left"/>
        </w:tabs>
        <w:rPr>
          <w:sz w:val="20"/>
          <w:szCs w:val="20"/>
          <w:color w:val="auto"/>
        </w:rPr>
      </w:pPr>
      <w:r>
        <w:rPr>
          <w:rFonts w:ascii="Courier New" w:cs="Courier New" w:eastAsia="Courier New" w:hAnsi="Courier New"/>
          <w:sz w:val="14"/>
          <w:szCs w:val="14"/>
          <w:color w:val="auto"/>
        </w:rPr>
        <w:t>Mobil common stock.</w:t>
        <w:tab/>
        <w:t>The price used for the estimates provided is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$87.125 per share, which was the closing price of Mobil common stock</w:t>
      </w:r>
    </w:p>
    <w:p>
      <w:pPr>
        <w:spacing w:after="0" w:line="7" w:lineRule="exact"/>
        <w:rPr>
          <w:sz w:val="20"/>
          <w:szCs w:val="20"/>
          <w:color w:val="auto"/>
        </w:rPr>
      </w:pPr>
    </w:p>
    <w:p>
      <w:pPr>
        <w:ind w:left="520"/>
        <w:spacing w:after="0"/>
        <w:tabs>
          <w:tab w:leader="none" w:pos="5160" w:val="left"/>
        </w:tabs>
        <w:rPr>
          <w:sz w:val="20"/>
          <w:szCs w:val="20"/>
          <w:color w:val="auto"/>
        </w:rPr>
      </w:pPr>
      <w:r>
        <w:rPr>
          <w:rFonts w:ascii="Courier New" w:cs="Courier New" w:eastAsia="Courier New" w:hAnsi="Courier New"/>
          <w:sz w:val="14"/>
          <w:szCs w:val="14"/>
          <w:color w:val="auto"/>
        </w:rPr>
        <w:t>on the New York Stock Exchange on December 31, 1998.</w:t>
        <w:tab/>
        <w:t>Actual payouts,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any, will be based on the mean of the high and low sales prices of</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Mobil common stock on the Exchange for a period of 30 trading days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immediately before the determination of the committee referred to 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preceding paragraph.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Table</w:t>
      </w:r>
    </w:p>
    <w:p>
      <w:pPr>
        <w:spacing w:after="0" w:line="173"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Mobil employees in the higher salary classifications receive pension benefits under two non-contributory plans: a retirement plan qualified under U.S. tax law, which is non-discriminatory, and a supplemental plan that provides benefits that cannot be provided under the qualified plan, due to the limitations imposed by U.S. tax law, plus certain additional benefits. Employees who retire or terminate as vested participants are entitled to receive retirement benefits under these plans computed under a final average pay formula. Benefits under the qualified plan are provided, at an employee's election, either in the form of a life annuity or in one of several alternative forms having an equivalent actuarial value. Benefits under the supplemental plan, which will constitute the majority of the benefits payable to Messrs. Noto, Renna, DeLoach, Cramer and Pryor, are provided only in the form of an annuity for a fixed number of years equal to one-half the employee's life expectancy. The table below shows the annual annuity amount that would be payable for life to employees in the higher salary classifications, commencing at age 60 or older, if they were to elect a life annuity under the qualified plan and if the benefits provided under the supplemental plan for one-half the employee's life expectancy were converted to a life annuity having an equivalent actuarial value.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Retirement Compensation</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Under Mobil Oil Corporation's executive life insurance program, executives, including Mobil named executive officers, who retire after reaching age 55, or after age 50 with Mobil's consent, are entitled, in addition to term coverage to age 65, to a series of cash payments. These payments commence once the executive attains age 65 and continue for three to 15 years, according to the executive's advance election, and may be used to continue the policy or taken in cash. The amounts of these payments are the amounts determined to be necessary, based on the insurance company's applicable mortality tables and an interest rate of 7.5%, to provide a fully paid up policy with a death benefit equal to two times the sum of the executive's final base pay and bonus.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V-20</w:t>
      </w:r>
    </w:p>
    <w:p>
      <w:pPr>
        <w:sectPr>
          <w:pgSz w:w="11900" w:h="16838" w:orient="portrait"/>
          <w:cols w:equalWidth="0" w:num="1">
            <w:col w:w="10239"/>
          </w:cols>
          <w:pgMar w:left="220" w:top="616" w:right="1440" w:bottom="1440" w:gutter="0" w:footer="0" w:header="0"/>
        </w:sectPr>
      </w:pPr>
    </w:p>
    <w:bookmarkStart w:id="135" w:name="page136"/>
    <w:bookmarkEnd w:id="135"/>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Estimated Annual Benefits under Final Average Pay Formula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Earnings Credited</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For Retirement</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Plan Benefits*</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Years of Service at Retirement</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88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9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104,000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172,000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311,000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649,000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544,000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634,000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766,000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986,000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897,000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1,155,000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1,324,000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828,000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994,000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1,492,000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554,000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922,000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1,661,000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610,000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1,422,000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1,830,000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666,000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723,000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1,444,000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1,684,000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2,168,000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4060" w:hanging="252"/>
        <w:spacing w:after="0" w:line="251" w:lineRule="auto"/>
        <w:tabs>
          <w:tab w:leader="none" w:pos="2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credited for retirement plan benefits represent one-third of the highest consecutive 36 months of base salary (the salary column in the table on page V-17) out of the last 120 months before retirement plus one-third of 100% of the highest three consecutive completed calendar years of short-term incentive compensation (the bonus column in the table on page V-17) awarded out of the last 10 completed calendar years before retirement. The amounts shown reflect the estimated amount of the offset under the plan for Social Security benefits. Estimated credited years of service are as follows for Mr. Noto, 38 years; Mr. Renna, 30 years; Mr. DeLoach, 30 years; Mr. Cramer, 25 years; and Mr. Pryor, 25 years.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V-21</w:t>
      </w:r>
    </w:p>
    <w:p>
      <w:pPr>
        <w:sectPr>
          <w:pgSz w:w="11900" w:h="16838" w:orient="portrait"/>
          <w:cols w:equalWidth="0" w:num="1">
            <w:col w:w="10780"/>
          </w:cols>
          <w:pgMar w:left="220" w:top="616" w:right="899"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STOCK-BASED HOLDINGS OF DIRECTORS, NOMINEES AND EXECUTIVE OFFICERS</w:t>
      </w:r>
    </w:p>
    <w:p>
      <w:pPr>
        <w:spacing w:after="0" w:line="173" w:lineRule="exact"/>
        <w:rPr>
          <w:sz w:val="20"/>
          <w:szCs w:val="20"/>
          <w:color w:val="auto"/>
        </w:rPr>
      </w:pPr>
    </w:p>
    <w:p>
      <w:pPr>
        <w:ind w:right="4140" w:firstLine="517"/>
        <w:spacing w:after="0" w:line="251" w:lineRule="auto"/>
        <w:rPr>
          <w:sz w:val="20"/>
          <w:szCs w:val="20"/>
          <w:color w:val="auto"/>
        </w:rPr>
      </w:pPr>
      <w:r>
        <w:rPr>
          <w:rFonts w:ascii="Courier New" w:cs="Courier New" w:eastAsia="Courier New" w:hAnsi="Courier New"/>
          <w:sz w:val="14"/>
          <w:szCs w:val="14"/>
          <w:color w:val="auto"/>
        </w:rPr>
        <w:t>The following table shows the shares of Mobil common stock, the shares of such stock acquirable within 60 days pursuant to the exercise of employee stock options, the units of interest in shares of Mobil's ESOP preferred stock, the deferred common share equivalents, and the total Mobil stock-based holdings, which are beneficially owned by each director and nominee for director, each executive officer named in the Summary Compensation Table on page V-17 who is not a director, and all directors and executive officers as a group. The table indicates the alignment of these individuals' personal financial interests with the interests of Mobil's shareholders because the value of their total holdings is dependent upon the price of Mobil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Units of</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Common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in</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Mobil</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Deferred</w:t>
            </w: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Common</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Acquirable</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ESOP</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0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Within</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Preferred</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Share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Stock-Based</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Directors, Nominees and Executive Officers</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Owned</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 Days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Equivalents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Holdings</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Lewis M. Branscomb...........................</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54,026</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144,388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3,997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202,611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101,430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302,454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7,760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411,755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Donald V. Fites..............................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3,966</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6,008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9,974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Charles A. Heimbold, Jr......................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2,568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Allen F. Jacobson............................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2,316</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25,277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27,593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Samuel C. Johnson............................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41,680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Helene L. Kaplan.............................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14,594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22,594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J. Richard Munro.............................</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6,945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134,611</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495,000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84,781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714,531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10,669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10,869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22,501</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112,334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6,701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142,396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117,357</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236,522</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362,989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Charles S. Sanford, Jr.......................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4,002</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5,569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9,571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Robert G. Schwartz...........................</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21,030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23,030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Iain D.T. Vallance...........................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1,244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group, including those named above..........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722,979</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2,073,915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7,449</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263,043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3,067,386</w:t>
            </w:r>
          </w:p>
        </w:tc>
      </w:tr>
      <w:tr>
        <w:trPr>
          <w:trHeight w:val="663"/>
        </w:trPr>
        <w:tc>
          <w:tcPr>
            <w:tcW w:w="67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 information in the table is as of March 1, 1999.  Shares of</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Mobil common stock owned by directors and executive officers include 14,199</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shares held by family members or family trusts of certain directors and</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officers, as to which shares these persons disclaim beneficial ownership.</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Shares of Mobil common stock owned by directors and executive officers also</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include 62,000 shares of restricted stock held by certain officers as to which</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shares these officers possess sole voting power, but no investment power,</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during the restricted period.  The directors and executive officers have sole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discretion as to voting and investment power as to all remaining shares of</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Mobil common stock which they presently hold.</w:t>
            </w:r>
          </w:p>
        </w:tc>
        <w:tc>
          <w:tcPr>
            <w:tcW w:w="2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Owners of units of  Mobil ESOP</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4" w:lineRule="exact"/>
        <w:rPr>
          <w:sz w:val="20"/>
          <w:szCs w:val="20"/>
          <w:color w:val="auto"/>
        </w:rPr>
      </w:pPr>
    </w:p>
    <w:p>
      <w:pPr>
        <w:ind w:right="4220"/>
        <w:spacing w:after="0" w:line="250" w:lineRule="auto"/>
        <w:rPr>
          <w:sz w:val="20"/>
          <w:szCs w:val="20"/>
          <w:color w:val="auto"/>
        </w:rPr>
      </w:pPr>
      <w:r>
        <w:rPr>
          <w:rFonts w:ascii="Courier New" w:cs="Courier New" w:eastAsia="Courier New" w:hAnsi="Courier New"/>
          <w:sz w:val="14"/>
          <w:szCs w:val="14"/>
          <w:color w:val="auto"/>
        </w:rPr>
        <w:t>preferred stock possess sole voting power, but no investment power, with respect to these units. Deferred common share equivalents are stock equivalents equal in value to common stock which earn dividend equivalents equal to dividends declared on common stock. Executive officers are credited with deferred common share equivalents under the supplemental employees savings plan of Mobil Oil Corporation, and incentive awards to these officers may be deferred and paid in equivalents under the 1995 Mobil incentive compensation and stock ownership plan and its predecessors. Non-employee directors receive a portion of their annual retainers in equivalents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may elect to receive all or part of their fees and the cash portion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annual retainers in equivalents under the deferred fee plan referred to 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V-22</w:t>
      </w:r>
    </w:p>
    <w:p>
      <w:pPr>
        <w:sectPr>
          <w:pgSz w:w="11900" w:h="16838" w:orient="portrait"/>
          <w:cols w:equalWidth="0" w:num="1">
            <w:col w:w="10860"/>
          </w:cols>
          <w:pgMar w:left="220" w:top="616" w:right="819" w:bottom="1440" w:gutter="0" w:footer="0" w:header="0"/>
        </w:sectPr>
      </w:pPr>
    </w:p>
    <w:bookmarkStart w:id="137" w:name="page138"/>
    <w:bookmarkEnd w:id="137"/>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page V-9. In addition, when the retirement plan for non-employee directors was terminated in January 1997, some directors elected to receive the actuarial present values of their accrued benefits under that plan in such equivalents. Individuals credited with deferred common share equivalents do not have voting power and may only exercise investment power in very limited circumstances, in respect of these equivalents.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 individual named above owns beneficially more than 1% of the outstanding shares of either of Mobil's classes of voting securities, nor do all directors and current executive officers as a group, including those named above. As of March 1, 1999, the trustee under the employees savings plan of Mobil Oil Corporation held 28,015,387 shares of the common stock of Mobil in the plan, which is approximately 3.59% of the total number of shares of Mobil common stock outstanding at that date. As of the same date, the trustee under the Mobil ESOP, which is incorporated in the employees savings plan of Mobil Oil Corporation, held all 163,469 outstanding shares of the Mobil ESOP preferred stock. The shares of common stock and preferred stock held by the trustees together represented 5.57% of the votes which may be cast by the voting securities of Mobil outstanding as of March 1, 1999. All these shares of common stock are beneficially owned by participants in the employees savings plan of Mobil Oil Corporation; all these shares of Mobil ESOP preferred stock which have been allocated to participants in the Mobil ESOP, numbering 90,260, are beneficially owned by these participants, the balance being held for allocation over the life of the plan.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Arrangements Relating to Possible Change of Control</w:t>
      </w:r>
    </w:p>
    <w:p>
      <w:pPr>
        <w:spacing w:after="0" w:line="173" w:lineRule="exact"/>
        <w:rPr>
          <w:sz w:val="20"/>
          <w:szCs w:val="20"/>
          <w:color w:val="auto"/>
        </w:rPr>
      </w:pPr>
    </w:p>
    <w:p>
      <w:pPr>
        <w:ind w:left="440" w:right="3779" w:firstLine="517"/>
        <w:spacing w:after="0" w:line="252" w:lineRule="auto"/>
        <w:rPr>
          <w:sz w:val="20"/>
          <w:szCs w:val="20"/>
          <w:color w:val="auto"/>
        </w:rPr>
      </w:pPr>
      <w:r>
        <w:rPr>
          <w:rFonts w:ascii="Courier New" w:cs="Courier New" w:eastAsia="Courier New" w:hAnsi="Courier New"/>
          <w:sz w:val="14"/>
          <w:szCs w:val="14"/>
          <w:color w:val="auto"/>
        </w:rPr>
        <w:t>For a discussion of special arrangements affecting executive management which would result from a change of control, see "Interests of Certain Persons in the Merger" on page I-49.</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left="440" w:right="3779" w:firstLine="517"/>
        <w:spacing w:after="0" w:line="251" w:lineRule="auto"/>
        <w:rPr>
          <w:sz w:val="20"/>
          <w:szCs w:val="20"/>
          <w:color w:val="auto"/>
        </w:rPr>
      </w:pPr>
      <w:r>
        <w:rPr>
          <w:rFonts w:ascii="Courier New" w:cs="Courier New" w:eastAsia="Courier New" w:hAnsi="Courier New"/>
          <w:sz w:val="14"/>
          <w:szCs w:val="14"/>
          <w:color w:val="auto"/>
        </w:rPr>
        <w:t>Pursuant to Section 16(a) of the Securities and Exchange Act of 1934, Mobil's directors and officers are required to file reports with the SEC and the NYSE, within specified monthly and annual due dates, relating to their ownership of and transactions in Mobil's equity securities. Robert F. Amrhein, an officer of Mobil, inadvertently filed one monthly report relating to one transaction after the date by which it should have been filed.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V-23</w:t>
      </w:r>
    </w:p>
    <w:p>
      <w:pPr>
        <w:sectPr>
          <w:pgSz w:w="11900" w:h="16838" w:orient="portrait"/>
          <w:cols w:equalWidth="0" w:num="1">
            <w:col w:w="10239"/>
          </w:cols>
          <w:pgMar w:left="220" w:top="616" w:right="1440" w:bottom="1440" w:gutter="0" w:footer="0" w:header="0"/>
        </w:sectPr>
      </w:pPr>
    </w:p>
    <w:bookmarkStart w:id="138" w:name="page139"/>
    <w:bookmarkEnd w:id="138"/>
    <w:p>
      <w:pPr>
        <w:jc w:val="center"/>
        <w:ind w:right="3239"/>
        <w:spacing w:after="0"/>
        <w:rPr>
          <w:sz w:val="20"/>
          <w:szCs w:val="20"/>
          <w:color w:val="auto"/>
        </w:rPr>
      </w:pPr>
      <w:r>
        <w:rPr>
          <w:rFonts w:ascii="Courier New" w:cs="Courier New" w:eastAsia="Courier New" w:hAnsi="Courier New"/>
          <w:sz w:val="14"/>
          <w:szCs w:val="14"/>
          <w:color w:val="auto"/>
        </w:rPr>
        <w:t>CHAPTER SIX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ADDITIONAL INFORMATION FOR SHAREHOLDERS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FUTURE SHAREHOLDER PROPOSALS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shareholder proposal for Exxon's annual meeting in 2000 must be sent to the Secretary at the address of Exxon's principal executive office given under "The Companies" on page I-2. The deadline for receipt of a proposal to be considered for inclusion in Exxon's proxy statement is December 11, 1999. The deadline for notice of a proposal for which a shareholder will conduct his or her own solicitation is February 23, 2000. On request, the Secretary will provide detailed instructions for submitting proposals.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Mobil will hold an annual meeting in the year 2000 only if the merger has not already been completed. If such meeting is held, shareholders' proposals will be eligible for consideration for inclusion in the proxy statement for the 2000 annual meeting pursuant to Rule 14a-8 under the Securities and Exchange Act of 1934, as amended, if such proposals are received by Mobil before the close of business on December 10, 1999. Notices of shareholders' proposals submitted outside the processes of Rule 14a-8 will be considered timely, pursuant to the advance notice requirement set forth in Article II, Section 1 of Mobil's by-laws, if such notices are delivered to or mailed and received by Mobil during the period beginning on February 25, 2000 and ending at the close of business on March 27, 2000. Any such proposal or notice should be directed to the attention of the Secretary, Mobil Corporation, 3225 Gallows Road, Fairfax, Virginia 22037-0001.</w:t>
      </w:r>
    </w:p>
    <w:p>
      <w:pPr>
        <w:spacing w:after="0" w:line="329"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SEC rules set forth standards for the exclusion of some shareholder proposals from a proxy statement for an annual meeting.</w:t>
      </w:r>
    </w:p>
    <w:p>
      <w:pPr>
        <w:spacing w:after="0" w:line="326"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file annual, quarterly and special reports, proxy statements and other information with the SEC. You may read and copy any reports, statements or other information we file at the SEC's public reference rooms in Washington, D.C., New York, New York and Chicago, Illinois. Please call the SEC at 1-800-SEC-0330 for further information on the public reference rooms. Our SEC filings are also available to the public from commercial document retrieval services and at the web site maintained by the SEC at "http://www.sec.gov."</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Exxon filed a registration statement on Form S-4 to register with the SEC the Exxon common stock to be issued to Mobil shareholders in the merger. This joint proxy statement/prospectus is a part of that registration statement and constitutes a prospectus of Exxon in addition to being a proxy statement of Exxon and Mobil for the meetings. As allowed by SEC rules, this joint proxy statement/prospectus does not contain all the information you can find in the registration statement or the exhibits to the registration statement.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SEC allows us to "incorporate by reference" information into this joint proxy statement/prospectus, which means that we can disclose important information to you by referring you to another document filed separately with the SEC. The information incorporated by reference is deemed to be part of this joint proxy statement/prospectus, except for any information superseded by information in, or incorporated by reference in, this joint proxy statement/ prospectus. This joint proxy statement/prospectus incorporates by reference the documents set forth below that we have previously filed with the SEC. These documents contain important information about our companies and their finances.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VI-1</w:t>
      </w:r>
    </w:p>
    <w:p>
      <w:pPr>
        <w:sectPr>
          <w:pgSz w:w="11900" w:h="16838" w:orient="portrait"/>
          <w:cols w:equalWidth="0" w:num="1">
            <w:col w:w="10239"/>
          </w:cols>
          <w:pgMar w:left="220" w:top="450"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Chapter Six - Additional Information for Shareholders</w:t>
      </w:r>
    </w:p>
    <w:p>
      <w:pPr>
        <w:spacing w:after="0" w:line="338"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Exxon SEC Filings (File No. 1-2256)</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tabs>
          <w:tab w:leader="none" w:pos="3780" w:val="left"/>
        </w:tabs>
        <w:rPr>
          <w:sz w:val="20"/>
          <w:szCs w:val="20"/>
          <w:color w:val="auto"/>
        </w:rPr>
      </w:pPr>
      <w:r>
        <w:rPr>
          <w:rFonts w:ascii="Courier New" w:cs="Courier New" w:eastAsia="Courier New" w:hAnsi="Courier New"/>
          <w:sz w:val="14"/>
          <w:szCs w:val="14"/>
          <w:color w:val="auto"/>
        </w:rPr>
        <w:t>Annual Report on Form 10-K</w:t>
      </w:r>
      <w:r>
        <w:rPr>
          <w:sz w:val="20"/>
          <w:szCs w:val="20"/>
          <w:color w:val="auto"/>
        </w:rPr>
        <w:tab/>
      </w:r>
      <w:r>
        <w:rPr>
          <w:rFonts w:ascii="Courier New" w:cs="Courier New" w:eastAsia="Courier New" w:hAnsi="Courier New"/>
          <w:sz w:val="14"/>
          <w:szCs w:val="14"/>
          <w:color w:val="auto"/>
        </w:rPr>
        <w:t>Fiscal Year ended December 31, 1998</w:t>
      </w:r>
    </w:p>
    <w:p>
      <w:pPr>
        <w:spacing w:after="0" w:line="7" w:lineRule="exact"/>
        <w:rPr>
          <w:sz w:val="20"/>
          <w:szCs w:val="20"/>
          <w:color w:val="auto"/>
        </w:rPr>
      </w:pPr>
    </w:p>
    <w:p>
      <w:pPr>
        <w:ind w:left="100"/>
        <w:spacing w:after="0"/>
        <w:tabs>
          <w:tab w:leader="none" w:pos="3780" w:val="left"/>
        </w:tabs>
        <w:rPr>
          <w:sz w:val="20"/>
          <w:szCs w:val="20"/>
          <w:color w:val="auto"/>
        </w:rPr>
      </w:pPr>
      <w:r>
        <w:rPr>
          <w:rFonts w:ascii="Courier New" w:cs="Courier New" w:eastAsia="Courier New" w:hAnsi="Courier New"/>
          <w:sz w:val="14"/>
          <w:szCs w:val="14"/>
          <w:color w:val="auto"/>
        </w:rPr>
        <w:t>Current Report on Form 8-K</w:t>
      </w:r>
      <w:r>
        <w:rPr>
          <w:sz w:val="20"/>
          <w:szCs w:val="20"/>
          <w:color w:val="auto"/>
        </w:rPr>
        <w:tab/>
      </w:r>
      <w:r>
        <w:rPr>
          <w:rFonts w:ascii="Courier New" w:cs="Courier New" w:eastAsia="Courier New" w:hAnsi="Courier New"/>
          <w:sz w:val="14"/>
          <w:szCs w:val="14"/>
          <w:color w:val="auto"/>
        </w:rPr>
        <w:t>Filed on December 1, 1998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description of Exxon common stock</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set forth in the Registration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Statement on Form 10 filed April 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1935, as amended by Current Report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on Form 8-K for the month of May 1970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Quarterly Report on Form 10-Q for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quarter ended June 30, 1993</w:t>
      </w:r>
    </w:p>
    <w:p>
      <w:pPr>
        <w:spacing w:after="0" w:line="173"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Mobil SEC Filings (File No. 001-07555)</w:t>
      </w:r>
      <w:r>
        <w:rPr>
          <w:sz w:val="20"/>
          <w:szCs w:val="20"/>
          <w:color w:val="auto"/>
        </w:rPr>
        <w:tab/>
      </w:r>
      <w:r>
        <w:rPr>
          <w:rFonts w:ascii="Courier New" w:cs="Courier New" w:eastAsia="Courier New" w:hAnsi="Courier New"/>
          <w:sz w:val="13"/>
          <w:szCs w:val="13"/>
          <w:color w:val="auto"/>
        </w:rPr>
        <w:t>Period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5"/>
          </w:tcPr>
          <w:p>
            <w:pPr>
              <w:spacing w:after="0"/>
              <w:rPr>
                <w:sz w:val="20"/>
                <w:szCs w:val="20"/>
                <w:color w:val="auto"/>
              </w:rPr>
            </w:pPr>
            <w:r>
              <w:rPr>
                <w:rFonts w:ascii="Courier New" w:cs="Courier New" w:eastAsia="Courier New" w:hAnsi="Courier New"/>
                <w:sz w:val="14"/>
                <w:szCs w:val="14"/>
                <w:color w:val="auto"/>
              </w:rPr>
              <w:t>Annual Report on Form 10-K</w:t>
            </w:r>
          </w:p>
        </w:tc>
        <w:tc>
          <w:tcPr>
            <w:tcW w:w="22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Fiscal Year ended</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1998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Report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8-K</w:t>
            </w: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27,</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Report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8-K</w:t>
            </w: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r>
    </w:tbl>
    <w:p>
      <w:pPr>
        <w:spacing w:after="0" w:line="17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are also incorporating by reference additional documents that we file with the SEC between the date of this joint proxy statement/prospectus and the date of the meetings.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Exxon has supplied all information contained or incorporated by reference in this joint proxy statement/prospectus relating to Exxon, and Mobil has supplied all such information relating to Mobil.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are a shareholder, we may have sent you some of the documents incorporated by reference, but you can obtain any of them through us or the SEC. Documents incorporated by reference are available from us without charge, excluding all exhibits unless we have specifically incorporated by reference an exhibit in this joint proxy statement/prospectus. Shareholders may obtain documents incorporated by reference in this joint proxy statement/prospectus by requesting them in writing or by telephone from the appropriate party at the following address:</w:t>
      </w:r>
    </w:p>
    <w:p>
      <w:pPr>
        <w:spacing w:after="0" w:line="16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Exxon Shareholder Services</w:t>
            </w:r>
          </w:p>
        </w:tc>
        <w:tc>
          <w:tcPr>
            <w:tcW w:w="22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Mobil Corporation</w:t>
            </w:r>
          </w:p>
        </w:tc>
      </w:tr>
      <w:tr>
        <w:trPr>
          <w:trHeight w:val="166"/>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P.O. Box 8033</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3225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Gallows Road</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Boston, MA</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02266-8033</w:t>
            </w:r>
          </w:p>
        </w:tc>
        <w:tc>
          <w:tcPr>
            <w:tcW w:w="22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Fairfax, VA 22307-0001</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Tel: (800)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252-1800</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Tel: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(703) 846-3893</w:t>
            </w:r>
          </w:p>
        </w:tc>
      </w:tr>
    </w:tbl>
    <w:p>
      <w:pPr>
        <w:spacing w:after="0" w:line="17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If you would like to request documents from us, please do so by May 20, 1999 to receive them before the Meetings.</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You can also get more information by visiting Exxon's web site at www.exxon.com and Mobil's web site at www.mobil.com. Web site materials are not part of this joint proxy statement/prospectus.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should rely only on the information contained or incorporated by reference in this joint proxy statement/prospectus to vote on the Exxon proposals and the Mobil proposals. We have not authorized anyone to provide you with information that is different from what is contained in this joint proxy statement/ prospectus. This joint proxy statement/prospectus is dated April 5, 1999. You should not assume that the information contained in the joint proxy statement/ prospectus is accurate as of any date other than such date, an neither the mailing of this joint proxy statement/prospectus to shareholders nor the issuance of Exxon common stock in the merger shall create any implication to the contrary.</w:t>
      </w: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VI-2</w:t>
      </w:r>
    </w:p>
    <w:p>
      <w:pPr>
        <w:sectPr>
          <w:pgSz w:w="11900" w:h="16838" w:orient="portrait"/>
          <w:cols w:equalWidth="0" w:num="1">
            <w:col w:w="10239"/>
          </w:cols>
          <w:pgMar w:left="220" w:top="782" w:right="1440" w:bottom="1440" w:gutter="0" w:footer="0" w:header="0"/>
        </w:sectPr>
      </w:pPr>
    </w:p>
    <w:bookmarkStart w:id="140" w:name="page141"/>
    <w:bookmarkEnd w:id="140"/>
    <w:p>
      <w:pPr>
        <w:jc w:val="right"/>
        <w:ind w:right="3519"/>
        <w:spacing w:after="0"/>
        <w:rPr>
          <w:sz w:val="20"/>
          <w:szCs w:val="20"/>
          <w:color w:val="auto"/>
        </w:rPr>
      </w:pPr>
      <w:r>
        <w:rPr>
          <w:rFonts w:ascii="Courier New" w:cs="Courier New" w:eastAsia="Courier New" w:hAnsi="Courier New"/>
          <w:sz w:val="14"/>
          <w:szCs w:val="1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dated as of</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December 1, 1998</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MOBIL CORPORATION</w:t>
      </w:r>
    </w:p>
    <w:p>
      <w:pPr>
        <w:spacing w:after="0" w:line="173"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EXXON CORPORATION</w:t>
      </w:r>
    </w:p>
    <w:p>
      <w:pPr>
        <w:spacing w:after="0" w:line="173"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LION ACQUISITION SUBSIDIARY CORPORATION</w:t>
      </w:r>
    </w:p>
    <w:p>
      <w:pPr>
        <w:sectPr>
          <w:pgSz w:w="11900" w:h="16838" w:orient="portrait"/>
          <w:cols w:equalWidth="0" w:num="1">
            <w:col w:w="9019"/>
          </w:cols>
          <w:pgMar w:left="1440" w:top="450" w:right="1440" w:bottom="1440" w:gutter="0" w:footer="0" w:header="0"/>
        </w:sectPr>
      </w:pPr>
    </w:p>
    <w:bookmarkStart w:id="141" w:name="page142"/>
    <w:bookmarkEnd w:id="141"/>
    <w:tbl>
      <w:tblPr>
        <w:tblLayout w:type="fixed"/>
        <w:tblInd w:w="3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820" w:type="dxa"/>
            <w:vAlign w:val="bottom"/>
          </w:tcPr>
          <w:p>
            <w:pPr>
              <w:jc w:val="center"/>
              <w:ind w:right="14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4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r>
      <w:tr>
        <w:trPr>
          <w:trHeight w:val="331"/>
        </w:trPr>
        <w:tc>
          <w:tcPr>
            <w:tcW w:w="12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1200" w:type="dxa"/>
            <w:vAlign w:val="bottom"/>
          </w:tcPr>
          <w:p>
            <w:pPr>
              <w:spacing w:after="0"/>
              <w:rPr>
                <w:sz w:val="14"/>
                <w:szCs w:val="1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Conversion of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Surrender and Payment...................................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Stock Options...........................................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Adjustments.............................................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Fractional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Withholding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Lost Certificates.......................................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Shares Held by Company Affiliates.......................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1.10.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Dissenter's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331"/>
        </w:trPr>
        <w:tc>
          <w:tcPr>
            <w:tcW w:w="1200" w:type="dxa"/>
            <w:vAlign w:val="bottom"/>
          </w:tcPr>
          <w:p>
            <w:pPr>
              <w:spacing w:after="0"/>
              <w:rPr>
                <w:sz w:val="24"/>
                <w:szCs w:val="2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jc w:val="center"/>
              <w:ind w:right="1468"/>
              <w:spacing w:after="0"/>
              <w:rPr>
                <w:sz w:val="20"/>
                <w:szCs w:val="20"/>
                <w:color w:val="auto"/>
              </w:rPr>
            </w:pPr>
            <w:r>
              <w:rPr>
                <w:rFonts w:ascii="Courier New" w:cs="Courier New" w:eastAsia="Courier New" w:hAnsi="Courier New"/>
                <w:sz w:val="14"/>
                <w:szCs w:val="14"/>
                <w:color w:val="auto"/>
              </w:rPr>
              <w:t>CERTAIN GOVERNANCE MATTERS</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Acquiror Name...........................................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Acquiror Board of Directors.............................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Transition Committee....................................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6020" w:type="dxa"/>
            <w:vAlign w:val="bottom"/>
            <w:gridSpan w:val="2"/>
          </w:tcPr>
          <w:p>
            <w:pPr>
              <w:spacing w:after="0"/>
              <w:rPr>
                <w:sz w:val="20"/>
                <w:szCs w:val="20"/>
                <w:color w:val="auto"/>
              </w:rPr>
            </w:pPr>
            <w:r>
              <w:rPr>
                <w:rFonts w:ascii="Courier New" w:cs="Courier New" w:eastAsia="Courier New" w:hAnsi="Courier New"/>
                <w:sz w:val="14"/>
                <w:szCs w:val="14"/>
                <w:color w:val="auto"/>
              </w:rPr>
              <w:t>SECTION 2.04.  Certificate of Incorporation of the Surviving</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By-laws of the Surviving 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Directors and Officers of the Surviving 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331"/>
        </w:trPr>
        <w:tc>
          <w:tcPr>
            <w:tcW w:w="1200" w:type="dxa"/>
            <w:vAlign w:val="bottom"/>
          </w:tcPr>
          <w:p>
            <w:pPr>
              <w:spacing w:after="0"/>
              <w:rPr>
                <w:sz w:val="24"/>
                <w:szCs w:val="2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r>
      <w:tr>
        <w:trPr>
          <w:trHeight w:val="166"/>
        </w:trPr>
        <w:tc>
          <w:tcPr>
            <w:tcW w:w="602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REPRESENTATIONS AND WARRANTIES OF THE COMPANY</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Existence and Power...........................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Authorization.................................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Governmental Authorization..............................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Non-Contravention.......................................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Capitalization of the Company...........................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Subsidiaries............................................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 Filings............................................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Disclosure Documents...................................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Absence of Certain Changes.............................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 Undisclosed Material Liabilities....................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Litigation.............................................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Employee Benefit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A-13</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Compliance with Laws...................................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Finders' or Advisors' Fees.............................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Environmental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Opinion of Financial Advisor...........................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Tax Treatment.................................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 is not a part of this Agreement.</w:t>
      </w:r>
    </w:p>
    <w:p>
      <w:pPr>
        <w:sectPr>
          <w:pgSz w:w="11900" w:h="16838" w:orient="portrait"/>
          <w:cols w:equalWidth="0" w:num="1">
            <w:col w:w="10239"/>
          </w:cols>
          <w:pgMar w:left="220" w:top="450"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3.20.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Letter.........................................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3.21.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Takeover Statutes......................................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3.22.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Rights Agreement.......................................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r>
      <w:tr>
        <w:trPr>
          <w:trHeight w:val="166"/>
        </w:trPr>
        <w:tc>
          <w:tcPr>
            <w:tcW w:w="602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REPRESENTATIONS AND WARRANTIES OF ACQUIROR</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Existence and Power..........................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Authorization................................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Governmental Authorization.............................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Non-Contravention......................................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Capitalization.........................................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Subsidiaries...........................................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 Filings............................................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Disclosure Documents...................................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Absence of Certain Changes.............................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 Undisclosed Material Liabilities....................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Litigation.............................................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Employee Benefit Plans.................................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Compliance with Laws...................................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Finders' or Advisors' Fees.............................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Environmental Matters..................................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Opinion of Financial Advisor...........................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Tax Treatment.................................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4.20.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Letter.........................................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5</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ind w:left="600"/>
              <w:spacing w:after="0"/>
              <w:rPr>
                <w:sz w:val="20"/>
                <w:szCs w:val="20"/>
                <w:color w:val="auto"/>
              </w:rPr>
            </w:pPr>
            <w:r>
              <w:rPr>
                <w:rFonts w:ascii="Courier New" w:cs="Courier New" w:eastAsia="Courier New" w:hAnsi="Courier New"/>
                <w:sz w:val="14"/>
                <w:szCs w:val="14"/>
                <w:color w:val="auto"/>
              </w:rPr>
              <w:t>COVENANTS OF THE COMPANY</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Conduct of the Company.................................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Stockholder Meeting; Proxy Material............</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A-23</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Other Offers...........................................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A-23</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6</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COVENANTS OF ACQUIROR</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Conduct of Acquiror....................................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Obligations of Merger Subsidiary.......................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and Officer Liability.........................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Acquiror Stockholder Meeting; Form S-4.................</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Stock Exchange Listing.................................</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Employee Benefits......................................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A-27</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7</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COVENANTS OF ACQUIROR AND THE COMPANY</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Best Efforts...........................................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Certain Filings........................................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Access to Information..................................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Tax and Accounting Treatment...........................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bl>
    <w:p>
      <w:pPr>
        <w:spacing w:after="0" w:line="170"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A-ii</w:t>
      </w:r>
    </w:p>
    <w:p>
      <w:pPr>
        <w:sectPr>
          <w:pgSz w:w="11900" w:h="16838" w:orient="portrait"/>
          <w:cols w:equalWidth="0" w:num="1">
            <w:col w:w="9879"/>
          </w:cols>
          <w:pgMar w:left="580" w:top="616"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2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7.05.</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Public Announcements...................................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7.06.</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Further Assurances.....................................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7.07.</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Notices of Certain Events..............................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7.08.</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Affiliates.............................................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7.09.</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Payment of Dividends...................................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331"/>
        </w:trPr>
        <w:tc>
          <w:tcPr>
            <w:tcW w:w="1240" w:type="dxa"/>
            <w:vAlign w:val="bottom"/>
          </w:tcPr>
          <w:p>
            <w:pPr>
              <w:spacing w:after="0"/>
              <w:rPr>
                <w:sz w:val="24"/>
                <w:szCs w:val="2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ARTICLE 8</w:t>
            </w:r>
          </w:p>
        </w:tc>
        <w:tc>
          <w:tcPr>
            <w:tcW w:w="340" w:type="dxa"/>
            <w:vAlign w:val="bottom"/>
          </w:tcPr>
          <w:p>
            <w:pPr>
              <w:spacing w:after="0"/>
              <w:rPr>
                <w:sz w:val="24"/>
                <w:szCs w:val="2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CONDITIONS TO THE MERGER</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8.01.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Conditions to the Obligations of Each Party............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166"/>
        </w:trPr>
        <w:tc>
          <w:tcPr>
            <w:tcW w:w="6020" w:type="dxa"/>
            <w:vAlign w:val="bottom"/>
            <w:gridSpan w:val="2"/>
          </w:tcPr>
          <w:p>
            <w:pPr>
              <w:spacing w:after="0"/>
              <w:rPr>
                <w:sz w:val="20"/>
                <w:szCs w:val="20"/>
                <w:color w:val="auto"/>
              </w:rPr>
            </w:pPr>
            <w:r>
              <w:rPr>
                <w:rFonts w:ascii="Courier New" w:cs="Courier New" w:eastAsia="Courier New" w:hAnsi="Courier New"/>
                <w:sz w:val="14"/>
                <w:szCs w:val="14"/>
                <w:color w:val="auto"/>
              </w:rPr>
              <w:t>SECTION 8.02.  Conditions to the Obligations of Acquiror and</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Merger Subsidiary......................................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A-31</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8.03.</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Conditions to the Obligations of the Company...........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A-32</w:t>
            </w:r>
          </w:p>
        </w:tc>
      </w:tr>
      <w:tr>
        <w:trPr>
          <w:trHeight w:val="331"/>
        </w:trPr>
        <w:tc>
          <w:tcPr>
            <w:tcW w:w="1240" w:type="dxa"/>
            <w:vAlign w:val="bottom"/>
          </w:tcPr>
          <w:p>
            <w:pPr>
              <w:spacing w:after="0"/>
              <w:rPr>
                <w:sz w:val="24"/>
                <w:szCs w:val="2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ARTICLE 9</w:t>
            </w:r>
          </w:p>
        </w:tc>
        <w:tc>
          <w:tcPr>
            <w:tcW w:w="340" w:type="dxa"/>
            <w:vAlign w:val="bottom"/>
          </w:tcPr>
          <w:p>
            <w:pPr>
              <w:spacing w:after="0"/>
              <w:rPr>
                <w:sz w:val="24"/>
                <w:szCs w:val="2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9.01.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A-33</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9.02.</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Effect of Termination..................................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A-34</w:t>
            </w:r>
          </w:p>
        </w:tc>
      </w:tr>
      <w:tr>
        <w:trPr>
          <w:trHeight w:val="331"/>
        </w:trPr>
        <w:tc>
          <w:tcPr>
            <w:tcW w:w="1240" w:type="dxa"/>
            <w:vAlign w:val="bottom"/>
          </w:tcPr>
          <w:p>
            <w:pPr>
              <w:spacing w:after="0"/>
              <w:rPr>
                <w:sz w:val="24"/>
                <w:szCs w:val="24"/>
                <w:color w:val="auto"/>
              </w:rPr>
            </w:pPr>
          </w:p>
        </w:tc>
        <w:tc>
          <w:tcPr>
            <w:tcW w:w="47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10</w:t>
            </w:r>
          </w:p>
        </w:tc>
        <w:tc>
          <w:tcPr>
            <w:tcW w:w="340" w:type="dxa"/>
            <w:vAlign w:val="bottom"/>
          </w:tcPr>
          <w:p>
            <w:pPr>
              <w:spacing w:after="0"/>
              <w:rPr>
                <w:sz w:val="24"/>
                <w:szCs w:val="2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A-34</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10.02.</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Non-Survival of Representations and Warranties........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10.03.</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Amendments; No Waivers................................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10.04.</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10.05.</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A-36</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10.06.</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Governing Law.........................................</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A-36</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10.07.</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Jurisdiction..........................................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A-36</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10.08.</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Waiver of Jury Trial..................................</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10.09.</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Counterparts; Effectiveness...........................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10.10.</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Entire Agreement......................................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10.11.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Captions..............................................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10.12.</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bl>
    <w:p>
      <w:pPr>
        <w:spacing w:after="0" w:line="170"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A-iii</w:t>
      </w:r>
    </w:p>
    <w:p>
      <w:pPr>
        <w:sectPr>
          <w:pgSz w:w="11900" w:h="16838" w:orient="portrait"/>
          <w:cols w:equalWidth="0" w:num="1">
            <w:col w:w="9879"/>
          </w:cols>
          <w:pgMar w:left="580" w:top="451" w:right="144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EXHIBITS AND</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SCHEDULES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Stock Option Agreement</w:t>
            </w:r>
          </w:p>
        </w:tc>
        <w:tc>
          <w:tcPr>
            <w:tcW w:w="90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Letter Relating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Pooling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Letter Relating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Pooling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(Acquiror)</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Affiliate's Letter</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C-1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Tax Certificate</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(Acquiror)</w:t>
            </w:r>
          </w:p>
        </w:tc>
        <w:tc>
          <w:tcPr>
            <w:tcW w:w="9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C-2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Tax Certificate</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w:t>
            </w:r>
          </w:p>
        </w:tc>
        <w:tc>
          <w:tcPr>
            <w:tcW w:w="9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3.11(c)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4.11(c)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7.08(a)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7.08(b)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8.01(e)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A-iv</w:t>
      </w:r>
    </w:p>
    <w:p>
      <w:pPr>
        <w:sectPr>
          <w:pgSz w:w="11900" w:h="16838" w:orient="portrait"/>
          <w:cols w:equalWidth="0" w:num="1">
            <w:col w:w="10239"/>
          </w:cols>
          <w:pgMar w:left="220" w:top="450" w:right="1440" w:bottom="1440" w:gutter="0" w:footer="0" w:header="0"/>
        </w:sectPr>
      </w:pPr>
    </w:p>
    <w:bookmarkStart w:id="145" w:name="page146"/>
    <w:bookmarkEnd w:id="145"/>
    <w:p>
      <w:pPr>
        <w:ind w:left="198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AGREEMENT AND PLAN OF MERGER dated as of December 1, 1998 among Mobil Corporation, a Delaware corporation (the "Company"), Exxon Corporation, a New Jersey corporation ("Acquiror"), and Lion Acquisition Subsidiary Corporation, a newly-formed Delaware corporation and a wholly-owned first-tier subsidiary of Acquiror ("Merger Subsidiary").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respective Boards of Directors of Acquiror, Merger Subsidiary and the Company have approved this Agreement, and deem it advisable and in the best interests of their respective stockholders to consummate the merger of Merger Subsidiary with and into the Company on the terms and conditions set forth herein;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for United States federal income tax purposes, it is intended that the Merger contemplated by this Agreement qualify as a "reorganization" within the meaning of Section 368 of the Internal Revenue Code of 1986, as amended (the "Code"), and the rules and regulations promulgated thereunder;</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WHEREAS, for accounting purposes, it is intended that the Merger be accounted for as a pooling of interests under United States generally accepted accounting principles ("GAAP"); and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as a condition and inducement to Acquiror entering into this Agreement and incurring the obligations set forth herein, concurrently with the execution and delivery of this Agreement, Acquiror and the Company are entering into a Stock Option Agreement in the form of Exhibit A hereto (the "Option Agreement") pursuant to which the Company has granted Acquiror an option, exercisable under the circumstances specified therein, to purchase shares of common stock, par value $1.00 per share, of the Company (the "Shares").</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promises and the respective representations, warranties, covenants, and agreements set forth herein, the parties hereto agree as follows:</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1.01. The Merger. (a) At the Effective Time, Merger Subsidiary shall be merged (the "Merger") with and into the Company in accordance with the requirements of the General Corporation Law of the State of Delaware (the "Delaware Law"), whereupon the separate existence of Merger Subsidiary shall cease, and the Company shall be the surviving corporation in the Merger (the "Surviving Corporation").</w:t>
      </w:r>
    </w:p>
    <w:p>
      <w:pPr>
        <w:spacing w:after="0" w:line="164" w:lineRule="exact"/>
        <w:rPr>
          <w:sz w:val="20"/>
          <w:szCs w:val="20"/>
          <w:color w:val="auto"/>
        </w:rPr>
      </w:pPr>
    </w:p>
    <w:p>
      <w:pPr>
        <w:ind w:right="3419" w:firstLine="439"/>
        <w:spacing w:after="0" w:line="251" w:lineRule="auto"/>
        <w:tabs>
          <w:tab w:leader="none" w:pos="77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satisfaction or, to the extent permitted hereunder, waiver of all conditions to the Merger, the Company and Merger Subsidiary will file a certificate of merger with the Secretary of State of the State of Delaware and make all other filings or recordings required by Delaware Law in connection with the Merger. The Merger shall become effective at such time as the certificate of merger is duly filed with the Secretary of State of the State of Delaware or at such later time as is specified in the certificate of merger (the "Effective Time").</w:t>
      </w:r>
    </w:p>
    <w:p>
      <w:pPr>
        <w:spacing w:after="0" w:line="163"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 Surviving Corporation shall possess all the rights, privileges, powers and franchises and be subject to all of the restrictions, disabilities and duties of the Company and Merger Subsidiary, all as provided under Delaware Law.</w:t>
      </w:r>
    </w:p>
    <w:p>
      <w:pPr>
        <w:spacing w:after="0" w:line="162" w:lineRule="exact"/>
        <w:rPr>
          <w:rFonts w:ascii="Courier New" w:cs="Courier New" w:eastAsia="Courier New" w:hAnsi="Courier New"/>
          <w:sz w:val="14"/>
          <w:szCs w:val="14"/>
          <w:color w:val="auto"/>
        </w:rPr>
      </w:pPr>
    </w:p>
    <w:p>
      <w:pPr>
        <w:ind w:right="3339" w:firstLine="525"/>
        <w:spacing w:after="0" w:line="250" w:lineRule="auto"/>
        <w:tabs>
          <w:tab w:leader="none" w:pos="861"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Merger (the "Closing") shall take place (i) at the offices of Davis Polk &amp; Wardwell, 450 Lexington Avenue, New York, NY, as soon as practicable, but in any event within three business days after the day on which the last to be fulfilled or waived of the conditions set forth in Article 8 (other than those conditions that by their nature are to be fulfilled at the Closing, but subject to the fulfillment or waiver of such conditions) shall be fulfilled or waived in accordance with this Agreement or (ii) at such other place and time or on such other date as the Company and Acquiror may agree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writing (the "Closing Date").</w:t>
      </w:r>
    </w:p>
    <w:p>
      <w:pPr>
        <w:sectPr>
          <w:pgSz w:w="11900" w:h="16838" w:orient="portrait"/>
          <w:cols w:equalWidth="0" w:num="1">
            <w:col w:w="10239"/>
          </w:cols>
          <w:pgMar w:left="220" w:top="616"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SECTION 1.02. Conversion of Shares. (a) At the Effective Time by virtue of the Merger and without any action on the part of the holder thereof:</w:t>
      </w:r>
    </w:p>
    <w:p>
      <w:pPr>
        <w:spacing w:after="0" w:line="163" w:lineRule="exact"/>
        <w:rPr>
          <w:sz w:val="20"/>
          <w:szCs w:val="20"/>
          <w:color w:val="auto"/>
        </w:rPr>
      </w:pPr>
    </w:p>
    <w:p>
      <w:pPr>
        <w:ind w:left="440" w:right="3339" w:firstLine="430"/>
        <w:spacing w:after="0" w:line="251"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held by the Company as treasury stock or owned by Acquiror or any subsidiary of Acquiror (excluding Shares, if any, held in any "Rabbi trust" identified on Schedule 3.14, which may be accounted for as treasury stock ("Rabbi Trust Shares")) immediately prior to the Effective Time (together with the associated Company Right (as defined in Section 3.05), if any) shall be canceled, and no payment shall be made with respect thereto;</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64" w:lineRule="exact"/>
        <w:rPr>
          <w:rFonts w:ascii="Courier New" w:cs="Courier New" w:eastAsia="Courier New" w:hAnsi="Courier New"/>
          <w:sz w:val="14"/>
          <w:szCs w:val="14"/>
          <w:color w:val="auto"/>
        </w:rPr>
      </w:pPr>
    </w:p>
    <w:p>
      <w:pPr>
        <w:ind w:left="440" w:right="3519" w:firstLine="257"/>
        <w:spacing w:after="0" w:line="251"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(including each Rabbi Trust Share) (together with the associated Company Right) outstanding immediately prior to the Effective Time shall, except as otherwise provided in Section 1.02(a)(i), be converted into the right to receive 1.32015 (the "Exchange Ratio") shares of fully paid and nonassessable common stock, without par value, of Acquiror ("Acquiror Common Stock"); and</w:t>
      </w:r>
    </w:p>
    <w:p>
      <w:pPr>
        <w:spacing w:after="0" w:line="164" w:lineRule="exact"/>
        <w:rPr>
          <w:rFonts w:ascii="Courier New" w:cs="Courier New" w:eastAsia="Courier New" w:hAnsi="Courier New"/>
          <w:sz w:val="14"/>
          <w:szCs w:val="14"/>
          <w:color w:val="auto"/>
        </w:rPr>
      </w:pPr>
    </w:p>
    <w:p>
      <w:pPr>
        <w:ind w:left="440" w:right="3339" w:firstLine="344"/>
        <w:spacing w:after="0" w:line="250"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Series B ESOP Convertible Preferred Stock, par value $1.00 per share, of the Company (the "Series B Preferred Stock") held in the leveraged ESOP portion of the Company's Employee Savings Plan (the "Leveraged ESOP"), other than Dissenting Shares, shall be converted into the right to receive one validly issued, fully paid and nonassessable share of a new series of preferred stock to be issued by Acquiror (as a successor under Section 8(A) of the Certificate of Designation, Preferences and Rights establishing the Series B Preferred Stock) at the Effective Time (the "Acquiror Preferred Stock"). Each share of Acquiror Preferred Stock shall, to the extent possible, have terms that are identical to those of the Series B Preferred Stock immediately prior to the Effective Time, except that, (a) as a result of the Merger the issuer thereof shall be Acquiror rather than the Company, and (b) upon conversion thereof (at the same times and subject to the same terms and conditions under which Series B Preferred Stock is convertible into Shares) each share of Acquiror Preferred Stock shall be converted into that Merger Consideration (as defined below) which the holder thereof would have received had the Series B Preferred Stock of such holder been converted into Shares immediately prior to the Effective Time.</w:t>
      </w:r>
    </w:p>
    <w:p>
      <w:pPr>
        <w:spacing w:after="0" w:line="17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Acquiror Common Stock issued as provided in this Section 1.02 shall be of the same class and shall have the same terms as the currently outstanding Acquiror Common Stock. Acquiror shall, following the Closing, except as provided in Section 1.03(c), pay all stamp duties and stamp duty reserve tax, if any, imposed in connection with the issuance or creation of the Acquiror Common Stock and Acquiror Preferred Stock in connection with the Merger. The Company shall have the right to approve the Certificate of Designations establishing the Acquiror Preferred Stock, such approval not to be unreasonably withheld.</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all Shares (together with the associated Company Rights) converted in accordance with Section 1.02(a)(iii) and all Series B Preferred Stock (other than Dissenting Shares) converted in accordance with Section 1.02(a)(iv) shall no longer be outstanding and shall automatically be canceled and retired and shall cease to exist, and each holder of a certificate representing any such Shares or Series B Preferred Stock shall cease to have any rights with respect thereto, except the right to receive the Merger Consideration or Preferred Merger Consideration (each as defined below), as applicable, and any dividends payable pursuant to Section 1.03(f). From and after the Effective Time, all certificates representing the common stock of Merger Subsidiary shall be deemed for all purposes to represent the number of shares of common stock of the Surviving Corporation into which they were converted in accordance with Section 1.02(a)(ii).</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147" w:name="page148"/>
    <w:bookmarkEnd w:id="14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439"/>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Common Stock to be received as consideration pursuant to the Merger by each holder of Shares (together with cash in lieu of fractional shares of Acquiror Common Stock as specified below) is referred to herein as the "Merger Consideration". The Acquiror Preferred Stock to be received as consideration pursuant to the Merger by each holder of Series B Preferred Stock is referred to herein as the "Preferred Merger Consideration."</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word "Subsidiary" when used with respect to any Person means any other Person, whether incorporated or unincorporated, of which (i) more than fifty percent of the securities or other ownership interests or (ii) securities or other interests having by their terms ordinary voting power to elect more than fifty percent of the board of directors or others performing similar functions with respect to such corporation or other organization, is directly owned or controlled by such Person or by any one or more of its Subsidiaries. For purposes of this Agreement, "Person" means an individual, a corporation, a limited liability company, a partnership, an association, a trust or any other entity or organization, including a government or political subdivision or any agency or instrumentality thereof.</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1.03. Surrender and Payment. (a) Prior to the Effective Time, Acquiror shall appoint an agent reasonably acceptable to the Company (the "Exchange Agent") for the purpose of exchanging certificates representing Shares or Series B Preferred Stock (the "Certificates") for the Merger Consideration or Preferred Merger Consideration, as applicable. Acquiror will make available to the Exchange Agent, as needed, the Merger Consideration and Preferred Merger Consideration to be paid in respect of the Shares and the Series B Preferred Stock, respectively. Promptly after the Effective Time, Acquiror will send, or will cause the Exchange Agent to send, to each holder of record at the Effective Time of Shares and Series B Preferred Stock a letter of transmittal for use in such exchange (which shall specify that the delivery shall be effected, and risk of loss and title shall pass, only upon proper delivery of the Certificates to the Exchange Agent) in such form as the Company and Acquiror may reasonably agree, for use in effecting delivery of Shares and Series B Preferred Stock to the Exchange Agent.</w:t>
      </w:r>
    </w:p>
    <w:p>
      <w:pPr>
        <w:spacing w:after="0" w:line="172" w:lineRule="exact"/>
        <w:rPr>
          <w:sz w:val="20"/>
          <w:szCs w:val="20"/>
          <w:color w:val="auto"/>
        </w:rPr>
      </w:pPr>
    </w:p>
    <w:p>
      <w:pPr>
        <w:ind w:right="3339" w:firstLine="439"/>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Shares that have been converted into a right to receive the Merger Consideration, upon surrender to the Exchange Agent of a Certificate, together with a properly completed letter of transmittal, will be entitled to receive the Merger Consideration in respect of the Shares represented by such Certificate. Until so surrendered, each such Certificate shall, after the Effective Time, represent for all purposes only the right to receive such Merger Consideration. Each holder of Series B Preferred Stock that has been converted into a right to receive the Preferred Merger Consideration, upon surrender to the Exchange Agent of a Certificate, together with a properly completed letter of transmittal, will be entitled to receive the Preferred Merger Consideration in respect of the Series B Preferred Stock represented by such Certificate. Until so surrendered, each such Certificate shall, after the Effective Time, represent for all purposes only the right to receive such Preferred Merger Consideration.</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portion of the Merger Consideration or the Preferred Merger Consideration is to be paid to a Person other than the Person in whose name the Certificate is registered, it shall be a condition to such payment that the Certificate so surrendered shall be properly endorsed or otherwise be in proper form for transfer and that the Person requesting such payment shall pay to the Exchange Agent any transfer or other taxes required as a result of such payment to a Person other than the registered holder of such Certificate or establish to the satisfaction of the Exchange Agent that such tax has been paid or is not payable.</w:t>
      </w:r>
    </w:p>
    <w:p>
      <w:pPr>
        <w:spacing w:after="0" w:line="32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there shall be no further registration of transfers of Shares or Series B Preferred Stock. If, after the Effective Time, Certificates are presented to the Surviving Corporation, they shall be canceled and exchanged for the consideration provided for, and in accordance with the procedures set forth, in this Article 1.</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Merger Consideration or the Preferred Merger Consideration made available to the Exchange Agent pursuant to Section 1.03(a) that remains unclaimed by the holders of Shares or Series B Preferred Stock one year after the Effective Time shall be returned to Acquiror, upon demand, and any such holder who has not</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exchanged his Shares for the Merger Consideration or the Series B Preferred Stock for the Preferred Merger Consideration, as applicable, in accordance with this Section prior to that time shall thereafter look only to Acquiror for payment of the Merger Consideration in respect of his Shares or the Preferred Merger Consideration in respect of the Series B Preferred Stock. Notwithstanding the foregoing, Acquiror shall not be liable to any holder of Shares or Series B Preferred Stock for any amount paid to a public official pursuant to applicable abandoned property laws. Any amounts remaining unclaimed by holders of Shares or Series B Preferred Stock three years after the Effective Time (or such earlier date immediately prior to such time as such amounts would otherwise escheat to or become property of any governmental entity) shall, to the extent permitted by applicable law, become the property of Acquiror free and clear of any claims or interest of any Person previously entitled thereto.</w:t>
      </w:r>
    </w:p>
    <w:p>
      <w:pPr>
        <w:spacing w:after="0" w:line="162" w:lineRule="exact"/>
        <w:rPr>
          <w:sz w:val="20"/>
          <w:szCs w:val="20"/>
          <w:color w:val="auto"/>
        </w:rPr>
      </w:pPr>
    </w:p>
    <w:p>
      <w:pPr>
        <w:ind w:right="3339" w:firstLine="439"/>
        <w:spacing w:after="0" w:line="250"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distributions with respect to Acquiror Common Stock or Acquiror Preferred Stock issued in the Merger shall be paid to the holder of any unsurrendered Certificates until such Certificates are surrendered as provided in this Section. Subject to the effect of applicable laws, following such surrender, there shall be paid, without interest, to the record holder of the Acquiror Common Stock or Acquiror Preferred Stock, as appropriate, issued in exchange therefor (i) at the time of such surrender, all dividends and other distributions payable in respect of such Acquiror Common Stock or Acquiror Preferred Stock, as the case may be, with a record date after the Effective Time and a payment date on or prior to the date of such surrender and not previously paid and (ii) at the appropriate payment date, the dividends or other distributions payable with respect to such Acquiror Common Stock or Acquiror Preferred Stock, as the case may be, with a record date after the Effective Time but with a payment date subsequent to such surrender. For purposes of dividends or other distributions in respect of Acquiror Common Stock and Acquiror Preferred Stock, all Acquiror Common Stock and Acquiror Preferred Stock to be issued pursuant to the Merger (but not options therefor issued pursuant to Section 1.04 unless actually exercised at the Effective Time) shall be entitled to dividends pursuant to the immediately preceding sentence as if issued and outstanding as of the Effective Time.</w:t>
      </w:r>
    </w:p>
    <w:p>
      <w:pPr>
        <w:spacing w:after="0" w:line="17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1.04. Stock Options. (a) At the Effective Time, each outstanding option to purchase Shares (a "Company Stock Option") granted under the Company's plans identified in Schedule 1.04 as being the only compensation or benefit plans or agreements pursuant to which Shares may be issued (collectively, the "Company Stock Option Plans"), whether vested or not vested, shall be deemed assumed by Acquiror and shall thereafter be deemed to constitute an option to acquire, on the same terms and conditions as were applicable under such Company Stock Option prior to the Effective Time (in accordance with the past practice of the Company with respect to interpretation and application of such terms and conditions), the number (rounded down to the nearest whole number) of shares of Acquiror Common Stock determined by multiplying (x) the number of Shares subject to such Company Stock Option immediately prior to the Effective Time by (y) the Exchange Ratio, at a price per share of Acquiror Common Stock (rounded up to the nearest whole cent) equal to (A) the exercise price per Share otherwise purchasable pursuant to such Company Stock Option divided by (B) the Exchange Ratio. In addition, prior to the Effective Time, the Company will make any amendments to the terms of such stock option or compensation plans or arrangements that are necessary to give effect to the transactions contemplated by this Section. The Company represents that no consents are necessary to give effect to the transactions contemplated by this Section.</w:t>
      </w:r>
    </w:p>
    <w:p>
      <w:pPr>
        <w:spacing w:after="0" w:line="174" w:lineRule="exact"/>
        <w:rPr>
          <w:sz w:val="20"/>
          <w:szCs w:val="20"/>
          <w:color w:val="auto"/>
        </w:rPr>
      </w:pPr>
    </w:p>
    <w:p>
      <w:pPr>
        <w:ind w:right="3679" w:firstLine="439"/>
        <w:spacing w:after="0" w:line="252"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take all corporate action necessary to reserve for issuance a sufficient number of shares of Acquiror Common Stock and Acquiror Preferred Stock for delivery pursuant to the terms set forth in this Section 1.04.</w:t>
      </w:r>
    </w:p>
    <w:p>
      <w:pPr>
        <w:spacing w:after="0" w:line="162" w:lineRule="exact"/>
        <w:rPr>
          <w:rFonts w:ascii="Courier New" w:cs="Courier New" w:eastAsia="Courier New" w:hAnsi="Courier New"/>
          <w:sz w:val="14"/>
          <w:szCs w:val="14"/>
          <w:color w:val="auto"/>
        </w:rPr>
      </w:pPr>
    </w:p>
    <w:p>
      <w:pPr>
        <w:ind w:right="3519" w:firstLine="439"/>
        <w:spacing w:after="0" w:line="250"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award or account (including restricted stock, stock equivalents and stock units, but excluding Company Stock Options) outstanding as of the date hereof ("Company Award") that has been established, made or granted under any employee incentive or benefit plans, programs or arrangements and non-employee director plans maintained by the Company on</w:t>
      </w:r>
    </w:p>
    <w:p>
      <w:pPr>
        <w:spacing w:after="0" w:line="2" w:lineRule="exact"/>
        <w:rPr>
          <w:rFonts w:ascii="Courier New" w:cs="Courier New" w:eastAsia="Courier New" w:hAnsi="Courier New"/>
          <w:sz w:val="14"/>
          <w:szCs w:val="14"/>
          <w:color w:val="auto"/>
        </w:rPr>
      </w:pPr>
    </w:p>
    <w:p>
      <w:pPr>
        <w:ind w:right="37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prior to the date hereof which provide for grants of equity-based awards or equity-based accounts shall be amended or converted into a similar instrument of Acquiror, in each case with such adjustments to the terms and conditions of such Company Awards as are appropriate to preserve the value inherent in such Company Awards with no detrimental effects on the holders thereof. The other terms and conditions of each Company Award, and the plans or agreements under which they were issued, shall continue to apply</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149" w:name="page150"/>
    <w:bookmarkEnd w:id="14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 accordance with their terms and conditions, including any provisions for acceleration (as such terms and conditions have been interpreted and applied by the Company in accordance with its past practice). The Company represents that (i) there are no Company Awards or Company Stock Options other than those reflected in Section 3.05 and (ii) all employee incentive or benefit plans, programs or arrangements and non-employee director plans under which any Company Award has been established, made or granted and all Company Stock Option Plans are disclosed in Schedule 1.04.</w:t>
      </w:r>
    </w:p>
    <w:p>
      <w:pPr>
        <w:spacing w:after="0" w:line="164" w:lineRule="exact"/>
        <w:rPr>
          <w:sz w:val="20"/>
          <w:szCs w:val="20"/>
          <w:color w:val="auto"/>
        </w:rPr>
      </w:pPr>
    </w:p>
    <w:p>
      <w:pPr>
        <w:ind w:right="3339" w:firstLine="439"/>
        <w:spacing w:after="0" w:line="251"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Acquiror shall file with the Securities and Exchange Commission (the "SEC") a registration statement on an appropriate form or a post-effective amendment to a previously filed registration statement under the Securities Act of 1933, as amended (the "1933 Act"), with respect to the Acquiror Common Stock subject to options and other equity-based awards issued pursuant to this Section 1.04, and shall use its reasonable best efforts to maintain the current status of the prospectus contained therein, as well as comply with any applicable state securities or "blue sky" laws, for so long as such options or other equity-based awards remain outstanding.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1.05. Adjustments. If at any time during the period between the date of this Agreement and the Effective Time, any change in the outstanding shares of capital stock of Acquiror or the Company (other than as contemplated in Section 3.05 or Section 4.05 or permitted under this Agreement) shall occur, including, without limitation, by reason of any reclassification, recapitalization, stock split or combination, exchange or readjustment of shares, or any stock dividend thereon with a record date during such period, the Merger Consideration and Preferred Merger Consideration shall be appropriately adjusted.</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1.06. Fractional Shares. (a) No fractional shares of Acquiror Common Stock shall be issued in the Merger, but in lieu thereof each holder of Shares otherwise entitled to a fractional share of Acquiror Common Stock will be entitled to receive, from the Exchange Agent in accordance with the provisions of this Section 1.06, a cash payment in lieu of such fractional shares of Acquiror Common Stock representing such holder's proportionate interest, if any, in the proceeds from the sale by the Exchange Agent in one or more transactions of the number of shares of Acquiror Common Stock delivered to the Exchange Agent by Acquiror pursuant to Section 1.03(a) over the aggregate number of whole shares of Acquiror Common Stock to be distributed to the holders of the certificates representing Shares pursuant to Section 1.03(b) (such excess being herein called the "Excess Shares"). The parties acknowledge that payment of the cash consideration in lieu of issuing fractional shares was not separately bargained for consideration but merely represents a mechanical rounding off for purposes of simplifying the corporate and accounting problems that would otherwise be caused by the issuance of fractional shares. As soon as practicable after the Effective Time, the Exchange Agent, as agent for the holders of the certificates representing Shares, shall sell the Excess Shares at then prevailing prices on the New York Stock Exchange (the "NYSE") in the manner provided in the following paragraph.</w:t>
      </w:r>
    </w:p>
    <w:p>
      <w:pPr>
        <w:spacing w:after="0" w:line="340" w:lineRule="exact"/>
        <w:rPr>
          <w:sz w:val="20"/>
          <w:szCs w:val="20"/>
          <w:color w:val="auto"/>
        </w:rPr>
      </w:pPr>
    </w:p>
    <w:p>
      <w:pPr>
        <w:ind w:right="3339" w:firstLine="439"/>
        <w:spacing w:after="0" w:line="250" w:lineRule="auto"/>
        <w:tabs>
          <w:tab w:leader="none" w:pos="7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Excess Shares by the Exchange Agent, as agent for the holders that would otherwise receive fractional shares, shall be executed on the NYSE through one or more member firms of the NYSE and shall be executed in round lots to the extent practicable. The compensation payable to the Exchange Agent and the expenses incurred by the Exchange Agent, in each case, in connection with such sale or sales of the Excess Shares, and all related commissions, transfer taxes and other out-of-pocket transaction costs, will be paid by the Surviving Corporation out of its own funds and will not be paid directly or indirectly by Acquiror. Until the proceeds of such sale or sales have been distributed to the holders of Shares, the Exchange Agent shall hold such proceeds in trust for the holders of Shares (the "Common Shares Trust"). The Exchange Agent shall determine the portion of the Common Shares Trust to which each holder of Shares shall be entitled, if any, by multiplying the amount of the aggregate proceeds comprising the Common Shares Trust by a fraction,</w:t>
      </w:r>
    </w:p>
    <w:p>
      <w:pPr>
        <w:spacing w:after="0" w:line="6" w:lineRule="exact"/>
        <w:rPr>
          <w:rFonts w:ascii="Courier New" w:cs="Courier New" w:eastAsia="Courier New" w:hAnsi="Courier New"/>
          <w:sz w:val="14"/>
          <w:szCs w:val="14"/>
          <w:color w:val="auto"/>
        </w:rPr>
      </w:pPr>
    </w:p>
    <w:p>
      <w:pPr>
        <w:ind w:right="3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is the amount of the fractional share interest to which such holder of Shares would otherwise be entitled and the denominator of which is the aggregate amount of fractional share interests to which all holders of Shares would otherwise be entitled.</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19" w:firstLine="439"/>
        <w:spacing w:after="0" w:line="252"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determination of the amount of cash, if any, to be paid to holders of Shares in lieu of any fractional shares of Acquiror Common Stock, the Exchange Agent shall make available such amounts to such holders of Shares without interest.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1.07. Withholding Rights. Each of the Surviving Corporation and Acquiror shall be entitled to deduct and withhold from the consideration otherwise payable to any person pursuant to this Article such amounts as it is required to deduct and withhold with respect to the making of such payment under any provision of federal, state, local or foreign tax law. To the extent that amounts are so withheld by the Surviving Corporation or Acquiror, as the case may be, such withheld amounts shall be treated for all purposes of this Agreement as having been paid to the holder of the Shares in respect of which such deduction and withholding was made by the Surviving Corporation or Acquiror, as the case may be.</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1.08. Lost Certificates.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or Preferred Merger Consideration to be paid in respect of the Shares or Series B Preferred Stock, as applicable, represented by such Certificates as contemplated by this Article.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1.09. Shares Held by Company Affiliates. Anything to the contrary herein notwithstanding, any shares of Acquiror Common Stock (or certificates therefor) issued to affiliates of the Company pursuant to Section 1.03 shall be subject to the restrictions described in Exhibit B-1 and Exhibit B-3, and such shares (or certificates therefor) shall bear a legend describing such restrictions.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1.10. Dissenter's Rights. Notwithstanding anything in this Agreement to the contrary, any shares of Series B Preferred Stock outstanding immediately prior to the Effective Time and held by a holder who has not voted in favor of the Merger or consented thereto in writing and who has delivered a written demand for appraisal of such shares in accordance with Section 262 of the Delaware Law, if such Section 262 provides for appraisal rights for such shares in the Merger ("Dissenting Shares"), shall not be converted into the right to receive the Preferred Merger Consideration, unless and until such holder fails to perfect or effectively withdraws or otherwise loses his right to appraisal and payment under the Delaware Law. If, after the Effective Time, any such holder fails to perfect or effectively withdraws or loses his right to appraisal, such Dissenting Shares shall thereupon be treated as if they had been converted as of the Effective Time into the right to receive the Preferred Merger Consideration to which such holder is entitled, without interest or dividends thereon. Any amounts paid to holders of Dissenting Shares in an appraisal proceeding will be paid by the Surviving Corporation out of its own funds and will not be paid, directly or indirectly, by Acquiror.</w:t>
      </w:r>
    </w:p>
    <w:p>
      <w:pPr>
        <w:spacing w:after="0" w:line="33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2</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CERTAIN GOVERNANCE MATTERS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SECTION 2.01. Acquiror Name. Acquiror shall take all such action as is necessary to change its name to "Exxon Mobil Corporation" effective as of the Effective Time, which action shall include, without limitation, seeking stockholder approval to amend Acquiror's certificate of incorporation as provided in Section 6.04.</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2.02. Acquiror Board of Directors. (a) At the Effective Time, Acquiror shall cause the Board of Directors of Acquiror to consist of not more than 19 directors, up to 13 of whom shall be the directors of Acquiror prior to the Effective Time and six of whom shall be directors designated prior to the Effective Time by the Company</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616" w:right="1440" w:bottom="1440" w:gutter="0" w:footer="0" w:header="0"/>
        </w:sectPr>
      </w:pPr>
    </w:p>
    <w:bookmarkStart w:id="151" w:name="page152"/>
    <w:bookmarkEnd w:id="15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reasonably acceptable to Acquiror (of whom two shall be Persons who immediately prior to the Effective Time were directors and executive officers of the Company and four shall be Persons who immediately prior to the Effective Time were directors but not executive officers of the Company) (the "Company Board Designees"). Prior to the Effective Time, the Board of Directors of Acquiror shall take all action necessary to amend the by-laws of Acquiror to increase the size of the Board of Directors of Acquiror to not more than 19 and to elect the Company Board Designees to the Board of Directors of Acquiror, in each case as of the Effective Time.</w:t>
      </w:r>
    </w:p>
    <w:p>
      <w:pPr>
        <w:spacing w:after="0" w:line="164" w:lineRule="exact"/>
        <w:rPr>
          <w:sz w:val="20"/>
          <w:szCs w:val="20"/>
          <w:color w:val="auto"/>
        </w:rPr>
      </w:pPr>
    </w:p>
    <w:p>
      <w:pPr>
        <w:ind w:right="3339" w:firstLine="439"/>
        <w:spacing w:after="0" w:line="252" w:lineRule="auto"/>
        <w:tabs>
          <w:tab w:leader="none" w:pos="7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Acquiror shall take all action necessary to cause Mr. Lucio A. Noto to be elected as Vice Chairman of the Board of Directors of Acquiror as of the Effective Time.</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cause there to be at least one Company Board Designee on each of the Audit Committee and Compensation Committee of the Board of Directors of Acquiror as of the Effective Time.</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occurs on a date which is less than nine months before the next regularly scheduled annual meeting of stockholders of Acquiror, Acquiror further agrees to use all reasonable efforts necessary to (i) nominate the Company Board Designees for election as directors, (ii) elect Mr. Lucio A. Noto as Vice Chairman of the Board of Directors of Acquiror, and (iii) cause at least one Company Board Designee to be on each of the Audit Committee and Compensation Committee of the Board of Directors of Acquiror, in each case in connection with and as of such next regularly scheduled annual meeting.</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2.03. Transition Committee. The parties agree to establish a Transition Committee which will have a consultative role and which will be in effect from the date hereof until the earlier of the termination hereof and the Effective Time. The Transition Committee shall be comprised of Mr. Lee R. Raymond and Mr. Lucio A. Noto. The Transition Committee will be concerned with matters relating to planning the integration after the Effective Time of Acquiror and the Company, including organization and staffing. The Transition Committee will draw upon the resources of Acquiror and the Company as necessary or appropriate.</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2.04. Certificate of Incorporation of the Surviving Corporation. The certificate of incorporation of the Company in effect at the Effective Time shall be the certificate of incorporation of the Surviving Corporation until amended in accordance with applicable law.</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2.05. By-laws of the Surviving Corporation. The by-laws of Merger Subsidiary in effect at the Effective Time shall be the by-laws of the Surviving Corporation until amended in accordance with applicable law.</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2.06. Directors and Officers of the Surviving Corporation. From and after the Effective Time, until successors are duly elected or appointed and qualified in accordance with applicable law, (a) the directors of Merger Subsidiary at the Effective Time shall be the directors of the Surviving Corporation, and (b) the officers of the Company at the Effective Time shall be the officers of the Surviving Corporation.</w:t>
      </w:r>
    </w:p>
    <w:p>
      <w:pPr>
        <w:spacing w:after="0" w:line="33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3</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REPRESENTATIONS AND WARRANTIES OF THE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represents and warrants to Acquiror that:</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SECTION 3.01. Corporate Existence and Power. The Company is a corporation duly incorporated, validly existing and in good standing under the laws of the State of Delaware, and has all corporate powers and all governmental licenses, authorizations, consents and approvals required to carry on its business as now conducted, except for those the absence of which would not, individually or in the aggregate, have a Material Adverse Effect on the Company. The</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616"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Company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a Material Adverse Effect on the Company. For purposes of this Agreement, a "Material Adverse Effect" with respect to any Person means a material adverse effect on the financial condition, business, liabilities, properties, assets or results of operations, taken as a whole, of such Person and its Subsidiaries, taken as a whole, except to the extent resulting from (w) any changes in general United States or global economic conditions, (x) any changes affecting the oil and gas industry in general,</w:t>
      </w:r>
    </w:p>
    <w:p>
      <w:pPr>
        <w:spacing w:after="0" w:line="5" w:lineRule="exact"/>
        <w:rPr>
          <w:sz w:val="20"/>
          <w:szCs w:val="20"/>
          <w:color w:val="auto"/>
        </w:rPr>
      </w:pPr>
    </w:p>
    <w:p>
      <w:pPr>
        <w:ind w:right="3779" w:firstLine="8"/>
        <w:spacing w:after="0" w:line="251" w:lineRule="auto"/>
        <w:tabs>
          <w:tab w:leader="none" w:pos="3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matters whose significance or impact would reasonably be expected to be primarily short term (i.e., under 18 months) or (z) matters disclosed on Schedule 3.01. The Company has heretofore delivered to Acquiror true and complete copies of the Company's certificate of incorporation and by-laws as currently in effect.</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3.02. Corporate Authorization. (a) The execution, delivery and performance by the Company of this Agreement and the Option Agreement and the consummation by the Company of the transactions contemplated hereby and thereby are within the Company's corporate powers and, except for any required approval by the Company's stockholders in connection with the consummation of the Merger, have been duly authorized by all necessary corporate action. The affirmative vote of holders of the outstanding Shares and outstanding shares of Series B Preferred Stock having votes representing a majority of the votes of all such outstanding capital stock, voting together as a single class, is the only vote of the holders of any of the Company's capital stock necessary in connection with consummation of the Merger. Assuming due authorization, execution and delivery of this Agreement and the Option Agreement by Acquiror and Merger Subsidiary, as applicable, each of this Agreement and the Option Agreement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w:t>
      </w:r>
    </w:p>
    <w:p>
      <w:pPr>
        <w:spacing w:after="0" w:line="339" w:lineRule="exact"/>
        <w:rPr>
          <w:sz w:val="20"/>
          <w:szCs w:val="20"/>
          <w:color w:val="auto"/>
        </w:rPr>
      </w:pPr>
    </w:p>
    <w:p>
      <w:pPr>
        <w:ind w:right="3419" w:firstLine="439"/>
        <w:spacing w:after="0" w:line="251" w:lineRule="auto"/>
        <w:tabs>
          <w:tab w:leader="none" w:pos="77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Board of Directors, at a meeting duly called and held, has (i) determined that this Agreement and the Option Agreement and the transactions contemplated hereby and thereby (including the Merger) are fair to and in the best interests of the Company's stockholders, (ii) approved and adopted this Agreement and the Option Agreement and the transactions contemplated hereby and thereby (including the Merger), and (iii) resolved (subject to Section 5.02) to recommend approval and adoption of this Agreement by its stockholders.</w:t>
      </w:r>
    </w:p>
    <w:p>
      <w:pPr>
        <w:spacing w:after="0" w:line="33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3.03. Governmental Authorization. The execution, delivery and performance by the Company of this Agreement and the Option Agreement and the consummation of the Merger by the Company require no action by or in respect of, or filing with, any governmental body, agency, official or authority other than</w:t>
      </w:r>
    </w:p>
    <w:p>
      <w:pPr>
        <w:spacing w:after="0" w:line="2" w:lineRule="exact"/>
        <w:rPr>
          <w:sz w:val="20"/>
          <w:szCs w:val="20"/>
          <w:color w:val="auto"/>
        </w:rPr>
      </w:pPr>
    </w:p>
    <w:p>
      <w:pPr>
        <w:ind w:right="3519" w:firstLine="8"/>
        <w:spacing w:after="0" w:line="250" w:lineRule="auto"/>
        <w:tabs>
          <w:tab w:leader="none" w:pos="34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certificate of merger in accordance with Delaware Law, (b) compliance with any applicable requirements of the Hart-Scott-Rodino Antitrust Improvements Act of 1976 (the "HSR Act"), (c) compliance with any applicable requirements of Council Regulation No. 4064/89 of the European Community, as amended (the "EC Merger Regulation"), (d) compliance with any applicable requirements of Part IX of the Canadian Competition Act (the "Canadian Act"),</w:t>
      </w:r>
    </w:p>
    <w:p>
      <w:pPr>
        <w:spacing w:after="0" w:line="2" w:lineRule="exact"/>
        <w:rPr>
          <w:rFonts w:ascii="Courier New" w:cs="Courier New" w:eastAsia="Courier New" w:hAnsi="Courier New"/>
          <w:sz w:val="14"/>
          <w:szCs w:val="14"/>
          <w:color w:val="auto"/>
        </w:rPr>
      </w:pPr>
    </w:p>
    <w:p>
      <w:pPr>
        <w:jc w:val="both"/>
        <w:ind w:right="3519" w:firstLine="8"/>
        <w:spacing w:after="0" w:line="250" w:lineRule="auto"/>
        <w:tabs>
          <w:tab w:leader="none" w:pos="3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any applicable requirements of the Securities Exchange Act of 1934, as amended, and the rules and regulations promulgated thereunder (the "Exchange Act"), (f) compliance with any applicable requirements of the</w:t>
      </w:r>
    </w:p>
    <w:p>
      <w:pPr>
        <w:spacing w:after="0" w:line="1"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and (g) other actions or filings which if not taken or made would not, individually or in the aggregate, have a Material Adverse Effect on the Company.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3.04. Non-Contravention. Except as set forth in Schedule 3.04, the execution, delivery and performance by the Company of this Agreement and the Option Agreement and the consummation by the Company of the transactions contemplated hereby and thereby do not and will not (a) assuming compliance with the matters referred to in Section 3.02, contravene or conflict with the certificate of incorporation or by-laws of the Company, (b) assuming compliance with the matters referred to in Section 3.03, contravene or conflict with or constitute a violation of any provision of any law, regulation, judgment, injunction, order or decree binding upon or applicable to the Company or any of its Subsidiaries, (c) constitute a default under or give rise to a right of termination, cancellation or acceleration of any right or obligation of the Company or any of its Subsidiaries or to a loss of any benefit to which the Company</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616" w:right="1440" w:bottom="1440" w:gutter="0" w:footer="0" w:header="0"/>
        </w:sectPr>
      </w:pPr>
    </w:p>
    <w:bookmarkStart w:id="153" w:name="page154"/>
    <w:bookmarkEnd w:id="15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or any of its Subsidiaries is entitled under any provision of any agreement, contract or other instrument binding upon the Company or any of its Subsidiaries or any license, franchise, permit or other similar authorization held by the Company or any of its Subsidiaries, or (d) result in the creation or imposition of any Lien on any asset of the Company or any of its Subsidiaries, except for such contraventions, conflicts or violations referred to in clause (b) or defaults, rights of termination, cancellation or acceleration, or losses or Liens referred to in clause (c) or (d) that would not, individually or in the aggregate, have a Material Adverse Effect on the Company. For purposes of this Agreement, "Lien" means, with respect to any asset, any mortgage, lien, pledge, charge, security interest or encumbrance of any kind in respect of such asset other than any such mortgage, lien, pledge, charge, security interest or encumbrance (i) for Taxes (as defined in Section 3.13) not yet due or being contested in good faith (and for which adequate accruals or reserves have been established on the Acquiror Balance Sheet or the Company Balance Sheet, as the case may be) or (ii) which is a carriers', warehousemen's, mechanics', materialmen's, repairmen's or other like lien arising in the ordinary course of business. Except as disclosed in Schedule 3.04, neither the Company nor any Subsidiary of the Company is a party to any agreement that expressly limits the ability of the Company or any Subsidiary of the Company, or would limit Acquiror or any Subsidiary of Acquiror after the Effective Time, to compete in or conduct any line of business or compete with any Person or in any geographic area or during any period of time except to the extent that any such limitation, individually or in the aggregate, would not be reasonably likely to have a Material Adverse Effect on Acquiror after the Effective Time.</w:t>
      </w:r>
    </w:p>
    <w:p>
      <w:pPr>
        <w:spacing w:after="0" w:line="34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3.05. Capitalization of the Company. The authorized capital stock of the Company consists of 1,200,000,000 Shares and 30,000,000 shares of preferred stock, par value $1.00 per share (of which 6,000,000 shares are designated Series A Junior Participating Preferred Stock and 191,062 are designated Series B Preferred Stock). As of the close of business on November 27, 1998, there were outstanding 779,934,096 Shares, no shares of Series A Junior Participating Preferred Stock (all of which are reserved for issuance in accordance with the Rights Agreement (the "Company Rights Agreement"), dated as of December 15, 1995, between the Company and Mellon Bank, N.A., as Rights Agent, pursuant to which the Company has issued rights ("Company Rights") to purchase the Series A Junior Participating Preferred Stock) and 165,791.77 shares of Series B Preferred Stock, and employee stock options to purchase an aggregate of 31,337,561 Shares (of which options to purchase an aggregate of 19,313,161 Shares were exercisable) and Company Awards (other than outstanding restricted stock) with respect to an aggregate of 1,257,513.9444 Shares. All outstanding shares of capital stock of the Company have been duly authorized and validly issued and are fully paid and nonassessable. Except as set forth in this Section and except for changes since the close of business on November 27, 1998 resulting from the exercise of employee stock options outstanding on such date or options or stock-based awards granted as permitted by Section 5.01, there are outstanding (a) no shares of capital stock or other voting securities of the Company, (b) except for the Series B Preferred Stock, no securities of the Company convertible into or exchangeable for shares of capital stock or voting securities of the Company, and (c) except for the Series B Preferred Stock, and except for the Option Agreement, no options, warrants or other rights to acquire from the Company, and no preemptive or similar rights, subscription or other rights, convertible securities, agreements, arrangements or commitments of any character, relating to the capital stock of the Company, obligating the Company to issue, transfer or sell, any capital stock, voting securities or securities convertible into or exchangeable for capital stock or voting securities of</w:t>
      </w:r>
    </w:p>
    <w:p>
      <w:pPr>
        <w:spacing w:after="0" w:line="1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Company or obligating the Company to grant, extend or enter into any such option, warrant, subscription or other right, convertible security, agreement, arrangement or commitment (the items in clauses 3.05(a), 3.05(b) and 3.05(c) being referred to collectively as the "Company Securities"). Except for the Series B Preferred Stock, there are no outstanding obligations of the Company or any of its Subsidiaries to repurchase, redeem or otherwise acquire any Company Securities.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3.06. Subsidiaries. (a) Each Subsidiary of the Company is duly organized, validly existing and in good standing under the laws of its jurisdiction of organization, has all powers and all governmental licenses, authorizations, consents and approvals required to carry on its business as now conducted, except for those the absence of which would not, individually or in the aggregate, reasonably be expected to have a Material Adverse Effect on the Company. Each Subsidiary of the Company is duly qualified to do business and is in good standing in each jurisdiction where the character of the property owned or leased by it or the nature of its activities makes such qualification necessary, except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782"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for those jurisdictions where failure to be so qualified would not, individually or in the aggregate, have a Material Adverse Effect on the Company. All "significant subsidiaries", as such term is defined in Section 1-02 of Regulation S-X under the Exchange Act (each, a "Significant Subsidiary") of the Company and their respective jurisdictions of incorporation are identified in the Company's annual report on Form 10-K for the fiscal year ended December 31, 1997 (the "Company 10-K") or in Schedule 3.06(a).</w:t>
      </w:r>
    </w:p>
    <w:p>
      <w:pPr>
        <w:spacing w:after="0" w:line="164" w:lineRule="exact"/>
        <w:rPr>
          <w:sz w:val="20"/>
          <w:szCs w:val="20"/>
          <w:color w:val="auto"/>
        </w:rPr>
      </w:pPr>
    </w:p>
    <w:p>
      <w:pPr>
        <w:ind w:right="3339" w:firstLine="439"/>
        <w:spacing w:after="0" w:line="250" w:lineRule="auto"/>
        <w:tabs>
          <w:tab w:leader="none" w:pos="77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directors' qualifying shares and except as set forth in the Company 10-K, all of the outstanding capital stock of, or other ownership interests in, each Significant Subsidiary of the Company is owned by the Company, directly or indirectly, free and clear of any material Lien and free of any other material limitation or restriction (including any restriction on the right to vote, sell or otherwise dispose of such capital stock or other ownership interests). There are no outstanding (i) securities of the Company or any of its Subsidiaries convertible into or exchangeable for shares of capital stock or other voting securities or ownership interests in any Significant Subsidiary of the Company or (ii) options, warrants or other rights to acquire from the Company or any of its Significant Subsidiaries, and no preemptive or similar rights, subscription or other rights, convertible securities, agreements, arrangements or commitments of any character, relating to the capital stock of any Significant Subsidiary of the Company, obligating the Company or any of its Significant Subsidiaries to issue, transfer or sell, any capital stock, voting securities or other ownership interests in, or any securities convertible into or exchangeable for any capital stock, voting securities or ownership interests in, any Significant Subsidiary of the Company or obligating the Company or any Significant Subsidiary of the Company to grant, extend or enter into any such option, warrant, subscription or other right, convertible security, agreement, arrangement or commitment except, in any such case under clause (i) or (ii), to the extent relating to an insignificant equity interest in any Significant Subsidiary (the items in clauses 3.06(b)(i) and 3.06(b)(ii) being referred to collectively as the "Company Subsidiary Securities"). Except as set forth on Schedule 3.06(b), there are no outstanding obligations of the Company or any of its Subsidiaries to repurchase, redeem or otherwise acquire any outstanding Company Subsidiary Securities.</w:t>
      </w:r>
    </w:p>
    <w:p>
      <w:pPr>
        <w:spacing w:after="0" w:line="17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3.07. SEC Filings. (a) The Company has delivered to Acquiror (i) its annual reports on Form 10-K for its fiscal years ended December 31, 1995, 1996 and 1997, (ii) its quarterly reports on Form 10-Q for its fiscal quarters ended after December 31, 1997, (iii) its proxy or information statements relating to meetings of, or actions taken without a meeting by, the stockholders of the Company held since December 31, 1997, and (iv) all of its other reports, statements, schedules and registration statements filed with the SEC since December 31, 1997 (the documents referred to in this Section 3.07(a) being referred to collectively as the "Company SEC Documents"). The Company's quarterly report on Form 10-Q for its fiscal quarter ended September 30, 1998 is referred to herein as the "Company 10-Q".</w:t>
      </w:r>
    </w:p>
    <w:p>
      <w:pPr>
        <w:spacing w:after="0" w:line="163" w:lineRule="exact"/>
        <w:rPr>
          <w:sz w:val="20"/>
          <w:szCs w:val="20"/>
          <w:color w:val="auto"/>
        </w:rPr>
      </w:pPr>
    </w:p>
    <w:p>
      <w:pPr>
        <w:ind w:right="3339" w:firstLine="439"/>
        <w:spacing w:after="0" w:line="252"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Company SEC Document complied as to form in all material respects with the applicable requirements of the Exchange Act and the 1933 Act.</w:t>
      </w:r>
    </w:p>
    <w:p>
      <w:pPr>
        <w:spacing w:after="0" w:line="162" w:lineRule="exact"/>
        <w:rPr>
          <w:rFonts w:ascii="Courier New" w:cs="Courier New" w:eastAsia="Courier New" w:hAnsi="Courier New"/>
          <w:sz w:val="14"/>
          <w:szCs w:val="14"/>
          <w:color w:val="auto"/>
        </w:rPr>
      </w:pPr>
    </w:p>
    <w:p>
      <w:pPr>
        <w:jc w:val="both"/>
        <w:ind w:right="3419" w:firstLine="439"/>
        <w:spacing w:after="0" w:line="252"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Company SEC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registration statement, as amended or supplemented, if applicable, filed pursuant to the 1933 Act as of the date such statement or amendment became effective did not contain any untrue statement of a material fact or omit to state any material fact required to be stated therein or necessary to make the statements therein not misleading.</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3.08. Financial Statements. The audited consolidated financial statements and unaudited consolidated interim financial statements of the Company (including any related notes and schedules) included in its annual reports on Form 10-K and the quarterly reports on Form 10-Q referred to in Section 3.07 fairly present in all material respects, in conformity with generally accepted accounting principles applied on a consistent basis (except as may be indicated in the notes thereto), the consolidated financial position of the Company and its consolidated Subsidiaries as of the dates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782" w:right="1440" w:bottom="1440" w:gutter="0" w:footer="0" w:header="0"/>
        </w:sectPr>
      </w:pPr>
    </w:p>
    <w:bookmarkStart w:id="155" w:name="page156"/>
    <w:bookmarkEnd w:id="15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thereof and their consolidated results of operations and changes in financial position for the periods then ended (subject to normal year-end adjustments and the absence of notes in the case of any unaudited interim financial statements). For purposes of this Agreement, "Company Balance Sheet" means the consolidated balance sheet of the Company as of September 30, 1998 set forth in the Company 10-Q and "Company Balance Sheet Date" means September 30, 1998.</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3.09. Disclosure Documents. (a) Neither the proxy statement of the Company (the "Company Proxy Statement") to be filed with the SEC in connection with the Merger, nor any amendment or supplement thereto, will, at the date the Company Proxy Statement or any such amendment or supplement is first mailed to shareholders of the Company or at the time such shareholders vote on the adoption and approval of this Agreement and the transactions contemplated hereby, contain any untrue statement of a material fact or omit to state any material fact necessary in order to make the statements therein, in light of the circumstances under which they were made, not misleading. The Company Proxy Statement will, when filed, comply as to form in all material respects with the requirements of the Exchange Act. No representation or warranty is made by the Company in this Section 3.09 with respect to statements made or incorporated by reference therein based on information supplied by Acquiror or Merger Subsidiary for inclusion or incorporation by reference in the Company Proxy Statement.</w:t>
      </w:r>
    </w:p>
    <w:p>
      <w:pPr>
        <w:spacing w:after="0" w:line="162" w:lineRule="exact"/>
        <w:rPr>
          <w:sz w:val="20"/>
          <w:szCs w:val="20"/>
          <w:color w:val="auto"/>
        </w:rPr>
      </w:pPr>
    </w:p>
    <w:p>
      <w:pPr>
        <w:ind w:right="3339" w:firstLine="439"/>
        <w:spacing w:after="0" w:line="251" w:lineRule="auto"/>
        <w:tabs>
          <w:tab w:leader="none" w:pos="7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information supplied or to be supplied by Company for inclusion or incorporation by reference in the Acquiror Proxy Statement (as defined in Section 4.09) or in the Form S-4 (as defined in Section 4.09) or any amendment or supplement thereto will, at the time the Acquiror Proxy Statement or any such supplement or amendment thereto is first mailed to the stockholders of Acquiror or at the time such stockholders vote on the matters constituting the Acquiror Stockholder Approval (as defined in Section 4.02) or at the time the Form S-4 or any such amendment or supplement becomes effective under the 1933 Act or at the Effective Time, as the case may be, contain any untrue statement of a material fact or omit to state a material fact necessary in order to make the statements therein, in light of the circumstances under which they were made, not misleading.</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3.10. Absence of Certain Changes. Except as set forth in Schedule 3.10, since the Company Balance Sheet Date, the Company and its Subsidiaries have conducted their business in the ordinary course consistent with past practice and there has not been:</w:t>
      </w:r>
    </w:p>
    <w:p>
      <w:pPr>
        <w:spacing w:after="0" w:line="162" w:lineRule="exact"/>
        <w:rPr>
          <w:sz w:val="20"/>
          <w:szCs w:val="20"/>
          <w:color w:val="auto"/>
        </w:rPr>
      </w:pPr>
    </w:p>
    <w:p>
      <w:pPr>
        <w:ind w:left="520" w:right="3859" w:firstLine="350"/>
        <w:spacing w:after="0" w:line="252" w:lineRule="auto"/>
        <w:tabs>
          <w:tab w:leader="none" w:pos="120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would be expected to have, individually or in the aggregate, a Material Adverse Effect on the Company;</w:t>
      </w:r>
    </w:p>
    <w:p>
      <w:pPr>
        <w:spacing w:after="0" w:line="162"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the Company (other than (i) quarterly cash dividends payable by the Company consistent with past practice (including periodic dividend increases consistent with past practice), but which for the sake of clarity shall not include any special dividends) or (ii) required dividends on the Series B Preferred Stock) or any repurchase, redemption or other acquisition by the Company or any of its Subsidiaries of any outstanding shares of capital stock or other securities of, or other ownership interests in, the Company or any of its Subsidiaries (other than any such repurchases prior to the date hereof pursuant to the Company's publicly announced stock buyback program or, after the date hereof, as permitted under Section 5.01(e));</w:t>
      </w:r>
    </w:p>
    <w:p>
      <w:pPr>
        <w:spacing w:after="0" w:line="162" w:lineRule="exact"/>
        <w:rPr>
          <w:rFonts w:ascii="Courier New" w:cs="Courier New" w:eastAsia="Courier New" w:hAnsi="Courier New"/>
          <w:sz w:val="14"/>
          <w:szCs w:val="14"/>
          <w:color w:val="auto"/>
        </w:rPr>
      </w:pPr>
    </w:p>
    <w:p>
      <w:pPr>
        <w:ind w:left="520" w:right="4459" w:firstLine="350"/>
        <w:spacing w:after="0" w:line="255" w:lineRule="auto"/>
        <w:tabs>
          <w:tab w:leader="none" w:pos="120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of any material term of any outstanding security of the Company or any of its Subsidiaries;</w:t>
      </w:r>
    </w:p>
    <w:p>
      <w:pPr>
        <w:spacing w:after="0" w:line="159" w:lineRule="exact"/>
        <w:rPr>
          <w:rFonts w:ascii="Courier New" w:cs="Courier New" w:eastAsia="Courier New" w:hAnsi="Courier New"/>
          <w:sz w:val="14"/>
          <w:szCs w:val="14"/>
          <w:color w:val="auto"/>
        </w:rPr>
      </w:pPr>
    </w:p>
    <w:p>
      <w:pPr>
        <w:ind w:left="520" w:right="3679" w:firstLine="350"/>
        <w:spacing w:after="0" w:line="251" w:lineRule="auto"/>
        <w:tabs>
          <w:tab w:leader="none" w:pos="120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agreement or settlement entered into, by (or judgment, order or decree affecting) the Company or any of its Subsidiaries relating to its assets or business (including the acquisition or disposition of any assets) or any relinquishment by the Company or any of its Subsidiaries of any contract or other right, in either case, material to the Company and its Subsidiaries taken as a whole, other than transactions, commitments, contracts, agreements or settlements (including without limitation</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782"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left="520" w:right="3779"/>
        <w:spacing w:after="0" w:line="252" w:lineRule="auto"/>
        <w:rPr>
          <w:sz w:val="20"/>
          <w:szCs w:val="20"/>
          <w:color w:val="auto"/>
        </w:rPr>
      </w:pPr>
      <w:r>
        <w:rPr>
          <w:rFonts w:ascii="Courier New" w:cs="Courier New" w:eastAsia="Courier New" w:hAnsi="Courier New"/>
          <w:sz w:val="14"/>
          <w:szCs w:val="14"/>
          <w:color w:val="auto"/>
        </w:rPr>
        <w:t>settlements of litigation and tax proceedings) in the ordinary course of business consistent with past practice, those contemplated by this Agreement, or as agreed to in writing by Acquiror;</w:t>
      </w:r>
    </w:p>
    <w:p>
      <w:pPr>
        <w:spacing w:after="0" w:line="163" w:lineRule="exact"/>
        <w:rPr>
          <w:sz w:val="20"/>
          <w:szCs w:val="20"/>
          <w:color w:val="auto"/>
        </w:rPr>
      </w:pPr>
    </w:p>
    <w:p>
      <w:pPr>
        <w:jc w:val="both"/>
        <w:ind w:left="520" w:right="3779" w:firstLine="350"/>
        <w:spacing w:after="0" w:line="252" w:lineRule="auto"/>
        <w:tabs>
          <w:tab w:leader="none" w:pos="1209"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any method of accounting or accounting practice (other than any change for tax purposes) by the Company or any of its Subsidiaries, except for any such change which is not significant or which is required by reason of a concurrent change in GAAP; or</w:t>
      </w:r>
    </w:p>
    <w:p>
      <w:pPr>
        <w:spacing w:after="0" w:line="162" w:lineRule="exact"/>
        <w:rPr>
          <w:rFonts w:ascii="Courier New" w:cs="Courier New" w:eastAsia="Courier New" w:hAnsi="Courier New"/>
          <w:sz w:val="14"/>
          <w:szCs w:val="14"/>
          <w:color w:val="auto"/>
        </w:rPr>
      </w:pPr>
    </w:p>
    <w:p>
      <w:pPr>
        <w:ind w:left="520" w:right="3679" w:firstLine="350"/>
        <w:spacing w:after="0" w:line="251" w:lineRule="auto"/>
        <w:tabs>
          <w:tab w:leader="none" w:pos="1209"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(or amendment to any such existing arrangement with) any director, officer or employee of the Company or any of its Subsidiaries, (ii) entering into of any employment, deferred compensation or other similar agreement (or any amendment to any such existing agreement) with any director, officer or employee of the Company or any of its Subsidiaries, (iii) increase in benefits payable under any existing severance or termination pay policies or employment agreements or (iv) increase in (or amendments to the terms of) compensation, bonus or other benefits payable to directors, officers or employees of the Company or any of its Subsidiaries, other than in the ordinary course of business consistent with past practice, as permitted by this Agreement, or as agreed to in writing by Acquiror.</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3.11. No Undisclosed Material Liabilities. There are no liabilities of the Company or any Subsidiary of the Company of any kind whatsoever, whether accrued, contingent, absolute, determined, determinable or otherwise, other than:</w:t>
      </w:r>
    </w:p>
    <w:p>
      <w:pPr>
        <w:spacing w:after="0" w:line="162" w:lineRule="exact"/>
        <w:rPr>
          <w:sz w:val="20"/>
          <w:szCs w:val="20"/>
          <w:color w:val="auto"/>
        </w:rPr>
      </w:pPr>
    </w:p>
    <w:p>
      <w:pPr>
        <w:ind w:left="520" w:right="3779" w:firstLine="436"/>
        <w:spacing w:after="0" w:line="255" w:lineRule="auto"/>
        <w:tabs>
          <w:tab w:leader="none" w:pos="129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or provided for in the Company Balance Sheet or in the notes thereto;</w:t>
      </w:r>
    </w:p>
    <w:p>
      <w:pPr>
        <w:spacing w:after="0" w:line="159" w:lineRule="exact"/>
        <w:rPr>
          <w:rFonts w:ascii="Courier New" w:cs="Courier New" w:eastAsia="Courier New" w:hAnsi="Courier New"/>
          <w:sz w:val="14"/>
          <w:szCs w:val="14"/>
          <w:color w:val="auto"/>
        </w:rPr>
      </w:pPr>
    </w:p>
    <w:p>
      <w:pPr>
        <w:ind w:left="520" w:right="4019" w:firstLine="350"/>
        <w:spacing w:after="0" w:line="255" w:lineRule="auto"/>
        <w:tabs>
          <w:tab w:leader="none" w:pos="120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which in the aggregate would not reasonably be expected to have a Material Adverse Effect on the Company;</w:t>
      </w:r>
    </w:p>
    <w:p>
      <w:pPr>
        <w:spacing w:after="0" w:line="159" w:lineRule="exact"/>
        <w:rPr>
          <w:rFonts w:ascii="Courier New" w:cs="Courier New" w:eastAsia="Courier New" w:hAnsi="Courier New"/>
          <w:sz w:val="14"/>
          <w:szCs w:val="14"/>
          <w:color w:val="auto"/>
        </w:rPr>
      </w:pPr>
    </w:p>
    <w:p>
      <w:pPr>
        <w:ind w:left="520" w:right="4199" w:firstLine="350"/>
        <w:spacing w:after="0" w:line="255" w:lineRule="auto"/>
        <w:tabs>
          <w:tab w:leader="none" w:pos="120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in the Company SEC Documents filed prior to the date hereof or set forth in Schedule 3.11(c); and</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under this Agreement.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3.12. Litigation. Except as disclosed in the Company SEC Documents filed prior to the date hereof, there is no action, suit, investigation or proceeding pending against, or to the knowledge of the Company threatened against or affecting, the Company or any of its Subsidiaries or any of their respective properties before any court or arbitrator or any governmental</w:t>
      </w:r>
    </w:p>
    <w:p>
      <w:pPr>
        <w:spacing w:after="0" w:line="2"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body, agency or official which would reasonably be expected to have a Material Adverse Effect on the Company.</w:t>
      </w:r>
    </w:p>
    <w:p>
      <w:pPr>
        <w:spacing w:after="0" w:line="160" w:lineRule="exact"/>
        <w:rPr>
          <w:sz w:val="20"/>
          <w:szCs w:val="20"/>
          <w:color w:val="auto"/>
        </w:rPr>
      </w:pPr>
    </w:p>
    <w:p>
      <w:pPr>
        <w:ind w:right="3779" w:firstLine="517"/>
        <w:spacing w:after="0" w:line="250" w:lineRule="auto"/>
        <w:rPr>
          <w:sz w:val="20"/>
          <w:szCs w:val="20"/>
          <w:color w:val="auto"/>
        </w:rPr>
      </w:pPr>
      <w:r>
        <w:rPr>
          <w:rFonts w:ascii="Courier New" w:cs="Courier New" w:eastAsia="Courier New" w:hAnsi="Courier New"/>
          <w:sz w:val="14"/>
          <w:szCs w:val="14"/>
          <w:color w:val="auto"/>
        </w:rPr>
        <w:t>SECTION 3.13. Taxes. Except as set forth in the Company Balance Sheet (including the notes thereto) or as otherwise set forth in Schedule 3.13 and except as would not, individually or in the aggregate, have a Material Adverse Effect on the Company, (i) all Company Tax Returns required to be filed with any taxing authority by, or with respect to, the Company and its Subsidiaries have been filed in accordance with all applicable laws; (ii) the Company and its Subsidiaries have timely paid all Taxes shown as due and payable on the Company Tax Returns that have been so filed, and, as of the time of filing, the Company Tax Returns correctly reflected the facts regarding the income, business, assets, operations, activities and the status of the Company and its Subsidiaries (other than Taxes which are being contested in good faith and for which adequate reserves are reflected on the Company Balance Sheet); (iii) the Company and its Subsidiaries have made provision for all Taxes payable by the Company and its Subsidiaries for which no Company Tax Return has yet been filed; (iv) the charges, accruals and reserves for Taxes with respect to the Company and its Subsidiaries reflected on the Company Balance Sheet are adequate under GAAP to cover the Tax liabilities accruing through the date thereof; (v) there is no action, suit, proceeding, audit or claim now proposed or pending against or with respect to the Company or any of its Subsidiaries in respect of any Tax where there is a reasonable possibility of an adverse determination; and (vi) to the best of the Company's knowledge and belief, neither the</w:t>
      </w:r>
    </w:p>
    <w:p>
      <w:pPr>
        <w:spacing w:after="0" w:line="34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616" w:right="1440" w:bottom="1440" w:gutter="0" w:footer="0" w:header="0"/>
        </w:sectPr>
      </w:pPr>
    </w:p>
    <w:bookmarkStart w:id="157" w:name="page158"/>
    <w:bookmarkEnd w:id="15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Company nor any of its Subsidiaries is liable for any Tax imposed on any entity other than such Person, except as the result of the application of Treas. Reg. Section 1.1502-6 (and any comparable provision of the tax laws of any state, local or foreign jurisdiction) to the affiliated group of which the Company is the common parent. For purposes of this Agreement, "Taxes" shall mean any and all taxes, charges, fees, levies or other assessments, including, without limitation,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(including taxes under Section 59A of the Code), customs duties, capital stock, profits, disability, sales, registration, value added, alternative or add-on minimum, estimated or other taxes, assessments or charges imposed by any federal, state, local or foreign governmental entity and any interest, penalties, or additions to tax attributable thereto. For purposes of this Agreement, "Tax Returns" shall mean any return, report, form or similar statement required to be filed with respect to any Tax (including any attached schedules), including, without limitation, any information return, claim for refund, amended return or declaration of estimated Tax.</w:t>
      </w:r>
    </w:p>
    <w:p>
      <w:pPr>
        <w:spacing w:after="0" w:line="34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3.14. Employee Benefit Plans. (a) Prior to the date hereof, the Company has provided Acquiror with a list (set forth on Schedule 3.14) identifying each material "employee benefit plan," as defined in Section 3(3) of the Employee Retirement Income Security Act of 1974 ("ERISA"), each material employment, severance or similar contract, plan, arrangement or policy applicable to any director, former director, employee or former employee of the Company and each material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which is maintained, administered or contributed to by the Company and covers any employee or director or former employee or director of the Company, or under which the Company has any liability. Such material plans (excluding any such plan that is a "multiemployer plan", as defined in Section 3(37) of ERISA) are referred to collectively herein as the "Company Employee Plans".</w:t>
      </w:r>
    </w:p>
    <w:p>
      <w:pPr>
        <w:spacing w:after="0" w:line="173" w:lineRule="exact"/>
        <w:rPr>
          <w:sz w:val="20"/>
          <w:szCs w:val="20"/>
          <w:color w:val="auto"/>
        </w:rPr>
      </w:pPr>
    </w:p>
    <w:p>
      <w:pPr>
        <w:ind w:right="3339" w:firstLine="439"/>
        <w:spacing w:after="0" w:line="251"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Employee Plan has been maintained in compliance with its terms and with the requirements prescribed by any and all statutes, orders, rules and regulations (including but not limited to ERISA and the Code) which are applicable to such Plan, except where failure to so comply would not, individually or in the aggregate, have a Material Adverse Effect on the Company.</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affiliate of the Company has incurred a liability under Title IV of ERISA that has not been satisfied in full, and no condition exists that presents a material risk to the Company or any affiliate of the Company of incurring any such liability other than liability for premiums due the Pension Benefit Guaranty Corporation (which premiums have been paid when due).</w:t>
      </w:r>
    </w:p>
    <w:p>
      <w:pPr>
        <w:spacing w:after="0" w:line="326"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Employee Plan which is intended to be qualified under Section 401(a) of the Code is so qualified and has been so qualified during the period from its adoption to date, and each trust forming a part thereof is exempt from federal income tax pursuant to Section 501(a) of the Code.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3.14, no director or officer or other employee of the Company or any of its Subsidiaries will become entitled to any retirement, severance or similar benefit or enhanced or accelerated benefit (including any acceleration of vesting or lapse of repurchase rights or obligations with respect to any employee stock option or other benefit under any stock option plan or compensation plan or arrangement of the Company) solely as a result of the transactions contemplated hereby.</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reflected in the Company SEC Documents filed prior to the date hereof, no Company Employee Plan provides post-retirement health and medical, life or other insurance benefits for retired employees of the Company or any of its Subsidiaries.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6"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439"/>
        <w:spacing w:after="0" w:line="251"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3.14, there has been no amendment to, written interpretation or announcement (whether or not written) by the Company or any of its affiliates relating to, or change in employee participation or coverage under, any Company Employee Plan which would increase materially the expense of maintaining such Company Employee Plan above the level of the expense incurred in respect thereof for the 12 months ended on the Company Balance Sheet Date.</w:t>
      </w:r>
    </w:p>
    <w:p>
      <w:pPr>
        <w:spacing w:after="0" w:line="33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3.15. Compliance with Laws. Neither the Company nor any of its Subsidiaries is in violation of, or has since January 1, 1997 violated, any applicable provisions of any laws, statutes, ordinances or regulations except for any violations that, individually or in the aggregate, would not reasonably be expected to have a Material Adverse Effect on the Company.</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3.16. Finders' or Advisors' Fees. Except for Goldman, Sachs &amp; Co., a copy of whose engagement agreement has been provided to Acquiror, there is no investment banker, broker, finder or other intermediary which has been retained by or is authorized to act on behalf of the Company or any of its Subsidiaries who might be entitled to any fee or commission in connection with the transactions contemplated by this Agreement.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3.17. Environmental Matters. (a) Except as set forth in the Company SEC Documents filed prior to the date hereof and with such exceptions as, individually or in the aggregate, have not had, and would not reasonably be expected to have, a Material Adverse Effect on the Company, (i) no notice, notification, demand, request for information, citation, summons, complaint or order has been received by, and no investigation, action, claim, suit, proceeding or review is pending or, to the knowledge of the Company or any of its Subsidiaries, threatened by any Person against, the Company or any of its Subsidiaries, and no penalty has been assessed against the Company or any of its Subsidiaries, in each case, with respect to any matters relating to or arising out of any Environmental Law; (ii) the Company and its Subsidiaries are and have been in compliance with all Environmental Laws; (iii) there are no liabilities of or relating to the Company or any of its Subsidiaries relating to or arising out of any Environmental Law of any kind whatsoever, whether accrued, contingent, absolute, determined, determinable or otherwise, and there is no existing condition, situation or set of circumstances which could reasonably be expected to result in such a liability; and (iv) there has been no environmental investigation, study, audit, test, review or other analysis conducted of which the Company has knowledge in relation to the current or prior business of the Company or any of its Subsidiaries or any property or facility now or previously owned, leased or operated by the Company or any of its Subsidiaries which has not been delivered to Acquiror at least five days prior to the date hereof.</w:t>
      </w:r>
    </w:p>
    <w:p>
      <w:pPr>
        <w:spacing w:after="0" w:line="341" w:lineRule="exact"/>
        <w:rPr>
          <w:sz w:val="20"/>
          <w:szCs w:val="20"/>
          <w:color w:val="auto"/>
        </w:rPr>
      </w:pPr>
    </w:p>
    <w:p>
      <w:pPr>
        <w:ind w:right="3339" w:firstLine="439"/>
        <w:spacing w:after="0" w:line="251" w:lineRule="auto"/>
        <w:tabs>
          <w:tab w:leader="none" w:pos="7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3.17 and Section 4.17, the term "Environmental Laws" means any federal, state, local and foreign statutes, laws (including, without limitation, common law), judicial decisions, regulations, ordinances, rules, judgments, orders, codes, injunctions, permits, governmental agreements or governmental restrictions relating to human health and safety, the environment or to pollutants, contaminants, wastes, or chemicals.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3.18. Opinion of Financial Advisor. The Company has received the opinion of Goldman, Sachs &amp; Co. to the effect that, as of the date of such opinion, the Exchange Ratio is fair from a financial point of view to the holders of Shares (other than Acquiror or any of its Subsidiaries or affiliates), and, as of the date hereof, such opinion has not been withdrawn.</w:t>
      </w:r>
    </w:p>
    <w:p>
      <w:pPr>
        <w:spacing w:after="0" w:line="165" w:lineRule="exact"/>
        <w:rPr>
          <w:sz w:val="20"/>
          <w:szCs w:val="20"/>
          <w:color w:val="auto"/>
        </w:rPr>
      </w:pPr>
    </w:p>
    <w:p>
      <w:pPr>
        <w:ind w:right="3939" w:firstLine="517"/>
        <w:spacing w:after="0" w:line="251" w:lineRule="auto"/>
        <w:rPr>
          <w:sz w:val="20"/>
          <w:szCs w:val="20"/>
          <w:color w:val="auto"/>
        </w:rPr>
      </w:pPr>
      <w:r>
        <w:rPr>
          <w:rFonts w:ascii="Courier New" w:cs="Courier New" w:eastAsia="Courier New" w:hAnsi="Courier New"/>
          <w:sz w:val="14"/>
          <w:szCs w:val="14"/>
          <w:color w:val="auto"/>
        </w:rPr>
        <w:t>SECTION 3.19. Pooling; Tax Treatment. (a) The Company intends that the Merger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SEC.</w:t>
      </w:r>
    </w:p>
    <w:p>
      <w:pPr>
        <w:spacing w:after="0" w:line="164" w:lineRule="exact"/>
        <w:rPr>
          <w:sz w:val="20"/>
          <w:szCs w:val="20"/>
          <w:color w:val="auto"/>
        </w:rPr>
      </w:pPr>
    </w:p>
    <w:p>
      <w:pPr>
        <w:ind w:right="3779" w:firstLine="439"/>
        <w:spacing w:after="0" w:line="252" w:lineRule="auto"/>
        <w:tabs>
          <w:tab w:leader="none" w:pos="86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affiliates has taken or agreed to take any action or is aware of any fact or circumstance that would prevent the Merger from qualifying (i) for "pooling of interests" accounting treatment as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159" w:name="page160"/>
    <w:bookmarkEnd w:id="15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described in (a) above or (ii) as a reorganization within the meaning of Section 368 of the Code (a "368 Reorganization").</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3.20. Pooling Letter. The Company has received a letter from Ernst</w:t>
      </w:r>
    </w:p>
    <w:p>
      <w:pPr>
        <w:spacing w:after="0" w:line="7" w:lineRule="exact"/>
        <w:rPr>
          <w:sz w:val="20"/>
          <w:szCs w:val="20"/>
          <w:color w:val="auto"/>
        </w:rPr>
      </w:pPr>
    </w:p>
    <w:p>
      <w:pPr>
        <w:ind w:right="3339" w:firstLine="8"/>
        <w:spacing w:after="0" w:line="251" w:lineRule="auto"/>
        <w:tabs>
          <w:tab w:leader="none" w:pos="17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Young LLP dated as of November 22, 1998 and addressed to the Company, a copy of which has been delivered to Acquiror, in which Ernst &amp; Young LLP concurs with the Company management's conclusion that, as of November 22, 1998, no conditions exist related to the Company that would preclude the Acquiror from accounting for the Merger as a pooling of interests, and such letter has not been withdrawn or modified in any material respect as of the date hereof.</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3.21. Takeover Statutes. The Board of Directors of the Company has taken the necessary action to make inapplicable the application of Section 203 of the Delaware Law, any other applicable antitakeover or similar statute or regulation and the supermajority voting provisions of Article 6 of the Company's certificate of incorporation to this Agreement and the Option Agreement and the transactions contemplated hereby and thereby.</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3.22. Rights Agreement. The Board of Directors of the Company has resolved to, and the Company promptly after the execution hereof will, take all action necessary to render the rights issued pursuant to the terms of the Company Rights Agreement inapplicable to the Merger, this Agreement, the Option Agreement and the other transactions contemplated hereby and thereby.</w:t>
      </w:r>
    </w:p>
    <w:p>
      <w:pPr>
        <w:spacing w:after="0" w:line="33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REPRESENTATIONS AND WARRANTIES OF ACQUIROR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Acquiror represents and warrants to the Company that:</w:t>
      </w:r>
    </w:p>
    <w:p>
      <w:pPr>
        <w:spacing w:after="0" w:line="173"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SECTION 4.01. Corporate Existence and Power. Each of Acquiror and Merger Subsidiary is a corporation duly incorporated, validly existing and in good standing under the laws of its jurisdiction of incorporation and has all corporate powers and all governmental licenses, authorizations, consents and approvals required to carry on its business as now conducted, except for those the absence of which would not, individually or in the aggregate,</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have a Material Adverse Effect on Acquiror. Acquiror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a Material Adverse Effect on Acquiror. Since the date of its incorporation, Merger Subsidiary has not engaged in any activities other than in connection with or as contemplated by this Agreement. Acquiror has heretofore delivered to the Company true and complete copies of Acquiror's and Merger Subsidiary's certificate of incorporation and by-laws as currently in effect.</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4.02. Corporate Authorization. (a) The execution, delivery and performance by Acquiror and Merger Subsidiary of this Agreement, and by Acquiror of the Option Agreement, and the consummation by Acquiror and Merger Subsidiary of the transactions contemplated hereby and thereby are within the corporate powers of Acquiror and Merger Subsidiary and have been duly authorized by all necessary corporate action, except for any required approval by Acquiror's stockholders of (i) the Merger, (ii) the amendment of Acquiror's certificate of incorporation to increase the authorized shares of Acquiror Common Stock and to change Acquiror's name in accordance with Section 2.01 and (iii) the issuance of Acquiror Common Stock in connection with the Merger (clauses (i), (ii) and (iii) being the "Acquiror Stockholder Approval") and except for the designation by the Board of Directors of shares of the Acquiror's authorized preferred stock as Acquiror Preferred Stock. The affirmative vote of the holders of shares of Acquiror Common Stock and shares of Class A Preferred Stock having votes representing a majority of the votes cast by all such shares, voting together as a single class, is the only vote of the holders of any of Acquiror's capital stock necessary in connection with obtaining the Acquiror Stockholder Approval. Assuming due authorization, execution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782"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and delivery of this Agreement and the Option Agreement by the Company, this Agreement constitutes a valid and binding agreement of each of Acquiror and Merger Subsidiary and the Option Agreement constitutes a valid and binding agreement of Acquiror, in each case enforceable against such party in accordance with its terms, subject to bankruptcy, insolvency, fraudulent transfer, reorganization, moratorium and similar laws of general applicability relating to or affecting creditors' rights and to general equity principles. The shares of Acquiror Common Stock and Acquiror Preferred Stock issued pursuant to the Merger, when issued in accordance with the terms hereof, will be duly authorized, validly issued, fully paid and nonassessable and not subject to preemptive rights.</w:t>
      </w:r>
    </w:p>
    <w:p>
      <w:pPr>
        <w:spacing w:after="0" w:line="163" w:lineRule="exact"/>
        <w:rPr>
          <w:sz w:val="20"/>
          <w:szCs w:val="20"/>
          <w:color w:val="auto"/>
        </w:rPr>
      </w:pPr>
    </w:p>
    <w:p>
      <w:pPr>
        <w:ind w:left="780" w:hanging="341"/>
        <w:spacing w:after="0"/>
        <w:tabs>
          <w:tab w:leader="none" w:pos="78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Acquiror's Board of Directors, at a meeting duly called and held, has</w:t>
      </w:r>
    </w:p>
    <w:p>
      <w:pPr>
        <w:spacing w:after="0" w:line="7" w:lineRule="exact"/>
        <w:rPr>
          <w:rFonts w:ascii="Courier New" w:cs="Courier New" w:eastAsia="Courier New" w:hAnsi="Courier New"/>
          <w:sz w:val="14"/>
          <w:szCs w:val="14"/>
          <w:color w:val="auto"/>
        </w:rPr>
      </w:pPr>
    </w:p>
    <w:p>
      <w:pPr>
        <w:jc w:val="both"/>
        <w:ind w:right="3859" w:firstLine="8"/>
        <w:spacing w:after="0" w:line="252" w:lineRule="auto"/>
        <w:tabs>
          <w:tab w:leader="none" w:pos="34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this Agreement and the Option Agreement and the transactions contemplated hereby and thereby (including the Merger), and (ii) resolved (subject to Section 6.04) to recommend approval by its stockholders of the matters constituting the Acquiror Stockholder Approval.</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4.03. Governmental Authorization. The execution, delivery and performance by Acquiror and Merger Subsidiary of this Agreement, and by Acquiror of the Option Agreement, and the consummation by Acquiror and Merger Subsidiary of the transactions contemplated hereby and thereby require no action by or in respect of, or filing with, any governmental body, agency, official or authority other than (a) the filing of a certificate of merger in accordance with Delaware Law, (b) compliance with any applicable requirements of the HSR Act, (c) compliance with any applicable requirements of the EC Merger Regulation, (d) compliance with any applicable requirements of the Canadian Act, (e) compliance with any applicable requirements of the Exchange Act, (f) compliance with any applicable requirements of the 1933 Act and (g) other actions or filings which if not taken or made would not, individually or in the aggregate, have a Material Adverse Effect on Acquiror.</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SECTION 4.04. Non-Contravention. The execution, delivery and performance by Acquiror and Merger Subsidiary of this Agreement, and by Acquiror of the Option Agreement, and the consummation by Acquiror and Merger Subsidiary of the transactions contemplated hereby and thereby do not and will not (a) assuming compliance with the matters referred to in Section 4.02, contravene or conflict with the certificate of incorporation or by-laws of Acquiror or Merger Subsidiary, (b) assuming compliance with the matters referred to in Section 4.03, contravene or conflict with any provision of any law, regulation, judgment, injunction, order or decree binding upon or applicable to</w:t>
      </w:r>
    </w:p>
    <w:p>
      <w:pPr>
        <w:spacing w:after="0" w:line="4"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Acquiror or any of its Subsidiaries, (c) constitute a default under or give rise to any right of termination, cancellation or acceleration of any right or obligation of Acquiror or any of its Subsidiaries or to a loss of any benefit to which Acquiror or any of its Subsidiaries is entitled under any provision of any agreement, contract or other instrument binding upon Acquiror or any of its Subsidiaries or any license, franchise, permit or other similar authorization held by Acquiror or any of its Subsidiaries or</w:t>
      </w:r>
    </w:p>
    <w:p>
      <w:pPr>
        <w:spacing w:after="0" w:line="3" w:lineRule="exact"/>
        <w:rPr>
          <w:sz w:val="20"/>
          <w:szCs w:val="20"/>
          <w:color w:val="auto"/>
        </w:rPr>
      </w:pPr>
    </w:p>
    <w:p>
      <w:pPr>
        <w:ind w:right="3779" w:firstLine="8"/>
        <w:spacing w:after="0" w:line="251" w:lineRule="auto"/>
        <w:tabs>
          <w:tab w:leader="none" w:pos="34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creation or imposition of any Lien on any asset of Acquiror or any of its Subsidiaries, except for such contraventions, conflicts or violations referred to in clause (b) or defaults, rights of termination, cancellation or acceleration, or losses or Liens referred to in clause (c) or (d) that would not, individually or in the aggregate, have a Material Adverse Effect on Acquiror. Neither Acquiror nor any Subsidiary of Acquiror is a party to any agreement that expressly limits the ability of Acquiror or any Subsidiary of Acquiror to compete in or conduct any line of business or compete with any Person or in any geographic area or during any period of time except to the extent that any such limitation, individually or in the aggregate, would not be reasonably likely to have a Material Adverse Effect on Acquiror after the Effective Time.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4.05. Capitalization. The authorized capital stock of Acquiror consists of 3,000,000,000 shares of Acquiror Common Stock and 200,000,000 shares of preferred stock, without par value (of which 16,500,000 are designated Class A Preferred Stock and 100,000,000 are designated Class B Preferred Stock). As of the close of business on November 27, 1998, there were outstanding 2,427,693,787 shares of Acquiror Common Stock, 1,884,638 shares of Class A Preferred Stock and no shares of Class B Preferred Stock, and employee stock options to purchase an aggregate of 70,537,194 shares of Acquiror Common Stock (of which options to purchase an aggregate of 59,117,944 shares of Acquiror Common Stock were exercisable). All outstanding shares of capital stock of Acquiror have been duly authorized and validly issued and are fully paid and nonassessable. Except as set forth in this Section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782" w:right="1440" w:bottom="1440" w:gutter="0" w:footer="0" w:header="0"/>
        </w:sectPr>
      </w:pPr>
    </w:p>
    <w:bookmarkStart w:id="161" w:name="page162"/>
    <w:bookmarkEnd w:id="16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and except for changes since the close of business on November 27, 1998 resulting from the exercise of employee stock options outstanding on such date or options or other stock-based awards granted as permitted by Section 6.01 and except for the shares to be issued in connection with the Merger, there are outstanding (a) no shares of capital stock or other voting securities of Acquiror, (b) no securities of Acquiror convertible into or exchangeable for shares of capital stock or voting securities of Acquiror, and (c) no options, warrants or other rights to acquire from Acquiror, and no preemptive or similar rights, subscription or other rights, convertible securities, agreements, arrangements, or commitments of any character, relating to the capital stock of Acquiror, obligating Acquiror to issue, transfer or sell any capital stock, voting security or securities convertible into or exchangeable for capital stock or voting securities of Acquiror or obligating Acquiror to grant, extend or enter into any such option, warrant, subscription or other right, convertible security, agreement, arrangement or commitment (the items in clauses 4.05(a), 4.05(b) and 4.05(c) being referred to collectively as the "Acquiror Securities"). There are no outstanding obligations of Acquiror or any of its Subsidiaries to repurchase, redeem or otherwise acquire any Acquiror Securities.</w:t>
      </w:r>
    </w:p>
    <w:p>
      <w:pPr>
        <w:spacing w:after="0" w:line="17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4.06. Subsidiaries. (a) Each Subsidiary of Acquiror is duly organized, validly existing and in good standing under the laws of its jurisdiction of organization, has all powers and all governmental licenses, authorizations, permits, consents and approvals required to carry on its business as now conducted, except for those the absence of which would not, individually or in the aggregate, reasonably be expected to have a Material Adverse Effect on Acquiror. Each Subsidiary of Acquiror is duly qualified to do business and is in good standing in each jurisdiction where the character of the property owned or leased by it or the nature of its activities makes such qualifications necessary, except for those jurisdictions where failure to be so qualified would not, individually or in the aggregate, have a Material Adverse Effect on Acquiror. All Significant Subsidiaries of Acquiror and their respective jurisdictions of incorporation are identified in Acquiror's annual report on Form 10-K for the fiscal year ended December 31, 1997 ("Acquiror 10-K").</w:t>
      </w:r>
    </w:p>
    <w:p>
      <w:pPr>
        <w:spacing w:after="0" w:line="328" w:lineRule="exact"/>
        <w:rPr>
          <w:sz w:val="20"/>
          <w:szCs w:val="20"/>
          <w:color w:val="auto"/>
        </w:rPr>
      </w:pPr>
    </w:p>
    <w:p>
      <w:pPr>
        <w:ind w:right="3419" w:firstLine="439"/>
        <w:spacing w:after="0" w:line="250" w:lineRule="auto"/>
        <w:tabs>
          <w:tab w:leader="none" w:pos="77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directors' qualifying shares and except as set forth in the Acquiror 10-K, all of the outstanding capital stock of, or other ownership interests in, each Significant Subsidiary of Acquiror is owned by Acquiror, directly or indirectly, free and clear of any material Lien and free of any other material limitation or restriction (including any restriction on the right to vote, sell or otherwise dispose of such capital stock or other ownership interests). There are no outstanding (i) securities of Acquiror</w:t>
      </w:r>
    </w:p>
    <w:p>
      <w:pPr>
        <w:spacing w:after="0" w:line="3" w:lineRule="exact"/>
        <w:rPr>
          <w:rFonts w:ascii="Courier New" w:cs="Courier New" w:eastAsia="Courier New" w:hAnsi="Courier New"/>
          <w:sz w:val="14"/>
          <w:szCs w:val="14"/>
          <w:color w:val="auto"/>
        </w:rPr>
      </w:pPr>
    </w:p>
    <w:p>
      <w:pPr>
        <w:ind w:right="37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any of its Subsidiaries convertible into or exchangeable for shares of capital stock or other voting securities or ownership interests in any Significant Subsidiary of Acquiror, and (ii) options, warrants or other rights to acquire from Acquiror or any of its Significant Subsidiaries, and no preemptive or similar rights, subscriptions or other rights, convertible securities, agreements, arrangements or commitments of any character, relating to the capital stock of any Significant Subsidiary of Acquiror, obligating Acquiror or any of its Significant Subsidiaries to issue, transfer or sell, any capital stock, voting securities or other ownership interests in, or any securities convertible into or exchangeable for any capital stock, voting securities or ownership interests in, any Significant Subsidiary of Acquiror or obligating Acquiror or any Significant Subsidiary of Acquiror to grant, extend or enter into any such option, warrant, subscription or other right, convertible security, agreement, arrangement or commitment except, in any such case under clause (i) or (ii), to the extent relating to an insignificant equity interest in any Significant Subsidiary (items in clauses 4.06(b)(i) and 4.06(b)(ii) being referred to collectively as the "Acquiror Subsidiary Securities"). There are no outstanding obligations of Acquiror or any of its Subsidiaries to repurchase, redeem or otherwise acquire any outstanding Acquiror Subsidiary Securities.</w:t>
      </w:r>
    </w:p>
    <w:p>
      <w:pPr>
        <w:spacing w:after="0" w:line="34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4.07. SEC Filings. (a) Acquiror has delivered to the Company (i) its annual reports on Form 10-K for its fiscal years ended December 31, 1995, 1996 and 1997, (ii) its quarterly reports on Form 10-Q for its fiscal quarters ended after December 31, 1997, (iii) its proxy or information statements relating to meetings, of, or actions taken without a meeting by, the stockholders of Acquiror held since December 31, 1997, and (iv) all of its other reports, statements, schedules and registration statements filed with the SEC since December 31, 1997 (the documents referred to in this Section 4.07(a) being referred to collectively as the "Acquiror SEC Documents"). The Acquiror's quarterly report on Form 10-Q for its fiscal quarter ended September 30, 1998 is referred to herein as the "Acquiror 10-Q".</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782"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19" w:firstLine="439"/>
        <w:spacing w:after="0" w:line="252"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Acquiror SEC Document complied as to form in all material respects with the applicable requirements of the Exchange Act and the 1933 Act.</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Acquiror SEC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registration statement as amended or supplemented, if applicable, filed pursuant to the 1933 Act as of the date such statement or amendment became effective did not contain any untrue statement of a material fact or omit to state any material fact required to be stated therein or necessary to make the statements therein not misleading.</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4.08. Financial Statements. The audited consolidated financial statements and unaudited consolidated interim financial statements of Acquiror (including any related notes and schedules) included in the annual reports on Form 10-K and the quarterly reports on Form 10-Q referred to in Section 4.07 fairly present in all material respects, in conformity with generally accepted accounting principles applied on a consistent basis (except as may be indicated in the notes thereto), the consolidated financial position of Acquiror and its consolidated Subsidiaries as of the dates thereof and their consolidated results of operations and changes in financial position for the periods then ended (subject to normal year-end adjustments and the absence of notes in the case of any unaudited interim financial statements). For purposes of this Agreement, "Acquiror Balance Sheet" means the consolidated balance sheet of Acquiror as of September 30, 1998 set forth in the Acquiror 10-Q and "Acquiror Balance Sheet Date" means September 30, 1998.</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4.09. Disclosure Documents. (a) The proxy statement of Acquiror (the "Acquiror Proxy Statement") to be filed with the SEC in connection with the Merger and the Registration Statement on Form S-4 of Acquiror (the "Form S-4") to be filed under the 1933 Act relating to the issuance of Acquiror Common Stock in the Merger, that may be required to be filed with the SEC in connection with the issuance of shares of Acquiror Common Stock pursuant to the Merger and</w:t>
      </w:r>
    </w:p>
    <w:p>
      <w:pPr>
        <w:spacing w:after="0" w:line="3"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any amendments or supplements thereto, will, when filed, subject to the last sentence of Section 4.09(b), comply as to form in all material respects with the applicable requirements of the 1933 Act.</w:t>
      </w:r>
    </w:p>
    <w:p>
      <w:pPr>
        <w:spacing w:after="0" w:line="163" w:lineRule="exact"/>
        <w:rPr>
          <w:sz w:val="20"/>
          <w:szCs w:val="20"/>
          <w:color w:val="auto"/>
        </w:rPr>
      </w:pPr>
    </w:p>
    <w:p>
      <w:pPr>
        <w:ind w:right="3339" w:firstLine="439"/>
        <w:spacing w:after="0" w:line="251"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Acquiror Proxy Statement nor any amendment or supplement thereto, will, at the date the Acquiror Proxy Statement or any such amendment or supplement is first mailed to shareholders of Acquiror or at the time such shareholders vote on the matters constituting the Acquiror Stockholder Approval, contain any untrue statement of a material fact or omit to state any material fact necessary in order to make the statements therein, in light of the circumstances under which they were made, not misleading. Neither the Form S-4 nor any amendment or supplement thereto will at the time it becomes effective under the 1933 Act or at the Effective Time contain any untrue statement of a material fact or omit to state a material fact required to be stated therein or necessary to make the statements therein not misleading. No representation or warranty is made by Acquiror in this Section 4.09 with respect to statements made or incorporated by reference therein based on information supplied by the Company for inclusion or incorporation by reference in the Acquiror Proxy Statement or the Form S-4.</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information supplied or to be supplied by Acquiror for inclusion or incorporation by reference in the Company Proxy Statement or any amendment or supplement thereto will, at the date the Company Proxy Statement or any amendment or supplement thereto is first mailed to stockholders of Company or at the time such stockholders vote on the adoption and approval of this Agreement and the transactions contemplated hereby, contain any untrue statement of a material fact or omit to state any material fact necessary in order to make the statements therein, in light of the circumstances under which they were made, not misleading.</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4.10. Absence of Certain Changes. Since the Acquiror Balance Sheet Date, Acquiror and its Subsidiaries have conducted their business in the ordinary course consistent with past practice and there has not been: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9"/>
          </w:cols>
          <w:pgMar w:left="220" w:top="782" w:right="1440" w:bottom="1440" w:gutter="0" w:footer="0" w:header="0"/>
        </w:sectPr>
      </w:pPr>
    </w:p>
    <w:bookmarkStart w:id="163" w:name="page164"/>
    <w:bookmarkEnd w:id="163"/>
    <w:p>
      <w:pPr>
        <w:jc w:val="center"/>
        <w:ind w:right="15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3859" w:firstLine="350"/>
        <w:spacing w:after="0" w:line="252" w:lineRule="auto"/>
        <w:tabs>
          <w:tab w:leader="none" w:pos="120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would be expected to have, individually or in the aggregate, a Material Adverse Effect on Acquiror;</w:t>
      </w:r>
    </w:p>
    <w:p>
      <w:pPr>
        <w:spacing w:after="0" w:line="162"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Acquiror (other than (i) quarterly cash dividends payable by Acquiror consistent with past practice (including periodic dividend increases consistent with past practice), but which for the sake of clarity shall not include any special dividends), or (ii) required dividends on preferred stock outstanding on the date hereof) or any repurchase, redemption or other acquisition by Acquiror or any of its Subsidiaries of any outstanding shares of capital stock or other equity securities of, or other ownership interests in, Acquiror (other than any such repurchases prior to the date hereof pursuant to Acquiror's publicly announced stock buyback program or, after the date hereof, as permitted under Section 6.01(e)); or</w:t>
      </w:r>
    </w:p>
    <w:p>
      <w:pPr>
        <w:spacing w:after="0" w:line="162"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prior to the date hereof in any method of accounting or accounting practice (other than any change for tax purposes) by Acquiror or any of its Subsidiaries, except for any such change which is not significant or which is required by reason of a concurrent change in GAAP.</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4.11. No Undisclosed Material Liabilities. There are no liabilities of the Acquiror or any Subsidiary of the Acquiror of any kind whatsoever, whether accrued, contingent, absolute, determined, determinable or otherwise, other than:</w:t>
      </w:r>
    </w:p>
    <w:p>
      <w:pPr>
        <w:spacing w:after="0" w:line="162" w:lineRule="exact"/>
        <w:rPr>
          <w:sz w:val="20"/>
          <w:szCs w:val="20"/>
          <w:color w:val="auto"/>
        </w:rPr>
      </w:pPr>
    </w:p>
    <w:p>
      <w:pPr>
        <w:ind w:left="520" w:right="3779" w:firstLine="350"/>
        <w:spacing w:after="0" w:line="255" w:lineRule="auto"/>
        <w:tabs>
          <w:tab w:leader="none" w:pos="120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or provided for in the Acquiror Balance Sheet or in the notes thereto;</w:t>
      </w:r>
    </w:p>
    <w:p>
      <w:pPr>
        <w:spacing w:after="0" w:line="159" w:lineRule="exact"/>
        <w:rPr>
          <w:rFonts w:ascii="Courier New" w:cs="Courier New" w:eastAsia="Courier New" w:hAnsi="Courier New"/>
          <w:sz w:val="14"/>
          <w:szCs w:val="14"/>
          <w:color w:val="auto"/>
        </w:rPr>
      </w:pPr>
    </w:p>
    <w:p>
      <w:pPr>
        <w:ind w:left="520" w:right="4019" w:firstLine="350"/>
        <w:spacing w:after="0" w:line="255" w:lineRule="auto"/>
        <w:tabs>
          <w:tab w:leader="none" w:pos="120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which in the aggregate would not reasonably be expected to have a Material Adverse Effect on Acquiror;</w:t>
      </w:r>
    </w:p>
    <w:p>
      <w:pPr>
        <w:spacing w:after="0" w:line="159" w:lineRule="exact"/>
        <w:rPr>
          <w:rFonts w:ascii="Courier New" w:cs="Courier New" w:eastAsia="Courier New" w:hAnsi="Courier New"/>
          <w:sz w:val="14"/>
          <w:szCs w:val="14"/>
          <w:color w:val="auto"/>
        </w:rPr>
      </w:pPr>
    </w:p>
    <w:p>
      <w:pPr>
        <w:ind w:left="520" w:right="4119" w:firstLine="350"/>
        <w:spacing w:after="0" w:line="255" w:lineRule="auto"/>
        <w:tabs>
          <w:tab w:leader="none" w:pos="120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in the Acquiror SEC Documents filed prior to the date hereof or set forth in Schedule 4.11(c); and</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under this Agreement.</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4.12. Litigation. Except as disclosed in the Acquiror SEC Documents filed prior to the date hereof, there is no action, suit, investigation or proceeding pending against, or to the knowledge of Acquiror threatened against or affecting, Acquiror or any of its Subsidiaries or any of their respective properties before any court or arbitrator or any governmental body, agency or official which would reasonably be expected to have a Material Adverse Effect on Acquiror.</w:t>
      </w:r>
    </w:p>
    <w:p>
      <w:pPr>
        <w:spacing w:after="0" w:line="164" w:lineRule="exact"/>
        <w:rPr>
          <w:sz w:val="20"/>
          <w:szCs w:val="20"/>
          <w:color w:val="auto"/>
        </w:rPr>
      </w:pPr>
    </w:p>
    <w:p>
      <w:pPr>
        <w:ind w:right="3859" w:firstLine="517"/>
        <w:spacing w:after="0" w:line="250" w:lineRule="auto"/>
        <w:rPr>
          <w:sz w:val="20"/>
          <w:szCs w:val="20"/>
          <w:color w:val="auto"/>
        </w:rPr>
      </w:pPr>
      <w:r>
        <w:rPr>
          <w:rFonts w:ascii="Courier New" w:cs="Courier New" w:eastAsia="Courier New" w:hAnsi="Courier New"/>
          <w:sz w:val="14"/>
          <w:szCs w:val="14"/>
          <w:color w:val="auto"/>
        </w:rPr>
        <w:t>SECTION 4.13. Taxes. Except as set forth in the Acquiror Balance Sheet (including the notes thereto) or as otherwise set forth on Schedule 4.13 and except as would not, individually or in the aggregate, have a Material Adverse Effect on Acquiror, (i) all Acquiror Tax Returns required to be filed with any taxing authority by, or with respect to, Acquiror and its Subsidiaries have been filed in accordance with all applicable laws;</w:t>
      </w:r>
    </w:p>
    <w:p>
      <w:pPr>
        <w:spacing w:after="0" w:line="3" w:lineRule="exact"/>
        <w:rPr>
          <w:sz w:val="20"/>
          <w:szCs w:val="20"/>
          <w:color w:val="auto"/>
        </w:rPr>
      </w:pPr>
    </w:p>
    <w:p>
      <w:pPr>
        <w:ind w:right="3779" w:firstLine="8"/>
        <w:spacing w:after="0" w:line="250" w:lineRule="auto"/>
        <w:tabs>
          <w:tab w:leader="none" w:pos="51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and its Subsidiaries have timely paid all Taxes shown as due and payable on Acquiror Tax Returns that have been so filed, and, as of the time of filing, Acquiror Tax Returns correctly reflected the facts regarding the income, business, assets, operations, activities and the status of Acquiror and its Subsidiaries (other than Taxes which are being contested in good faith and for which adequate reserves are reflected on the Acquiror Balance Sheet); (iii) Acquiror and its Subsidiaries have made provision for all Taxes payable by Acquiror and its Subsidiaries for which no Acquiror Tax Return has yet been filed; (iv) the charges, accruals and reserves for Taxes with respect to Acquiror and its Subsidiaries reflected on the Acquiror Balance Sheet are adequate under GAAP to cover the Tax liabilities accruing through the date thereof; (v) there is no action, suit, proceeding, audit or claim now proposed or pending against or with respect to Acquiror or any of its Subsidiaries in respect of any Tax where there is a reasonable possibility of an adverse determination; and (vi) to the best of Acquiror's knowledge and belief, neither Acquiror nor any of its Subsidiaries is liable for any Tax imposed on</w:t>
      </w:r>
    </w:p>
    <w:p>
      <w:pPr>
        <w:spacing w:after="0" w:line="33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10239"/>
          </w:cols>
          <w:pgMar w:left="220" w:top="782"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any entity other than such Person, except as the result of the application of Treas. Reg. Section 1.1502-6 (and any comparable provision of the tax laws of any state, local or foreign jurisdiction) to the affiliated group of which Acquiror is the common parent.</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4.14. Employee Benefit Plans. (a) Prior to the date hereof, Acquiror has provided the Company with a list (set forth on Schedule 4.14) identifying each material "employee benefit plan," as defined in Section 3(3) of ERISA, each employment, severance or similar contract, plan, arrangement or policy applicable to any director, former director, employee or former employee of Acquiror and each material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which is maintained, administered or contributed to by Acquiror and covers any employee or director or former employee or director of Acquiror, or under which Acquiror has any liability. Such material plans (excluding any such plan that is a "multiemployer plan", as defined in Section 3(37) of ERISA) are referred to collectively herein as the "Acquiror Employee Plans".</w:t>
      </w:r>
    </w:p>
    <w:p>
      <w:pPr>
        <w:spacing w:after="0" w:line="173" w:lineRule="exact"/>
        <w:rPr>
          <w:sz w:val="20"/>
          <w:szCs w:val="20"/>
          <w:color w:val="auto"/>
        </w:rPr>
      </w:pPr>
    </w:p>
    <w:p>
      <w:pPr>
        <w:ind w:right="3419" w:firstLine="439"/>
        <w:spacing w:after="0" w:line="251"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Acquiror Employee Plan has been maintained in compliance with its terms and with the requirements prescribed by any and all statutes, orders, rules and regulations (including but not limited to ERISA and the Code) which are applicable to such Plan, except where failure to so comply would not, individually or in the aggregate, have a Material Adverse Effect on Acquiror.</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Acquiror nor any affiliate of Acquiror has incurred a liability under Title IV of ERISA that has not been satisfied in full, and no condition exists that presents a material risk to Acquiror or any affiliate of Acquiror of incurring any such liability other than liability for premiums due the Pension Benefit Guaranty Corporation (which premiums have been paid when due).</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Acquiror Employee Plan which is intended to be qualified under Section 401(a) of the Code is so qualified and has been so qualified during the period from its adoption to date, and each trust forming a part thereof is exempt from federal income tax pursuant to Section 501(a) of the Code.</w:t>
      </w:r>
    </w:p>
    <w:p>
      <w:pPr>
        <w:spacing w:after="0" w:line="162"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 or officer or other employee of Acquiror or any of its Subsidiaries will become entitled to any retirement, severance or similar benefit or enhanced or accelerated benefit solely as a result of the transactions contemplated hereby.</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reflected in the Acquiror SEC Documents filed prior to the date hereof, no Acquiror Employee Plan provides post-retirement health and medical, life or other insurance benefits for retired employees of Acquiror or any of its Subsidiaries.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amendment to, written interpretation or announcement (whether or not written) by Acquiror or any of its affiliates relating to, or change in employee participation or coverage under, any Acquiror Employee Plan which would increase materially the expense of maintaining such Acquiror Employee Plan above the level of the expense incurred in respect thereof for the 12 months ended on the Acquiror Balance Sheet Date.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4.15. Compliance with Laws. Neither Acquiror nor any of its Subsidiaries is in violation of, or has since January 1, 1997 violated, any applicable provisions of any laws, statutes, ordinances or regulations except for any violations that, individually or in the aggregate, would not reasonably be expected to have a Material Adverse Effect on Acquiror.</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10239"/>
          </w:cols>
          <w:pgMar w:left="220" w:top="782" w:right="1440" w:bottom="1440" w:gutter="0" w:footer="0" w:header="0"/>
        </w:sectPr>
      </w:pPr>
    </w:p>
    <w:bookmarkStart w:id="165" w:name="page166"/>
    <w:bookmarkEnd w:id="16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4.16. Finders' or Advisors' Fees. Except for J.P. Morgan Securities Inc., whose fees will be paid by Acquiror, there is no investment banker, broker, finder or other intermediary which has been retained by or is authorized to act on behalf of Acquiror or any of its Subsidiaries who might be entitled to any fee or commission in connection with the transactions contemplated by this Agreement.</w:t>
      </w:r>
    </w:p>
    <w:p>
      <w:pPr>
        <w:spacing w:after="0" w:line="32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4.17. Environmental Matters. Except as set forth in the Acquiror SEC Documents filed prior to the date hereof and with such exceptions as, individually or in the aggregate, have not had, and would not reasonably be expected to have, a Material Adverse Effect on Acquiror, (i) no notice, notification, demand, request for information, citation, summons, complaint or order has been received by, and no investigation, action, claim, suit, proceeding or review is pending or, to the knowledge of Acquiror or any of its Subsidiaries, threatened by any Person against, Acquiror or any of its Subsidiaries, and no penalty has been assessed against Acquiror or any of its Subsidiaries, in each case, with respect to any matters relating to or arising out of any Environmental Law; (ii) Acquiror and its Subsidiaries are and have been in compliance with all Environmental Laws; (iii) there are no liabilities of or relating to Acquiror or any of its Subsidiaries relating to or arising out of any Environmental Law of any kind whatsoever, whether accrued, contingent, absolute, determined, determinable or otherwise, and there is no existing condition, situation or set of circumstances which could reasonably be expected to result in such a liability; and (iv) there has been no environmental investigation, study, audit, test, review or other analysis conducted of which Acquiror has knowledge in relation to the current or prior business of Acquiror or any of its Subsidiaries or any property or facility now or previously owned, leased or operated by Acquiror or any of its Subsidiaries which has not been delivered to the Company at least five days prior to the date hereof.</w:t>
      </w:r>
    </w:p>
    <w:p>
      <w:pPr>
        <w:spacing w:after="0" w:line="175"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SECTION 4.18. Opinion of Financial Advisor. Acquiror has received the opinion of J.P. Morgan Securities Inc. to the effect that, as of the date of such opinion, the consideration to be paid by Acquiror in the Merger is fair, from a financial point of view, to Acquiror, and, as of the date hereof, such opinion has not been withdrawn.</w:t>
      </w:r>
    </w:p>
    <w:p>
      <w:pPr>
        <w:spacing w:after="0" w:line="165" w:lineRule="exact"/>
        <w:rPr>
          <w:sz w:val="20"/>
          <w:szCs w:val="20"/>
          <w:color w:val="auto"/>
        </w:rPr>
      </w:pPr>
    </w:p>
    <w:p>
      <w:pPr>
        <w:ind w:right="3939" w:firstLine="517"/>
        <w:spacing w:after="0" w:line="252" w:lineRule="auto"/>
        <w:rPr>
          <w:sz w:val="20"/>
          <w:szCs w:val="20"/>
          <w:color w:val="auto"/>
        </w:rPr>
      </w:pPr>
      <w:r>
        <w:rPr>
          <w:rFonts w:ascii="Courier New" w:cs="Courier New" w:eastAsia="Courier New" w:hAnsi="Courier New"/>
          <w:sz w:val="14"/>
          <w:szCs w:val="14"/>
          <w:color w:val="auto"/>
        </w:rPr>
        <w:t>SECTION 4.19. Pooling; Tax Treatment. (a) Acquiror intends that the Merger be accounted for as a "pooling of interests" as described in Section 3.19(a).</w:t>
      </w:r>
    </w:p>
    <w:p>
      <w:pPr>
        <w:spacing w:after="0" w:line="163" w:lineRule="exact"/>
        <w:rPr>
          <w:sz w:val="20"/>
          <w:szCs w:val="20"/>
          <w:color w:val="auto"/>
        </w:rPr>
      </w:pPr>
    </w:p>
    <w:p>
      <w:pPr>
        <w:ind w:right="3779" w:firstLine="439"/>
        <w:spacing w:after="0" w:line="252" w:lineRule="auto"/>
        <w:tabs>
          <w:tab w:leader="none" w:pos="86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Acquiror nor any of its affiliates has taken or agreed to take any action or is aware of any fact or circumstance that would prevent the Merger from qualifying (i) for "pooling of interests" accounting treatment as described in Section 3.19(a) or (ii) as a 368 Reorganization.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4.20. Pooling Letter. Acquiror has received a letter from PricewaterhouseCoopers LLP dated as of November 25, 1998 and addressed to Acquiror, a copy of which has been delivered to the Company, stating that based on the information furnished to PricewaterhouseCoopers LLP in the related certificate of Acquiror's management and based on the letter from Ernst &amp; Young LLP referenced in Section 3.20, PricewaterhouseCoopers LLP concurs with Acquiror management's conclusion that, as of November 25, 1998, no conditions exist that would preclude Acquiror's accounting for the Merger as a pooling of interests, and such letter has not been withdrawn or modified in any material respect as of the date hereof.</w:t>
      </w: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5</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COVENANTS OF THE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agrees that: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5.01. Conduct of the Company. From the date hereof until the Effective Time, the Company and its Subsidiaries shall conduct their business in the ordinary course consistent with past practice and shall use their reasonable best efforts to preserve intact their business organizations and relationships with third parties. Without</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782"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limiting the generality of the foregoing, except with the prior written consent of Acquiror or as contemplated by this Agreement, and, in the case of clauses (g), (i), (j) and (l) below, except in the ordinary course of business not representing a new strategic direction of the Company, from the date hereof until the Effective Time:</w:t>
      </w:r>
    </w:p>
    <w:p>
      <w:pPr>
        <w:spacing w:after="0" w:line="165" w:lineRule="exact"/>
        <w:rPr>
          <w:sz w:val="20"/>
          <w:szCs w:val="20"/>
          <w:color w:val="auto"/>
        </w:rPr>
      </w:pPr>
    </w:p>
    <w:p>
      <w:pPr>
        <w:ind w:left="520" w:right="3519" w:firstLine="350"/>
        <w:spacing w:after="0" w:line="252" w:lineRule="auto"/>
        <w:tabs>
          <w:tab w:leader="none" w:pos="1209"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Significant Subsidiaries to, adopt or propose any change in its certificate of incorporation or by-laws;</w:t>
      </w:r>
    </w:p>
    <w:p>
      <w:pPr>
        <w:spacing w:after="0" w:line="162"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Significant Subsidiary of the Company to, adopt a plan or agreement of complete or partial liquidation, dissolution, merger, consolidation, restructuring, recapitalization or other material reorganization of the Company or any of its Significant Subsidiaries (other than a merger or consolidation between its wholly-owned Subsidiaries);</w:t>
      </w:r>
    </w:p>
    <w:p>
      <w:pPr>
        <w:spacing w:after="0" w:line="164" w:lineRule="exact"/>
        <w:rPr>
          <w:rFonts w:ascii="Courier New" w:cs="Courier New" w:eastAsia="Courier New" w:hAnsi="Courier New"/>
          <w:sz w:val="14"/>
          <w:szCs w:val="14"/>
          <w:color w:val="auto"/>
        </w:rPr>
      </w:pPr>
    </w:p>
    <w:p>
      <w:pPr>
        <w:ind w:left="520" w:right="3859" w:firstLine="350"/>
        <w:spacing w:after="0" w:line="250" w:lineRule="auto"/>
        <w:tabs>
          <w:tab w:leader="none" w:pos="1209"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material Subsidiary of the Company to, issue, sell, transfer, pledge, dispose of or encumber any shares of, or securities convertible into or exchangeable for, or options, warrants, calls, commitments or rights of any kind to acquire, any shares of capital stock of any class or series of the Company or its material Subsidiaries other than (i) issuances pursuant to the exercise of convertible securities outstanding on the date hereof or issuances pursuant to stock based awards or options that are outstanding on the date hereof and are reflected in Section 3.05 or are granted in accordance with clause</w:t>
      </w:r>
    </w:p>
    <w:p>
      <w:pPr>
        <w:spacing w:after="0" w:line="4" w:lineRule="exact"/>
        <w:rPr>
          <w:rFonts w:ascii="Courier New" w:cs="Courier New" w:eastAsia="Courier New" w:hAnsi="Courier New"/>
          <w:sz w:val="14"/>
          <w:szCs w:val="14"/>
          <w:color w:val="auto"/>
        </w:rPr>
      </w:pPr>
    </w:p>
    <w:p>
      <w:pPr>
        <w:ind w:left="960" w:hanging="435"/>
        <w:spacing w:after="0"/>
        <w:tabs>
          <w:tab w:leader="none" w:pos="9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and (ii) additional options or stock-based awards to</w:t>
      </w:r>
    </w:p>
    <w:p>
      <w:pPr>
        <w:spacing w:after="0" w:line="7" w:lineRule="exact"/>
        <w:rPr>
          <w:sz w:val="20"/>
          <w:szCs w:val="20"/>
          <w:color w:val="auto"/>
        </w:rPr>
      </w:pPr>
    </w:p>
    <w:p>
      <w:pPr>
        <w:ind w:left="520" w:right="4019"/>
        <w:spacing w:after="0" w:line="252" w:lineRule="auto"/>
        <w:rPr>
          <w:sz w:val="20"/>
          <w:szCs w:val="20"/>
          <w:color w:val="auto"/>
        </w:rPr>
      </w:pPr>
      <w:r>
        <w:rPr>
          <w:rFonts w:ascii="Courier New" w:cs="Courier New" w:eastAsia="Courier New" w:hAnsi="Courier New"/>
          <w:sz w:val="14"/>
          <w:szCs w:val="14"/>
          <w:color w:val="auto"/>
        </w:rPr>
        <w:t>acquire Shares granted under the terms of any Company Stock Option Plan as in effect on the date hereof in the ordinary course consistent with past practice;</w:t>
      </w:r>
    </w:p>
    <w:p>
      <w:pPr>
        <w:spacing w:after="0" w:line="163" w:lineRule="exact"/>
        <w:rPr>
          <w:sz w:val="20"/>
          <w:szCs w:val="20"/>
          <w:color w:val="auto"/>
        </w:rPr>
      </w:pPr>
    </w:p>
    <w:p>
      <w:pPr>
        <w:ind w:left="520" w:right="3779" w:firstLine="350"/>
        <w:spacing w:after="0" w:line="251" w:lineRule="auto"/>
        <w:tabs>
          <w:tab w:leader="none" w:pos="1209"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material Subsidiary of the Company to, (i) split, combine, subdivide or reclassify its outstanding shares of capital stock, or (ii) declare, set aside or pay any dividend or other distribution payable in cash, stock or property with respect to its capital stock other than, subject to Section 7.09, (x) regular quarterly cash dividends payable by the Company or such material Subsidiary consistent with past practice (including periodic dividend increases consistent with past practice), but which for the sake of clarity shall not include any special dividend, (y) any required dividends on the Series B Preferred Stock or (z) dividends paid by any Subsidiary of the Company to the Company or any wholly-owned Subsidiary of the Company;</w:t>
      </w:r>
    </w:p>
    <w:p>
      <w:pPr>
        <w:spacing w:after="0" w:line="162" w:lineRule="exact"/>
        <w:rPr>
          <w:rFonts w:ascii="Courier New" w:cs="Courier New" w:eastAsia="Courier New" w:hAnsi="Courier New"/>
          <w:sz w:val="14"/>
          <w:szCs w:val="14"/>
          <w:color w:val="auto"/>
        </w:rPr>
      </w:pPr>
    </w:p>
    <w:p>
      <w:pPr>
        <w:ind w:left="520" w:right="3779" w:firstLine="350"/>
        <w:spacing w:after="0" w:line="250" w:lineRule="auto"/>
        <w:tabs>
          <w:tab w:leader="none" w:pos="1209"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redeem, purchase or otherwise acquire directly or indirectly any of the Company's capital stock, except for repurchases, redemptions or acquisitions (x) required by the terms of its capital stock or any securities outstanding on the date hereof,</w:t>
      </w:r>
    </w:p>
    <w:p>
      <w:pPr>
        <w:spacing w:after="0" w:line="2" w:lineRule="exact"/>
        <w:rPr>
          <w:rFonts w:ascii="Courier New" w:cs="Courier New" w:eastAsia="Courier New" w:hAnsi="Courier New"/>
          <w:sz w:val="14"/>
          <w:szCs w:val="14"/>
          <w:color w:val="auto"/>
        </w:rPr>
      </w:pPr>
    </w:p>
    <w:p>
      <w:pPr>
        <w:ind w:left="520" w:right="3779" w:firstLine="5"/>
        <w:spacing w:after="0" w:line="251" w:lineRule="auto"/>
        <w:tabs>
          <w:tab w:leader="none" w:pos="86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by or in connection with the respective terms, as of the date hereof, of any Company Stock Option Plan or any dividend reinvestment plan as in effect on the date hereof in the ordinary course of the operations of such plan consistent with past practice and only to the extent consistent with Section 7.04 or (z) effected in the ordinary course consistent with past practice and only to the extent consistent with Section 7.04;</w:t>
      </w:r>
    </w:p>
    <w:p>
      <w:pPr>
        <w:spacing w:after="0" w:line="164"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amend the terms (including the terms relating to accelerating the vesting or lapse of repurchase rights or obligations) of any outstanding options to purchase Shares (which, it is understood, will not limit the administration of the relevant plans in accordance with past practices and interpretations of the Company's Board and the MCOC (as defined in Section 6.06(e)) to the extent consistent with Section 7.04) or amend the terms of or terminate the Leveraged ESOP;</w:t>
      </w:r>
    </w:p>
    <w:p>
      <w:pPr>
        <w:spacing w:after="0" w:line="163" w:lineRule="exact"/>
        <w:rPr>
          <w:rFonts w:ascii="Courier New" w:cs="Courier New" w:eastAsia="Courier New" w:hAnsi="Courier New"/>
          <w:sz w:val="14"/>
          <w:szCs w:val="14"/>
          <w:color w:val="auto"/>
        </w:rPr>
      </w:pPr>
    </w:p>
    <w:p>
      <w:pPr>
        <w:ind w:left="520" w:right="3939" w:firstLine="350"/>
        <w:spacing w:after="0" w:line="255" w:lineRule="auto"/>
        <w:tabs>
          <w:tab w:leader="none" w:pos="1209"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make or commit to make any capital expenditure;</w:t>
      </w:r>
    </w:p>
    <w:p>
      <w:pPr>
        <w:spacing w:after="0" w:line="159"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increase the compensation or benefits of any director, officer or employee, except for normal increases in the ordinary course of business consistent with past practice or as required under applicable law or any existing agreement or commitment;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782" w:right="1440" w:bottom="1440" w:gutter="0" w:footer="0" w:header="0"/>
        </w:sectPr>
      </w:pPr>
    </w:p>
    <w:bookmarkStart w:id="167" w:name="page168"/>
    <w:bookmarkEnd w:id="16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4119" w:firstLine="350"/>
        <w:spacing w:after="0" w:line="252" w:lineRule="auto"/>
        <w:tabs>
          <w:tab w:leader="none" w:pos="12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acquire a material amount of assets (as measured with respect to the consolidated assets of the Company and its Subsidiaries taken as a whole) of any other Person;</w:t>
      </w:r>
    </w:p>
    <w:p>
      <w:pPr>
        <w:spacing w:after="0" w:line="162" w:lineRule="exact"/>
        <w:rPr>
          <w:rFonts w:ascii="Courier New" w:cs="Courier New" w:eastAsia="Courier New" w:hAnsi="Courier New"/>
          <w:sz w:val="14"/>
          <w:szCs w:val="14"/>
          <w:color w:val="auto"/>
        </w:rPr>
      </w:pPr>
    </w:p>
    <w:p>
      <w:pPr>
        <w:ind w:left="520" w:right="3859" w:firstLine="350"/>
        <w:spacing w:after="0" w:line="252" w:lineRule="auto"/>
        <w:tabs>
          <w:tab w:leader="none" w:pos="12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sell, lease, license or otherwise dispose of any material assets or property except pursuant to existing contracts or commitments;</w:t>
      </w:r>
    </w:p>
    <w:p>
      <w:pPr>
        <w:spacing w:after="0" w:line="162"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such change which is not significant or which is required by reason of a concurrent change in GAAP, the Company will not, and will not permit any Subsidiary of the Company to, change any method of accounting or accounting practice (other than any change for tax purposes) used by it;</w:t>
      </w:r>
    </w:p>
    <w:p>
      <w:pPr>
        <w:spacing w:after="0" w:line="164" w:lineRule="exact"/>
        <w:rPr>
          <w:rFonts w:ascii="Courier New" w:cs="Courier New" w:eastAsia="Courier New" w:hAnsi="Courier New"/>
          <w:sz w:val="14"/>
          <w:szCs w:val="14"/>
          <w:color w:val="auto"/>
        </w:rPr>
      </w:pPr>
    </w:p>
    <w:p>
      <w:pPr>
        <w:ind w:left="520" w:right="3779" w:firstLine="350"/>
        <w:spacing w:after="0" w:line="252" w:lineRule="auto"/>
        <w:tabs>
          <w:tab w:leader="none" w:pos="12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enter into any material joint venture, partnership or other similar arrangement;</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take any action that would make any representation or warranty of the Company hereunder inaccurate in any material respect at, or as of any time prior to, the Effective Time; and</w:t>
      </w:r>
    </w:p>
    <w:p>
      <w:pPr>
        <w:spacing w:after="0" w:line="162" w:lineRule="exact"/>
        <w:rPr>
          <w:rFonts w:ascii="Courier New" w:cs="Courier New" w:eastAsia="Courier New" w:hAnsi="Courier New"/>
          <w:sz w:val="14"/>
          <w:szCs w:val="14"/>
          <w:color w:val="auto"/>
        </w:rPr>
      </w:pPr>
    </w:p>
    <w:p>
      <w:pPr>
        <w:jc w:val="both"/>
        <w:ind w:left="520" w:right="4539" w:firstLine="350"/>
        <w:spacing w:after="0" w:line="255" w:lineRule="auto"/>
        <w:tabs>
          <w:tab w:leader="none" w:pos="12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agree or commit to do any of the foregoing.</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5.02. Company Stockholder Meeting; Proxy Material. Unless the Board of Directors of Acquiror shall take any action permitted by the third sentence of Section 6.04, the Company shall cause a meeting of its stockholders (the "Company Stockholder Meeting") to be duly called and held as soon as reasonably practicable, on a date reasonably acceptable to Acquiror, for the purpose of voting on the approval and adoption of this Agreement and the Merger (the "Company Stockholder Approval"). Except as provided in the next sentence, the Board of Directors of the Company shall recommend approval and adoption of this Agreement by the Company's stockholders. The Board of Directors of the Company shall be permitted to (i) not recommend to the Company's shareholders that they give the Company Stockholder Approval or (ii) withdraw or modify in a manner adverse to Acquiror its recommendation to the Company's shareholders that they give the Company Stockholder Approval, only (x) if the Board of Directors of the Company by a majority vote determines in its good faith judgment that it is necessary to so withdraw or modify its recommendation to comply with its fiduciary duty to shareholders under applicable law, after receiving the advice of outside legal counsel, and (y) if the Company and the senior officers and directors of the Company have substantially complied with their obligations set forth in Section 5.03. In connection with the Company Stockholder Meeting, the Company (x) will promptly prepare and file with the SEC, will use its reasonable best efforts to have cleared by the SEC and will thereafter mail to its shareholders as promptly as practicable the Company Proxy Statement and all other proxy materials for the Company Stockholder Meeting, (y) will use its reasonable best efforts, subject to the immediately preceding sentence, to obtain the Company Stockholder Approval and (z) will otherwise comply with all legal requirements applicable to the Company Stockholder Meeting.</w:t>
      </w:r>
    </w:p>
    <w:p>
      <w:pPr>
        <w:spacing w:after="0" w:line="17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5.03. Other Offers. The Company and its Subsidiaries will not, and the Company will use its reasonable best efforts to cause the officers, directors, employees, investment bankers, consultants and other agents of the Company and its Subsidiaries not to, directly or indirectly, take any action to solicit, initiate, encourage or facilitate the making of any Acquisition Proposal (including without limitation by amending, or granting any waiver under, the Company Rights Agreement) or any inquiry with respect thereto or engage in discussions or negotiations with any Person with respect thereto, or disclose any non-public information relating to the Company or any Subsidiary of the Company or afford access to the properties, books or records of the Company or any Subsidiary of the Company to, any Person that has made, or to the Company's knowledge, is considering making, any Acquisition Proposal; provided that nothing contained in this Section 5.03 shall prevent the Company from furnishing non-public information to, or entering into</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782"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discussions or negotiations with, or affording access to the properties, books or records of the Company or its Subsidiaries to, any Person in connection with an unsolicited bona fide Acquisition Proposal received from such Person so long as prior to furnishing non-public information to, or entering into discussions or negotiations with, such Person, (i) the Board of Directors of the Company by a majority vote determines in its good faith judgment that it is necessary to do so to comply with its fiduciary duty to shareholders under applicable law, after receiving the advice of outside legal counsel, and (ii) the Company receives from such Person an executed confidentiality agreement with terms no less favorable to the Company than those contained in the Confidentiality Agreement (as defined in Section 7.03). Nothing contained in this Agreement shall prevent the Board of Directors of the Company from complying with Rule 14e-2 under the Exchange Act with regard to an Acquisition Proposal; provided that the Board of Directors of the Company shall not recommend that the shareholders of the Company tender their shares in connection with a tender offer except to the extent the Board of Directors of the Company by a majority vote determines in its good faith judgment that such a recommendation is required to comply with the fiduciary duties of the Board of Directors of the Company to shareholders under applicable law, after receiving the advice of outside legal counsel. Unless the Board of Directors of the Company by a majority vote determines in its good faith judgment that it is necessary not to do so to comply with its fiduciary duty to shareholders under applicable law, after receiving the advice of outside legal counsel, the Company will (a) promptly (and in no event later than 48 hours after receipt of any Acquisition Proposal) notify (which notice shall be provided orally and in writing and shall identify the Person making such Acquisition Proposal and set forth the material terms thereof) Acquiror after receipt of any Acquisition Proposal, any indication of which the Company has knowledge that any Person is considering making an Acquisition Proposal or any request for non-public information relating to the Company or any Subsidiary of the Company or for access to the properties, books or records of the Company or any Subsidiary of the Company by any Person that has made, or to the Company's knowledge may be considering making, an Acquisition Proposal, and (b) will keep Acquiror informed of the status and material terms of any such Acquisition Proposal or request. The Company and its Subsidiaries will, and the Company will use its reasonable best efforts to cause the officers, directors, employees, investment bankers, consultants and other agents of the Company and its Subsidiaries to, immediately cease and cause to be terminated all discussions and negotiations, if any, that have taken place prior to the date hereof with any parties with respect to any Acquisition Proposal.</w:t>
      </w:r>
    </w:p>
    <w:p>
      <w:pPr>
        <w:spacing w:after="0" w:line="18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For purposes of this Agreement, "Acquisition Proposal" means any offer or proposal for, or any indication of interest in, any (i) direct or indirect acquisition or purchase of a business or assets that constitute 20% or more of the net revenues, net income or the assets of the Company and its Subsidiaries, taken as a whole, (ii) direct or indirect acquisition or purchase of 20% or more of any class of equity securities of the Company or any of its Subsidiaries whose business constitutes 20% or more of the net revenues, net income or assets of the Company and its Subsidiaries, taken as a whole, (iii) tender offer or exchange offer that if consummated would result in any person beneficially owning 20% or more of any class of equity securities of the Company or any of its Subsidiaries whose business constitutes 20% or more the net revenues, net income or assets of the Company and its Subsidiaries, taken as a whole, or (iv) merger, consolidation, business combination, recapitalization, liquidation, dissolution or similar transaction involving the Company or any of its Subsidiaries whose business constitutes 20% or more of the net revenue, net income or assets of the Company and its Subsidiaries, taken as a whole, other than the transactions contemplated by this Agreement. For purposes of this Agreement, "Superior Proposal" means any bona fide Acquisition Proposal for or in respect of at least a majority of the outstanding Shares on terms that the Board of Directors of the Company determines in its good faith judgment (after consultation with a financial advisor of nationally recognized reputation, taking into account all the terms and conditions of the Acquisition Proposal, including any break-up fees, expense reimbursement provisions and conditions to consummation) are more favorable to all of the Company's stockholders than the Merger.</w:t>
      </w:r>
    </w:p>
    <w:p>
      <w:pPr>
        <w:spacing w:after="0" w:line="34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10239"/>
          </w:cols>
          <w:pgMar w:left="220" w:top="782" w:right="1440" w:bottom="1440" w:gutter="0" w:footer="0" w:header="0"/>
        </w:sectPr>
      </w:pPr>
    </w:p>
    <w:bookmarkStart w:id="169" w:name="page170"/>
    <w:bookmarkEnd w:id="16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200" w:lineRule="exact"/>
        <w:rPr>
          <w:sz w:val="20"/>
          <w:szCs w:val="20"/>
          <w:color w:val="auto"/>
        </w:rPr>
      </w:pPr>
    </w:p>
    <w:p>
      <w:pPr>
        <w:spacing w:after="0" w:line="30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COVENANTS OF ACQUIROR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Acquiror agrees that: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6.01. Conduct of Acquiror. From the date hereof until the Effective Time, Acquiror and its Subsidiaries shall conduct their business in the ordinary course consistent with past practice and shall use their reasonable best efforts to preserve intact their business organizations and relationships with third parties. Without limiting the generality of the foregoing, and except with the prior written consent of the Company or as contemplated by this Agreement, from the date hereof until the Effective Time:</w:t>
      </w:r>
    </w:p>
    <w:p>
      <w:pPr>
        <w:spacing w:after="0" w:line="164" w:lineRule="exact"/>
        <w:rPr>
          <w:sz w:val="20"/>
          <w:szCs w:val="20"/>
          <w:color w:val="auto"/>
        </w:rPr>
      </w:pPr>
    </w:p>
    <w:p>
      <w:pPr>
        <w:ind w:left="520" w:right="4019" w:firstLine="350"/>
        <w:spacing w:after="0" w:line="252" w:lineRule="auto"/>
        <w:tabs>
          <w:tab w:leader="none" w:pos="1295"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adopt or propose any change in its certificate of incorporation or by-laws, except as contemplated in Section 4.02(a) or 2.02(a);</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95"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adopt a plan or agreement of complete or partial liquidation, dissolution, merger, consolidation, restructuring, recapitalization or other material reorganization of Acquiror;</w:t>
      </w:r>
    </w:p>
    <w:p>
      <w:pPr>
        <w:spacing w:after="0" w:line="162" w:lineRule="exact"/>
        <w:rPr>
          <w:rFonts w:ascii="Courier New" w:cs="Courier New" w:eastAsia="Courier New" w:hAnsi="Courier New"/>
          <w:sz w:val="14"/>
          <w:szCs w:val="14"/>
          <w:color w:val="auto"/>
        </w:rPr>
      </w:pPr>
    </w:p>
    <w:p>
      <w:pPr>
        <w:ind w:left="520" w:right="3779" w:firstLine="350"/>
        <w:spacing w:after="0" w:line="250" w:lineRule="auto"/>
        <w:tabs>
          <w:tab w:leader="none" w:pos="1295"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issue, sell, transfer, pledge, dispose of or encumber any shares of, or securities convertible into or exchangeable for, or options, warrants, calls, commitments or rights of any kind to acquire, any shares of capital stock of any class or series of Acquiror, other than (i) issuances pursuant to the exercise of convertible securities outstanding on the date hereof or issuances pursuant to stock-based awards or options outstanding on the date hereof or that are granted in accordance with clause (ii) below and</w:t>
      </w:r>
    </w:p>
    <w:p>
      <w:pPr>
        <w:spacing w:after="0" w:line="3" w:lineRule="exact"/>
        <w:rPr>
          <w:rFonts w:ascii="Courier New" w:cs="Courier New" w:eastAsia="Courier New" w:hAnsi="Courier New"/>
          <w:sz w:val="14"/>
          <w:szCs w:val="14"/>
          <w:color w:val="auto"/>
        </w:rPr>
      </w:pPr>
    </w:p>
    <w:p>
      <w:pPr>
        <w:ind w:left="520" w:right="3939" w:firstLine="5"/>
        <w:spacing w:after="0" w:line="251" w:lineRule="auto"/>
        <w:tabs>
          <w:tab w:leader="none" w:pos="95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options or stock-based awards to acquire Acquiror Common Stock granted under the terms of any employee or director stock option or compensation plan or arrangement of Acquiror as in effect as of the date hereof in the ordinary course consistent with past practice;</w:t>
      </w:r>
    </w:p>
    <w:p>
      <w:pPr>
        <w:spacing w:after="0" w:line="164"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(i) split, combine, subdivide or reclassify its outstanding shares of capital stock or (ii) declare, set aside or pay any dividend or other distribution payable in cash, stock or property with respect to its capital stock other than, subject to Section 7.09, (x) regular quarterly cash dividends payable by Acquiror on Acquiror Common Stock consistent with past practice (including periodic dividend increases consistent with past practice), but which for the sake of clarity shall not include any special dividend or (y) any required dividends on preferred stock outstanding on the date hereof;</w:t>
      </w:r>
    </w:p>
    <w:p>
      <w:pPr>
        <w:spacing w:after="0" w:line="163"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and will not permit any Subsidiary of Acquiror to, redeem, purchase or otherwise acquire directly or indirectly any of Acquiror's capital stock, except for repurchases, redemptions or acquisitions (x) required by the terms of capital stock or any securities outstanding on the date hereof, (y) required by or in connection with the respective terms, as of the date hereof, of any employee stock option plan or compensation plan or arrangement of Acquiror or any dividend reinvestment plan as in effect as of the date hereof in the ordinary course of operations of such plan consistent with past practice and only to the extent consistent with Section 7.04 or (z) effected in the ordinary course consistent with past practice and only to the extent consistent with Section 7.04;</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and will not permit any of its</w:t>
      </w:r>
    </w:p>
    <w:p>
      <w:pPr>
        <w:spacing w:after="0" w:line="7" w:lineRule="exact"/>
        <w:rPr>
          <w:rFonts w:ascii="Courier New" w:cs="Courier New" w:eastAsia="Courier New" w:hAnsi="Courier New"/>
          <w:sz w:val="14"/>
          <w:szCs w:val="14"/>
          <w:color w:val="auto"/>
        </w:rPr>
      </w:pPr>
    </w:p>
    <w:p>
      <w:pPr>
        <w:ind w:left="520"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to, take any action that would make any representation or warranty of Acquiror hereunder inaccurate in any material respect at, or as of any time prior to, the Effective Time; and</w:t>
      </w:r>
    </w:p>
    <w:p>
      <w:pPr>
        <w:spacing w:after="0" w:line="162" w:lineRule="exact"/>
        <w:rPr>
          <w:rFonts w:ascii="Courier New" w:cs="Courier New" w:eastAsia="Courier New" w:hAnsi="Courier New"/>
          <w:sz w:val="14"/>
          <w:szCs w:val="14"/>
          <w:color w:val="auto"/>
        </w:rPr>
      </w:pPr>
    </w:p>
    <w:p>
      <w:pPr>
        <w:ind w:left="520" w:right="4539" w:firstLine="350"/>
        <w:spacing w:after="0" w:line="255" w:lineRule="auto"/>
        <w:tabs>
          <w:tab w:leader="none" w:pos="1295"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and will not permit any of its Subsidiaries to, agree or commit to do any of the foregoing.</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10239"/>
          </w:cols>
          <w:pgMar w:left="220" w:top="782"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SECTION 6.02. Obligations of Merger Subsidiary. Acquiror will take all action necessary to cause Merger Subsidiary to perform its obligations under this Agreement and to consummate the Merger on the terms and conditions set forth in this Agreement.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6.03. Director and Officer Liability. (a) For seven years after the Effective Time, Acquiror shall indemnify and hold harmless the individuals who on or prior to the Effective Time were officers, directors and employees of the Company or its Subsidiaries (collectively, the "Indemnitees") with respect to all acts or omissions by them in their capacities as such or taken at the request of the Company or any of its Subsidiaries at any time prior to the Effective Time to the extent provided under the Company's certificate of incorporation and by-laws in effect on the date hereof. Acquiror shall cause the Surviving Corporation to honor all indemnification agreements with Indemnitees (including under the Company's by-laws) in effect as of the date hereof in accordance with the terms thereof. To the best knowledge of the Company, the Company has disclosed to Acquiror all such indemnification agreements prior to the date hereof.</w:t>
      </w:r>
    </w:p>
    <w:p>
      <w:pPr>
        <w:spacing w:after="0" w:line="329" w:lineRule="exact"/>
        <w:rPr>
          <w:sz w:val="20"/>
          <w:szCs w:val="20"/>
          <w:color w:val="auto"/>
        </w:rPr>
      </w:pPr>
    </w:p>
    <w:p>
      <w:pPr>
        <w:ind w:right="3419" w:firstLine="439"/>
        <w:spacing w:after="0" w:line="250"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seven years after the Effective Time, Acquiror shall procure the provision of officers' and directors' liability insurance in respect of acts or omissions occurring prior to the Effective Time covering each such Person currently covered by the Company's officers' and directors' liability insurance policy on terms with respect to coverage and in amounts no less favorable than those of such policy in effect on the date hereof (it being understood that Acquiror may discharge its obligations pursuant to this paragraph by providing an insurance policy underwritten by Ancon Insurance Company, Inc., a wholly-owned Subsidiary of Acquiror); provided, that if the aggregate annual premiums for such insurance at any time during such period shall exceed 300% of the per annum rate of premium paid by the Company and its Subsidiaries as</w:t>
      </w:r>
    </w:p>
    <w:p>
      <w:pPr>
        <w:spacing w:after="0" w:line="4" w:lineRule="exact"/>
        <w:rPr>
          <w:rFonts w:ascii="Courier New" w:cs="Courier New" w:eastAsia="Courier New" w:hAnsi="Courier New"/>
          <w:sz w:val="14"/>
          <w:szCs w:val="14"/>
          <w:color w:val="auto"/>
        </w:rPr>
      </w:pPr>
    </w:p>
    <w:p>
      <w:pPr>
        <w:jc w:val="both"/>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date hereof for such insurance, then Acquiror shall, or shall cause its Subsidiaries to, provide only such coverage as shall then be available at an annual premium equal to 300% of such rate.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Acquiror under this Section 6.03 shall not be terminated or modified in such a manner as to adversely affect any Indemnitee to whom this Section 6.03 applies without the consent of such affected Indemnitee (it being expressly agreed that the Indemnitees to whom this Section 6.03 applies shall be third party beneficiaries of this Section 6.03).</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6.04. Acquiror Stockholder Meeting; Form S-4. Unless the Board of Directors of the Company shall take any action permitted by the third sentence of Section 5.02, Acquiror shall cause a meeting of its stockholders (the "Acquiror Stockholder Meeting") to be duly called and held as soon as reasonably practicable, on a date reasonably acceptable to the Company, for the purpose of approving the matters constituting the Acquiror Stockholder Approval. Except as provided in the next sentence, the Board of Directors of Acquiror shall recommend approval of the matters constituting the Acquiror Stockholder Approval. The Board of Directors of Acquiror shall be permitted to (i) not recommend to Acquiror's shareholders that they give the Acquiror Stockholder Approval or (ii) withdraw or modify in a manner adverse to the Company its recommendation to the Acquiror's shareholders that they give the Acquiror Stockholder Approval, only if the Board of Directors of Acquiror by a majority vote determines in its good faith judgment that it is necessary to so withdraw or modify its recommendation to comply with its fiduciary duty to shareholders under applicable law, after receiving the advice of outside legal counsel. In connection with the Acquiror Stockholder Meeting, Acquiror (x) will promptly prepare and file with the SEC, will use its reasonable best efforts to have cleared by the SEC, and will thereafter mail to its stockholders as promptly as practicable, the Acquiror Proxy Statement and all other proxy materials for such meeting, (y) will use its reasonable best efforts, subject to the immediately preceding sentence, to obtain the Acquiror Stockholder Approval, and (z) will otherwise comply with all legal requirements applicable to the Acquiror Stockholder Meeting. Subject to the terms and conditions of this Agreement and unless the Board of Directors of the Company shall take any action permitted by the third sentence of Section 5.02, Acquiror shall prepare and file with the SEC under the 1933 Act the Form S-4, and shall use its reasonable best efforts to cause the Form S-4 to be declared effective by the SEC as promptly as practicable. Acquiror shall promptly take any action required to be taken under foreign or state securities or Blue Sky laws in connection with the issuance of Acquiror Common Stock in connection with the Merger. The parties acknowledge and agree that</w:t>
      </w:r>
    </w:p>
    <w:p>
      <w:pPr>
        <w:spacing w:after="0" w:line="34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10239"/>
          </w:cols>
          <w:pgMar w:left="220" w:top="782" w:right="1440" w:bottom="1440" w:gutter="0" w:footer="0" w:header="0"/>
        </w:sectPr>
      </w:pPr>
    </w:p>
    <w:bookmarkStart w:id="171" w:name="page172"/>
    <w:bookmarkEnd w:id="17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Acquiror may include in such proxy statement to be mailed to its stockholders a proposal to amend Acquiror's certificate of incorporation to eliminate the Class B Preferred Stock.</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6.05. Stock Exchange Listing. Acquiror shall use its reasonable best efforts to cause the shares of Acquiror Common Stock to be issued in connection with the Merger to be listed on the NYSE, subject to official notice of issuance.</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6.06. Employee Benefits. (a) From and after the Effective Time, Acquiror shall cause the Surviving Corporation to honor in accordance with their terms all benefits and obligations under the Executive Arrangements (as defined in Section 6.06(f)) and, subject to Section 6.06(b), the other Company Employee Plans, each as in effect on the date hereof (or as amended with the prior written consent of Acquiror), to the extent that entitlements or rights, actual or contingent (whether such entitlements or rights are vested as of the Effective Time or become vested or payable only upon the occurrence of a further event, including a discretionary determination) exist in respect thereof as of the Effective Time. Acquiror and the Company hereby agree that the consummation of the Merger shall constitute a "Change in Control" for purpose of any employee arrangement and all other Company Employee Plans, pursuant to the terms of such plans in effect on the date hereof. No provision of this Section 6.06(a) shall be construed as a limitation on the right of Acquiror to amend or terminate any Company Employee Plans which the Company would otherwise have under the terms of such Company Employee Plan, and no provision of this Section 6.06(a) shall be construed to create a right in any employee or beneficiary of such employee under a Company Employee Plan that such employee or beneficiary would not otherwise have under the terms of such Company Employee Plan.</w:t>
      </w:r>
    </w:p>
    <w:p>
      <w:pPr>
        <w:spacing w:after="0" w:line="174" w:lineRule="exact"/>
        <w:rPr>
          <w:sz w:val="20"/>
          <w:szCs w:val="20"/>
          <w:color w:val="auto"/>
        </w:rPr>
      </w:pPr>
    </w:p>
    <w:p>
      <w:pPr>
        <w:ind w:right="3339" w:firstLine="439"/>
        <w:spacing w:after="0" w:line="250"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Acquiror shall continue to provide to individuals who are employed by the Company and its Subsidiaries as of the Effective Time who remain employed with Acquiror or any Subsidiary of Acquiror ("Affected Employees"), for so long as such Affected Employees remain employed by Acquiror or any Subsidiary of Acquiror, employee benefits (other than salary or incentive compensation) (i) pursuant to the Company's or its Subsidiaries' employee benefit plans, programs, policies and arrangements as provided to such employees immediately prior to the Effective Time or (ii) pursuant to employee benefit plans, programs, policies or arrangements maintained by Acquiror or any Subsidiary of Acquiror providing coverage and benefits which, in the aggregate, are no less favorable than those provided to employees of Acquiror in positions comparable to positions held by Affected Employees with Acquiror or its Subsidiaries from time to time after the Effective Time. Following the Effective Time, Acquiror shall continue to provide to former employees of the Company or its Subsidiaries (and to employees of the Company or its Subsidiaries whose employment terminates prior to the Effective Time) ("Affected Retirees") post retirement benefits (other than pensions) (i) pursuant to the Company Employee Plans applicable to such Affected Retirees, each as in effect on the date hereof, or (ii) pursuant to employee benefit plans, programs, policies or arrangements maintained by Acquiror or any Subsidiary of Acquiror providing post retirement coverage and benefits (other than pensions) which, in the aggregate, are no less favorable than those provided to former employees of Acquiror.</w:t>
      </w:r>
    </w:p>
    <w:p>
      <w:pPr>
        <w:spacing w:after="0" w:line="175"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or will cause the Surviving Corporation to, give Affected Employees full credit for purposes of eligibility, vesting, benefit accrual (including benefit accrual under any defined benefit pension plans, provided that a participant's benefit under any such defined benefit pension plan may be offset by such participant's accrued benefit under the Company defined benefit pension plan) and determination of the level of benefits under any employee benefit plans or arrangements maintained by Acquiror or any Subsidiary of Acquiror for such Affected Employees' service with the Company or any Subsidiary of the Company to the same extent recognized by the Company immediately prior to the Effective Time.</w:t>
      </w:r>
    </w:p>
    <w:p>
      <w:pPr>
        <w:spacing w:after="0" w:line="163"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or will cause the Surviving Corporation to, (i) waive all limitations as to preexisting conditions, exclusions and waiting periods with respect to participation and coverage requirements applicable to the Affected Employees under any welfare benefit plans that such employees may be eligible to participate in after the Effective Time, other than limitations or waiting periods that are already in effect with respect to such employees and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782"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that have not been satisfied as of the Effective Time under any welfare plan maintained for the Affected Employees immediately prior to the Effective Time, and (ii) provide each Affected Employee with credit for any co-payments and deductibles paid prior to the Effective Time in satisfying any applicable deductible or out-of-pocket requirements under any welfare plans that such employees are eligible to participate in after the Effective Time.</w:t>
      </w:r>
    </w:p>
    <w:p>
      <w:pPr>
        <w:spacing w:after="0" w:line="164" w:lineRule="exact"/>
        <w:rPr>
          <w:sz w:val="20"/>
          <w:szCs w:val="20"/>
          <w:color w:val="auto"/>
        </w:rPr>
      </w:pPr>
    </w:p>
    <w:p>
      <w:pPr>
        <w:ind w:right="3339" w:firstLine="439"/>
        <w:spacing w:after="0" w:line="251" w:lineRule="auto"/>
        <w:tabs>
          <w:tab w:leader="none" w:pos="77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(i) acknowledges that the Company's Board and the Management Compensation and Organization Committee (the "MCOC") of the Company's Board has determined that all officers and employees covered by the Company Management Retention Plan have performed at a level satisfactory to the Company over the period that the conditional retention awards granted thereunder have been outstanding and, accordingly, that all such individuals would be entitled to full payment under the Company Management Retention Plan were they to retire or otherwise terminate their employment with the Company or any of its Subsidiaries and (ii) agrees to give considerable weight to such determination in administering the Company Management Retention Plan after the Effective Time, given the significant length of time that has elapsed since the award grants.</w:t>
      </w:r>
    </w:p>
    <w:p>
      <w:pPr>
        <w:spacing w:after="0" w:line="163"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agrees that the 1986, 1991 and 1995 Company Incentive Compensation and Stock Ownership Plans, the Company Management Retention Plan, the Supplemental Pension Annuity Program of Mobil Corporation, the Executive Life Insurance Program of Mobil Corporation and the Company Employee Severance Plan (collectively, the "Executive Arrangements"), as well as any award made under any Executive Arrangement (including Company Stock Options and Company Awards), shall be administered in accordance with the past practices and interpretations of the Company's Board and the MCOC (including those past practices and interpretations previously disclosed by the Company to Acquiror) with respect to eligibility, vesting, term and payment, among other matters. Any question regarding the past practices and interpretations of the Company's Board and the MCOC and the application thereof to the type of facts and circumstances in a given case shall be referred to Mr. Lucio A. Noto or his designee for a final decision with respect thereto, which decision shall not be inconsistent with the intention of this Agreement and the Merger.</w:t>
      </w:r>
    </w:p>
    <w:p>
      <w:pPr>
        <w:spacing w:after="0" w:line="200" w:lineRule="exact"/>
        <w:rPr>
          <w:sz w:val="20"/>
          <w:szCs w:val="20"/>
          <w:color w:val="auto"/>
        </w:rPr>
      </w:pPr>
    </w:p>
    <w:p>
      <w:pPr>
        <w:spacing w:after="0" w:line="29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7</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COVENANTS OF ACQUIROR AND THE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parties hereto agree that: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7.01. Best Efforts. (a) The Company and Acquiror shall each cooperate with the other and use (and shall use best efforts to cause their respective Subsidiaries to use) their respective best efforts to promptly (i) take or cause to be taken all actions, and do or cause to be done all things, necessary, proper or advisable under this Agreement and applicable laws to consummate and make effective the Merger and the other transactions contemplated by this Agreement as soon as practicable, including, without limitation, preparing and filing as promptly as practicable all documentation to effect all necessary filings, notices, petitions, statements, registrations, submissions of information, applications and other documents and (ii) obtain all approvals, consents, registrations, permits, authorizations and other confirmations required to be obtained from any third party necessary, proper or advisable to consummate the Merger and the other transactions contemplated by this Agreement. Subject to applicable laws relating to the exchange of information, the Company and Acquiror shall have the right to review in advance, and to the extent practicable each will consult the other on, all the information relating to the Company and its Subsidiaries or Acquiror and its Subsidiaries, as the case may be, that appears in any filing made with, or written materials submitted to, any third party and/or any governmental authority in connection with the Merger and the other transactions contemplated by this Agreement.</w:t>
      </w:r>
    </w:p>
    <w:p>
      <w:pPr>
        <w:spacing w:after="0" w:line="174" w:lineRule="exact"/>
        <w:rPr>
          <w:sz w:val="20"/>
          <w:szCs w:val="20"/>
          <w:color w:val="auto"/>
        </w:rPr>
      </w:pPr>
    </w:p>
    <w:p>
      <w:pPr>
        <w:ind w:right="3419" w:firstLine="439"/>
        <w:spacing w:after="0" w:line="253" w:lineRule="auto"/>
        <w:tabs>
          <w:tab w:leader="none" w:pos="77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contained herein, the provisions of this Section 7.01 shall not be construed to require either party to undertake any efforts or to take any action if the result thereof would give Acquiror the right</w:t>
      </w:r>
    </w:p>
    <w:p>
      <w:pPr>
        <w:spacing w:after="0" w:line="3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10239"/>
          </w:cols>
          <w:pgMar w:left="220" w:top="782" w:right="1440" w:bottom="1440" w:gutter="0" w:footer="0" w:header="0"/>
        </w:sectPr>
      </w:pPr>
    </w:p>
    <w:bookmarkStart w:id="173" w:name="page174"/>
    <w:bookmarkEnd w:id="17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to decline to consummate the transactions contemplated by this Agreement pursuant to Section 8.02 by reason of giving rise to a Substantial Detriment.</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7.02. Certain Filings. The Company and Acquiror shall cooperate with one another (a) in connection with the preparation of the Company Proxy Statement, the Acquiror Proxy Statement and the Form S-4,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Company Proxy Statement, the Acquiror Proxy Statement or the Form S-4 and seeking timely to obtain any such actions, consents, approvals or waivers.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7.03. Access to Information. From the date hereof until the Effective Time, to the extent permitted by applicable law, the Company and Acquiror will give the other party, its counsel, financial advisors, auditors and other authorized representatives reasonable access to the offices, properties, books and records of such party and its Subsidiaries, furnish to the other party, its counsel, financial advisors, auditors and other authorized representatives such financial and operating data and other information as such Persons may reasonably request and will instruct its own employees, counsel and financial advisors to cooperate with the other party in its investigation of the business of the Company or Acquiror, as the case may be; provided that no investigation of the other party's business shall affect any representation</w:t>
      </w:r>
    </w:p>
    <w:p>
      <w:pPr>
        <w:spacing w:after="0" w:line="5"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or warranty given by either party hereunder. All information obtained by Acquiror or the Company pursuant to this Section shall be kept confidential in accordance with, and shall otherwise be subject to the terms of, the Confidentiality Agreement dated November 12, 1998 between Acquiror and the Company (the "Confidentiality Agreement").</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7.04. Tax and Accounting Treatment. (a) Each of Acquiror and the Company shall not take any action and shall not fail to take any action which action or failure to act would prevent, or would be reasonably likely to prevent, the Merger from qualifying (a) for "pooling of interests" accounting treatment as described in Section 3.19(a) or (b) as a 368 Reorganization.</w:t>
      </w:r>
    </w:p>
    <w:p>
      <w:pPr>
        <w:spacing w:after="0" w:line="165" w:lineRule="exact"/>
        <w:rPr>
          <w:sz w:val="20"/>
          <w:szCs w:val="20"/>
          <w:color w:val="auto"/>
        </w:rPr>
      </w:pPr>
    </w:p>
    <w:p>
      <w:pPr>
        <w:ind w:left="780" w:hanging="341"/>
        <w:spacing w:after="0"/>
        <w:tabs>
          <w:tab w:leader="none" w:pos="78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use its reasonable best efforts to provide to Davis Polk</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17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Wardwell and Skadden, Arps, Slate, Meagher &amp; Flom LLP a certificate substantially in the form attached hereto as Exhibit C-1. The Company shall use its reasonable best efforts to provide to Davis Polk &amp; Wardwell and Skadden, Arps, Slate, Meagher &amp; Flom LLP a certificate substantially in the form attached hereto as Exhibit C-2.</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7.05. Public Announcements. Acquiror and the Company will consult with each other before issuing any press release or making any public statement with respect to this Agreement and the transactions contemplated hereby and shall not issue any such press release or make any such public statement without the prior consent of the other party, which consent shall not be unreasonably withheld. Notwithstanding the foregoing, any such press release or public statement as may be required by applicable law or any listing agreement with any national securities exchange may be issued prior to such consultation, if the party making such release or statement has used its reasonable efforts to consult with the other party.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7.06.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782"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SECTION 7.07. Notices of Certain Events. (a) Each of the Company and Acquiror shall promptly notify the other party of:</w:t>
      </w:r>
    </w:p>
    <w:p>
      <w:pPr>
        <w:spacing w:after="0" w:line="160" w:lineRule="exact"/>
        <w:rPr>
          <w:sz w:val="20"/>
          <w:szCs w:val="20"/>
          <w:color w:val="auto"/>
        </w:rPr>
      </w:pPr>
    </w:p>
    <w:p>
      <w:pPr>
        <w:ind w:left="520" w:right="3939" w:firstLine="350"/>
        <w:spacing w:after="0" w:line="252" w:lineRule="auto"/>
        <w:tabs>
          <w:tab w:leader="none" w:pos="120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 and</w:t>
      </w:r>
    </w:p>
    <w:p>
      <w:pPr>
        <w:spacing w:after="0" w:line="162" w:lineRule="exact"/>
        <w:rPr>
          <w:rFonts w:ascii="Courier New" w:cs="Courier New" w:eastAsia="Courier New" w:hAnsi="Courier New"/>
          <w:sz w:val="14"/>
          <w:szCs w:val="14"/>
          <w:color w:val="auto"/>
        </w:rPr>
      </w:pPr>
    </w:p>
    <w:p>
      <w:pPr>
        <w:jc w:val="both"/>
        <w:ind w:left="520" w:right="4019" w:firstLine="264"/>
        <w:spacing w:after="0" w:line="252" w:lineRule="auto"/>
        <w:tabs>
          <w:tab w:leader="none" w:pos="120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Acquiror shall promptly notify the other party of any actions, suits, claims, investigations or proceedings commenced or, to the best of its knowledge threatened against, relating to or involving or otherwise affecting such party or any of its Subsidiaries which relate to the consummation of the transactions contemplated by this Agreement.</w:t>
      </w:r>
    </w:p>
    <w:p>
      <w:pPr>
        <w:spacing w:after="0" w:line="165"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SECTION 7.08. Affiliates. (a) The Company shall use its reasonable best efforts to deliver to Acquiror, within 15 days of the date hereof, a letter agreement substantially in the form of Exhibit B-1 hereto executed by each Person listed on Schedule 7.08(a).</w:t>
      </w:r>
    </w:p>
    <w:p>
      <w:pPr>
        <w:spacing w:after="0" w:line="162" w:lineRule="exact"/>
        <w:rPr>
          <w:sz w:val="20"/>
          <w:szCs w:val="20"/>
          <w:color w:val="auto"/>
        </w:rPr>
      </w:pPr>
    </w:p>
    <w:p>
      <w:pPr>
        <w:ind w:right="3339" w:firstLine="439"/>
        <w:spacing w:after="0" w:line="252" w:lineRule="auto"/>
        <w:tabs>
          <w:tab w:leader="none" w:pos="77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use its reasonable best efforts to obtain, within 15 days of the date hereof, a letter agreement substantially in the form of Exhibit B-2 hereto executed by each Person listed on Schedule 7.08(b).</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the Company shall cause to be delivered to Acquiror a letter identifying, to the best of the Company's knowledge, all Persons who are, at the time of the Company Stockholder Meeting, "affiliates" of the Company for purposes of Rule 145 under the 1933 Act. The Company shall furnish such information and documents as Acquiror may reasonably request for the purpose of reviewing such list. The Company shall use its reasonable best efforts to cause each Person who is so identified as an affiliate to deliver to Acquiror on or prior to the Effective Time a letter agreement substantially in the form of Exhibit B-3 to this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7.09. Payment of Dividends. From the date hereof until the Effective Time, Acquiror and the Company will coordinate with each other regarding the declaration of dividends in respect of the shares of Acquiror Common Stock and the Shares and the record dates and payment dates relating thereto, it being the intention of the parties that holders of Shares will not receive two dividends, or fail to receive one dividend, for any single calendar quarter with respect to their Shares and the shares of Acquiror Common Stock any holder of Shares receives in exchange therefor in connection with the Merger.</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8</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8.01. Conditions to the Obligations of Each Party. The obligations of the Company, Acquiror and Merger Subsidiary to consummate the Merger are subject to the satisfaction (or, to the extent legally permissible, waiver) of the following conditions:</w:t>
      </w:r>
    </w:p>
    <w:p>
      <w:pPr>
        <w:spacing w:after="0" w:line="162" w:lineRule="exact"/>
        <w:rPr>
          <w:sz w:val="20"/>
          <w:szCs w:val="20"/>
          <w:color w:val="auto"/>
        </w:rPr>
      </w:pPr>
    </w:p>
    <w:p>
      <w:pPr>
        <w:ind w:left="520" w:right="3779" w:firstLine="350"/>
        <w:spacing w:after="0" w:line="255" w:lineRule="auto"/>
        <w:tabs>
          <w:tab w:leader="none" w:pos="12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have been adopted by the stockholders of the Company in accordance with Delaware Law;</w:t>
      </w:r>
    </w:p>
    <w:p>
      <w:pPr>
        <w:spacing w:after="0" w:line="159" w:lineRule="exact"/>
        <w:rPr>
          <w:rFonts w:ascii="Courier New" w:cs="Courier New" w:eastAsia="Courier New" w:hAnsi="Courier New"/>
          <w:sz w:val="14"/>
          <w:szCs w:val="14"/>
          <w:color w:val="auto"/>
        </w:rPr>
      </w:pPr>
    </w:p>
    <w:p>
      <w:pPr>
        <w:ind w:left="520" w:right="3939" w:firstLine="350"/>
        <w:spacing w:after="0" w:line="255" w:lineRule="auto"/>
        <w:tabs>
          <w:tab w:leader="none" w:pos="12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applicable waiting period under the HSR Act relating to the Merger shall have expired;</w:t>
      </w:r>
    </w:p>
    <w:p>
      <w:pPr>
        <w:spacing w:after="0" w:line="159" w:lineRule="exact"/>
        <w:rPr>
          <w:rFonts w:ascii="Courier New" w:cs="Courier New" w:eastAsia="Courier New" w:hAnsi="Courier New"/>
          <w:sz w:val="14"/>
          <w:szCs w:val="14"/>
          <w:color w:val="auto"/>
        </w:rPr>
      </w:pPr>
    </w:p>
    <w:p>
      <w:pPr>
        <w:jc w:val="both"/>
        <w:ind w:left="520" w:right="3939" w:firstLine="350"/>
        <w:spacing w:after="0" w:line="252" w:lineRule="auto"/>
        <w:tabs>
          <w:tab w:leader="none" w:pos="12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European Commission of the transactions contemplated by this Agreement shall have been obtained pursuant to the EC Merger Regulation;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782" w:right="1440" w:bottom="1440" w:gutter="0" w:footer="0" w:header="0"/>
        </w:sectPr>
      </w:pPr>
    </w:p>
    <w:bookmarkStart w:id="175" w:name="page176"/>
    <w:bookmarkEnd w:id="17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4019" w:firstLine="350"/>
        <w:spacing w:after="0" w:line="252" w:lineRule="auto"/>
        <w:tabs>
          <w:tab w:leader="none" w:pos="120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any applicable law or regulation and no judgment, injunction, order or decree shall prohibit or enjoin the consummation of the Merger;</w:t>
      </w:r>
    </w:p>
    <w:p>
      <w:pPr>
        <w:spacing w:after="0" w:line="162" w:lineRule="exact"/>
        <w:rPr>
          <w:rFonts w:ascii="Courier New" w:cs="Courier New" w:eastAsia="Courier New" w:hAnsi="Courier New"/>
          <w:sz w:val="14"/>
          <w:szCs w:val="14"/>
          <w:color w:val="auto"/>
        </w:rPr>
      </w:pPr>
    </w:p>
    <w:p>
      <w:pPr>
        <w:ind w:left="520" w:right="4019" w:firstLine="350"/>
        <w:spacing w:after="0" w:line="255" w:lineRule="auto"/>
        <w:tabs>
          <w:tab w:leader="none" w:pos="120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have received all required approvals and third party consents listed on Schedule 8.01(e);</w:t>
      </w:r>
    </w:p>
    <w:p>
      <w:pPr>
        <w:spacing w:after="0" w:line="159" w:lineRule="exact"/>
        <w:rPr>
          <w:rFonts w:ascii="Courier New" w:cs="Courier New" w:eastAsia="Courier New" w:hAnsi="Courier New"/>
          <w:sz w:val="14"/>
          <w:szCs w:val="14"/>
          <w:color w:val="auto"/>
        </w:rPr>
      </w:pPr>
    </w:p>
    <w:p>
      <w:pPr>
        <w:ind w:left="520" w:right="4019" w:firstLine="350"/>
        <w:spacing w:after="0" w:line="252" w:lineRule="auto"/>
        <w:tabs>
          <w:tab w:leader="none" w:pos="120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matters constituting the Acquiror Stockholder Approval shall have been approved by the stockholders of Acquiror in accordance with applicable law or regulation;</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0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S-4 shall have been declared effective under the 1933 Act and no stop order suspending the effectiveness of the Form S-4 shall be in effect and no proceedings for such purpose shall be pending before or threatened by the SEC;</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0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Acquiror Common Stock to be issued in the Merger shall have been approved for listing on the NYSE, subject to official notice of issuance; and</w:t>
      </w:r>
    </w:p>
    <w:p>
      <w:pPr>
        <w:spacing w:after="0" w:line="162" w:lineRule="exact"/>
        <w:rPr>
          <w:rFonts w:ascii="Courier New" w:cs="Courier New" w:eastAsia="Courier New" w:hAnsi="Courier New"/>
          <w:sz w:val="14"/>
          <w:szCs w:val="14"/>
          <w:color w:val="auto"/>
        </w:rPr>
      </w:pPr>
    </w:p>
    <w:p>
      <w:pPr>
        <w:ind w:left="520" w:right="3779" w:firstLine="350"/>
        <w:spacing w:after="0" w:line="250" w:lineRule="auto"/>
        <w:tabs>
          <w:tab w:leader="none" w:pos="129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Acquiror shall have received a letter from PricewaterhouseCoopers LLP dated as of the Closing Date and addressed to Acquiror (a copy of which shall have been furnished to the Company), stating that based on the information furnished to PricewaterhouseCoopers LLP in the related certificate of Acquiror's management and based on the letter from Ernst &amp; Young LLP referenced in clause (ii) below, PricewaterhouseCoopers LLP concurs with Acquiror management's conclusion that, as of the Closing Date, no conditions exist that would preclude Acquiror's accounting for the Merger as a pooling of interests and such letter shall not have been withdrawn or modified in any material respect and (ii) the Company shall have received a letter from Ernst &amp; Young LLP dated as of the Closing Date and addressed to the Company (a copy of which shall have been furnished to Acquiror), in which Ernst &amp; Young LLP concurs with the Company management's conclusion that no conditions exist relating to the Company that would preclude the Acquiror from accounting for the Merger as a pooling of interests, and such letter shall not have been withdrawn or modified in any material respect.</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8.02. Conditions to the Obligations of Acquiror and Merger Subsidiary. The obligations of Acquiror and Merger Subsidiary to consummate the Merger are subject to the satisfaction (or, to the extent legally permissible, waiver) of the following further conditions:</w:t>
      </w:r>
    </w:p>
    <w:p>
      <w:pPr>
        <w:spacing w:after="0" w:line="162" w:lineRule="exact"/>
        <w:rPr>
          <w:sz w:val="20"/>
          <w:szCs w:val="20"/>
          <w:color w:val="auto"/>
        </w:rPr>
      </w:pPr>
    </w:p>
    <w:p>
      <w:pPr>
        <w:ind w:left="520" w:right="3779" w:firstLine="350"/>
        <w:spacing w:after="0" w:line="250" w:lineRule="auto"/>
        <w:tabs>
          <w:tab w:leader="none" w:pos="1295"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shall have performed in all material respects all of its obligations hereunder required to be performed by it at or prior to the Effective Time, (ii) except to the extent expressly permitted under this Agreement, the representations and warranties of the Company contained in this Agreement and in any certificate or other writing delivered by the Company pursuant hereto</w:t>
      </w:r>
    </w:p>
    <w:p>
      <w:pPr>
        <w:spacing w:after="0" w:line="2" w:lineRule="exact"/>
        <w:rPr>
          <w:rFonts w:ascii="Courier New" w:cs="Courier New" w:eastAsia="Courier New" w:hAnsi="Courier New"/>
          <w:sz w:val="14"/>
          <w:szCs w:val="14"/>
          <w:color w:val="auto"/>
        </w:rPr>
      </w:pPr>
    </w:p>
    <w:p>
      <w:pPr>
        <w:ind w:left="520" w:right="3779" w:firstLine="5"/>
        <w:spacing w:after="0" w:line="251" w:lineRule="auto"/>
        <w:tabs>
          <w:tab w:leader="none" w:pos="86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are qualified by materiality or Material Adverse Effect shall be true at and as of the Effective Time as if made at and as of such time, and (y) that are not qualified by materiality or Material Adverse Effect shall be true in all material respects at and as of the Effective Time as if made at and as of such time and (iii) Acquiror shall have received a certificate signed by a vice-president of the Company to the foregoing effect;</w:t>
      </w:r>
    </w:p>
    <w:p>
      <w:pPr>
        <w:spacing w:after="0" w:line="164"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instituted or pending any action or proceeding by any governmental authority (whether domestic, foreign or supranational) before any court or governmental authority or agency, domestic, foreign or supranational, (i) seeking to restrain, prohibit or otherwise interfere with the ownership or operation by Acquiror or any Subsidiary of Acquiror of all or any portion of the business of the Company or any of its Subsidiaries or of Acquiror or any of its Subsidiaries or to compel Acquiror or any Subsidiary of Acquiror to dispose of or hold separate all or any portion of the business or assets of the Company or any of its Subsidiaries or of Acquiror or any of its Subsidiaries, (ii) seeking to impose or confirm limitations on the ability of Acquiror or any Subsidiary of Acquiror effectively to exercise full rights of ownership of the Shares (or shares of stock of</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782"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3779"/>
        <w:spacing w:after="0" w:line="251" w:lineRule="auto"/>
        <w:rPr>
          <w:sz w:val="20"/>
          <w:szCs w:val="20"/>
          <w:color w:val="auto"/>
        </w:rPr>
      </w:pPr>
      <w:r>
        <w:rPr>
          <w:rFonts w:ascii="Courier New" w:cs="Courier New" w:eastAsia="Courier New" w:hAnsi="Courier New"/>
          <w:sz w:val="14"/>
          <w:szCs w:val="14"/>
          <w:color w:val="auto"/>
        </w:rPr>
        <w:t>the Surviving Corporation) including, without limitation, the right to vote any Shares (or shares of stock of the Surviving Corporation) on any matters properly presented to stockholders or (iii) seeking to require divestiture by Acquiror or any Subsidiary of Acquiror of any Shares (or shares of stock of the Surviving Corporation) if any such matter referred to in clause (i), (ii) or (iii) hereof could reasonably be expected to result in a substantial detriment to the Acquiror and its Subsidiaries (including the Company and its Subsidiaries), taken as a whole (any such substantial detriment being referred to in this Agreement as a "Substantial Detriment");</w:t>
      </w:r>
    </w:p>
    <w:p>
      <w:pPr>
        <w:spacing w:after="0" w:line="163" w:lineRule="exact"/>
        <w:rPr>
          <w:sz w:val="20"/>
          <w:szCs w:val="20"/>
          <w:color w:val="auto"/>
        </w:rPr>
      </w:pPr>
    </w:p>
    <w:p>
      <w:pPr>
        <w:ind w:left="520" w:right="3779" w:firstLine="350"/>
        <w:spacing w:after="0" w:line="251" w:lineRule="auto"/>
        <w:tabs>
          <w:tab w:leader="none" w:pos="120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statute, rule, regulation, injunction, order or decree, enacted, enforced, promulgated, entered, issued or deemed applicable to the Merger and the other transactions contemplated hereby (or in the case of any statute, rule or regulation, awaiting signature or reasonably expected to become law), by any court, government or governmental authority or agency or legislative body, domestic, foreign or supranational, that is reasonably likely, directly or indirectly, to result in a Substantial Detriment;</w:t>
      </w:r>
    </w:p>
    <w:p>
      <w:pPr>
        <w:spacing w:after="0" w:line="163"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all required approvals or consents of any governmental authority (whether domestic, foreign or supranational) in connection with the Merger and the consummation of the other transactions contemplated hereby shall have been obtained (and all relevant statutory, regulatory or other governmental waiting periods, whether domestic, foreign or supranational, shall have expired) unless the failure to receive any such approval or consent would not be reasonably likely, directly or indirectly, to result in a Substantial Detriment and (ii) all such approvals and consents which have been obtained shall be on terms that are not reasonably likely, directly or indirectly, to result in a Substantial Detriment;</w:t>
      </w:r>
    </w:p>
    <w:p>
      <w:pPr>
        <w:spacing w:after="0" w:line="163"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have received an opinion of Davis Polk &amp; Wardwell in form and substance reasonably satisfactory to Acquiror, on the basis of certain facts, representations and assumptions set forth in such opinion, dated the Effective Time, to the effect that the Merger will be treated for federal income tax purposes as a reorganization qualifying under the provisions of Section 368(a) of the Code and that each of Acquiror, Merger Subsidiary and the Company will be a party to the reorganization within the meaning of Section 368(b) of the Code. In rendering such opinion, such counsel shall be entitled to rely upon certain representations of officers of Acquiror and the Company reasonably requested by counsel, including without limitation those contained in certificates substantially in the form attached as Exhibits C-1 and C-2; and</w:t>
      </w:r>
    </w:p>
    <w:p>
      <w:pPr>
        <w:spacing w:after="0" w:line="162" w:lineRule="exact"/>
        <w:rPr>
          <w:rFonts w:ascii="Courier New" w:cs="Courier New" w:eastAsia="Courier New" w:hAnsi="Courier New"/>
          <w:sz w:val="14"/>
          <w:szCs w:val="14"/>
          <w:color w:val="auto"/>
        </w:rPr>
      </w:pPr>
    </w:p>
    <w:p>
      <w:pPr>
        <w:jc w:val="both"/>
        <w:ind w:left="520" w:right="3939" w:firstLine="350"/>
        <w:spacing w:after="0" w:line="252" w:lineRule="auto"/>
        <w:tabs>
          <w:tab w:leader="none" w:pos="120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not have been any event, occurrence, development or state of circumstances which, individually or in the aggregate, has had or would reasonably be expected to have a Material Adverse Effect on the Company.</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8.03. Conditions to the Obligations of the Company. The obligation of the Company to consummate the Merger is subject to the satisfaction (or, to the extent legally permissible, waiver) of the following further conditions:</w:t>
      </w:r>
    </w:p>
    <w:p>
      <w:pPr>
        <w:spacing w:after="0" w:line="163" w:lineRule="exact"/>
        <w:rPr>
          <w:sz w:val="20"/>
          <w:szCs w:val="20"/>
          <w:color w:val="auto"/>
        </w:rPr>
      </w:pPr>
    </w:p>
    <w:p>
      <w:pPr>
        <w:ind w:left="520" w:right="3779" w:firstLine="350"/>
        <w:spacing w:after="0" w:line="251" w:lineRule="auto"/>
        <w:tabs>
          <w:tab w:leader="none" w:pos="129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Acquiror shall have performed in all material respects all of its obligations hereunder required to be performed by it at or prior to the Effective Time, (ii) except to the extent expressly permitted under this Agreement, the representations and warranties of Acquiror contained in this Agreement and in any certificate or other writing delivered by Acquiror pursuant hereto (x) that are qualified by materiality or Material Adverse Effect shall be true at and as of the Effective Time as if made at and as of such time, and (y) that are not qualified by materiality or Material Adverse Effect shall be true in all material respects at and as of the Effective Time as if made at and as of such time and (iii) the Company shall have received a certificate signed by a vice-president of Acquiror to the foregoing effect;</w:t>
      </w:r>
    </w:p>
    <w:p>
      <w:pPr>
        <w:spacing w:after="0" w:line="162"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an opinion of Skadden, Arps, Slate, Meagher &amp; Flom LLP in form and substance reasonably satisfactory to the Company, on the basis of certain facts, representations and assumptions set forth in such opinion, dated the Effective Time, to the effect that the Merger will be treated for</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782" w:right="1440" w:bottom="1440" w:gutter="0" w:footer="0" w:header="0"/>
        </w:sectPr>
      </w:pPr>
    </w:p>
    <w:bookmarkStart w:id="177" w:name="page178"/>
    <w:bookmarkEnd w:id="17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3859"/>
        <w:spacing w:after="0" w:line="251" w:lineRule="auto"/>
        <w:rPr>
          <w:sz w:val="20"/>
          <w:szCs w:val="20"/>
          <w:color w:val="auto"/>
        </w:rPr>
      </w:pPr>
      <w:r>
        <w:rPr>
          <w:rFonts w:ascii="Courier New" w:cs="Courier New" w:eastAsia="Courier New" w:hAnsi="Courier New"/>
          <w:sz w:val="14"/>
          <w:szCs w:val="14"/>
          <w:color w:val="auto"/>
        </w:rPr>
        <w:t>federal income tax purposes as a reorganization qualifying under the provisions of Section 368(a) of the Code and that each of Acquiror, Merger Subsidiary and the Company will be a party to the reorganization within the meaning of Section 368(b) of the Code. In rendering such opinion, such counsel shall be entitled to rely upon certain representations of officers of Acquiror and the Company reasonably requested by counsel, including without limitation those contained in certificates substantially in the form attached as Exhibits C-1 and C-2; and</w:t>
      </w:r>
    </w:p>
    <w:p>
      <w:pPr>
        <w:spacing w:after="0" w:line="164" w:lineRule="exact"/>
        <w:rPr>
          <w:sz w:val="20"/>
          <w:szCs w:val="20"/>
          <w:color w:val="auto"/>
        </w:rPr>
      </w:pPr>
    </w:p>
    <w:p>
      <w:pPr>
        <w:jc w:val="both"/>
        <w:ind w:left="520" w:right="3939" w:firstLine="350"/>
        <w:spacing w:after="0" w:line="252" w:lineRule="auto"/>
        <w:tabs>
          <w:tab w:leader="none" w:pos="120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not have been any event, occurrence, development or state of circumstances which, individually or in the aggregate, has had or would reasonably be expected to have a Material Adverse Effect on Acquiror.</w:t>
      </w:r>
    </w:p>
    <w:p>
      <w:pPr>
        <w:spacing w:after="0" w:line="32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9</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9.01. Termination. This Agreement may be terminated and the Merger may be abandoned at any time prior to the Effective Time (notwithstanding any approval of this Agreement by the stockholders of the Company or any approval of the matters constituting the Acquiror Stockholder Approval by the stockholders of Acquiror):</w:t>
      </w:r>
    </w:p>
    <w:p>
      <w:pPr>
        <w:spacing w:after="0" w:line="165" w:lineRule="exact"/>
        <w:rPr>
          <w:sz w:val="20"/>
          <w:szCs w:val="20"/>
          <w:color w:val="auto"/>
        </w:rPr>
      </w:pPr>
    </w:p>
    <w:p>
      <w:pPr>
        <w:ind w:left="1220" w:hanging="350"/>
        <w:spacing w:after="0"/>
        <w:tabs>
          <w:tab w:leader="none" w:pos="12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Company and Acquiror;</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Acquiror,</w:t>
      </w:r>
    </w:p>
    <w:p>
      <w:pPr>
        <w:spacing w:after="0" w:line="172" w:lineRule="exact"/>
        <w:rPr>
          <w:rFonts w:ascii="Courier New" w:cs="Courier New" w:eastAsia="Courier New" w:hAnsi="Courier New"/>
          <w:sz w:val="14"/>
          <w:szCs w:val="14"/>
          <w:color w:val="auto"/>
        </w:rPr>
      </w:pPr>
    </w:p>
    <w:p>
      <w:pPr>
        <w:ind w:left="860" w:right="3939" w:firstLine="1129"/>
        <w:spacing w:after="0" w:line="250" w:lineRule="auto"/>
        <w:tabs>
          <w:tab w:leader="none" w:pos="2324"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has not been consummated by the first anniversary of the date hereof (the "End Date"); provided that if (x) the Effective Time has not occurred by such first anniversary by reason of non- satisfaction of any of the conditions set forth in Sections 8.01(b), 8.01(c), 8.01(e), 8.02(b), 8.02(c) or 8.02(d) and (y) all other conditions in Article 8 have theretofore been satisfied or (to the extent legally permissible) waived or are then capable of being satisfied, the End Date will be June 30, 2000; provided further that the right to terminate this Agreement under this Section</w:t>
      </w:r>
    </w:p>
    <w:p>
      <w:pPr>
        <w:spacing w:after="0" w:line="4" w:lineRule="exact"/>
        <w:rPr>
          <w:rFonts w:ascii="Courier New" w:cs="Courier New" w:eastAsia="Courier New" w:hAnsi="Courier New"/>
          <w:sz w:val="14"/>
          <w:szCs w:val="14"/>
          <w:color w:val="auto"/>
        </w:rPr>
      </w:pPr>
    </w:p>
    <w:p>
      <w:pPr>
        <w:ind w:left="860"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9.01(b)(i) shall not be available to any party whose failure to fulfill in any material respect any obligation under this Agreement has caused or resulted in the failure of the Effective Time to occur on or before the End Date;</w:t>
      </w:r>
    </w:p>
    <w:p>
      <w:pPr>
        <w:spacing w:after="0" w:line="162" w:lineRule="exact"/>
        <w:rPr>
          <w:rFonts w:ascii="Courier New" w:cs="Courier New" w:eastAsia="Courier New" w:hAnsi="Courier New"/>
          <w:sz w:val="14"/>
          <w:szCs w:val="14"/>
          <w:color w:val="auto"/>
        </w:rPr>
      </w:pPr>
    </w:p>
    <w:p>
      <w:pPr>
        <w:ind w:left="860" w:right="4019" w:firstLine="1043"/>
        <w:spacing w:after="0" w:line="252" w:lineRule="auto"/>
        <w:tabs>
          <w:tab w:leader="none" w:pos="2324"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Stockholder Approval shall not have been obtained by reason of the failure to obtain the required vote at a duly held meeting of stockholders or any adjournment thereof; or</w:t>
      </w:r>
    </w:p>
    <w:p>
      <w:pPr>
        <w:spacing w:after="0" w:line="162" w:lineRule="exact"/>
        <w:rPr>
          <w:rFonts w:ascii="Courier New" w:cs="Courier New" w:eastAsia="Courier New" w:hAnsi="Courier New"/>
          <w:sz w:val="14"/>
          <w:szCs w:val="14"/>
          <w:color w:val="auto"/>
        </w:rPr>
      </w:pPr>
    </w:p>
    <w:p>
      <w:pPr>
        <w:ind w:left="860" w:right="3939" w:firstLine="957"/>
        <w:spacing w:after="0" w:line="252" w:lineRule="auto"/>
        <w:tabs>
          <w:tab w:leader="none" w:pos="2324"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Acquiror Stockholder Approval shall not have been obtained by reason of the failure to obtain the required vote at a duly held meeting of stockholders or any adjournment thereof;</w:t>
      </w:r>
    </w:p>
    <w:p>
      <w:pPr>
        <w:spacing w:after="0" w:line="162"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Acquiror, if there shall be any law or regulation that makes consummation of the Merger illegal or otherwise prohibited or if any judgment, injunction, order or decree enjoining Acquiror or the Company from consummating the Merger is entered and such judgment, injunction, order or decree shall become final and nonappealable;</w:t>
      </w:r>
    </w:p>
    <w:p>
      <w:pPr>
        <w:spacing w:after="0" w:line="164"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Acquiror, if the Board of Directors of the Company shall have failed to recommend or withdrawn or modified or changed in a manner adverse to Acquiror its approval or recommendation of this Agreement or the Merger, or shall have failed to call the Company Stockholder Meeting in accordance with Section 5.02, or shall have recommended a Superior Proposal (or the Board of Directors of the Company resolves to do any of the foregoing);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782"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173" w:lineRule="exact"/>
        <w:rPr>
          <w:sz w:val="20"/>
          <w:szCs w:val="20"/>
          <w:color w:val="auto"/>
        </w:rPr>
      </w:pPr>
    </w:p>
    <w:p>
      <w:pPr>
        <w:ind w:left="520" w:right="3779" w:firstLine="350"/>
        <w:spacing w:after="0" w:line="250" w:lineRule="auto"/>
        <w:tabs>
          <w:tab w:leader="none" w:pos="120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(i) the Board of Directors of the Company authorizes the Company, subject to complying with the terms of this Agreement, to enter into a binding written agreement concerning a transaction that constitutes a Superior Proposal and the Company notifies Acquiror in writing that it intends to enter into such an agreement, attaching the most current version of such agreement (or a description of all material terms and conditions thereof) to such notice, (ii) Acquiror does not make, within three business days of receipt of the Company's written notification of its intention to enter into a binding agreement for a Superior Proposal, an offer that the Board of Directors of the Company determines, in good faith after consultation with its financial advisors, is at least as favorable to the shareholders of the Company as the Superior Proposal, it being understood that the Company shall not enter into any such binding agreement during such three day period and (iii) the Company prior to such termination pursuant to this clause (e) pays to Acquiror in immediately available funds the fees required to be paid pursuant to Section 10.04. The Company agrees to notify Acquiror promptly if its intention to enter into a written agreement referred to in its notification shall change at any time after giving such notification; or</w:t>
      </w:r>
    </w:p>
    <w:p>
      <w:pPr>
        <w:spacing w:after="0" w:line="174"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the Board of Directors of Acquiror shall have failed to recommend or withdrawn or modified or changed in a manner adverse to the Company its approval and recommendation of the matters constituting the Acquiror Stockholder Approval, or shall have failed to call the Acquiror Stockholder Meeting in accordance with Section 6.04 (or the Board of Directors of Acquiror resolves to do any of the foregoing).</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party desiring to terminate this Agreement pursuant to clause (b), (c), (d), (e), or (f) of this Section 9.01 shall give written notice of such termination to the other party in accordance with Section 10.01, specifying the provision hereof pursuant to which such termination is effected.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9.02. Effect of Termination. If this Agreement is terminated pursuant to Section 9.01, this Agreement shall become void and of no effect with no liability on the part of any party hereto, except that (a) the agreements contained in this Section 9.02, in Section 10.04, in the Option Agreement and in the Confidentiality Agreement shall survive the termination hereof and (b) no such termination shall relieve any party of any liability or damages resulting from any willful breach by that party of this Agreement.</w:t>
      </w:r>
    </w:p>
    <w:p>
      <w:pPr>
        <w:spacing w:after="0" w:line="33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10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4379" w:firstLine="517"/>
        <w:spacing w:after="0" w:line="252" w:lineRule="auto"/>
        <w:rPr>
          <w:sz w:val="20"/>
          <w:szCs w:val="20"/>
          <w:color w:val="auto"/>
        </w:rPr>
      </w:pPr>
      <w:r>
        <w:rPr>
          <w:rFonts w:ascii="Courier New" w:cs="Courier New" w:eastAsia="Courier New" w:hAnsi="Courier New"/>
          <w:sz w:val="14"/>
          <w:szCs w:val="14"/>
          <w:color w:val="auto"/>
        </w:rPr>
        <w:t>SECTION 10.01. Notices. All notices, requests and other communications to any party hereunder shall be in writing (including facsimile or similar writing) and shall be given,</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Acquiror or Merger Subsidiary,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Charles W. Matthews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(972) 444-1438</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George R. Bason, Jr.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450-4800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10239"/>
          </w:cols>
          <w:pgMar w:left="220" w:top="782" w:right="1440" w:bottom="1440" w:gutter="0" w:footer="0" w:header="0"/>
        </w:sectPr>
      </w:pPr>
    </w:p>
    <w:bookmarkStart w:id="179" w:name="page180"/>
    <w:bookmarkEnd w:id="17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Samuel H. Gillespie III</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Fairfax, Virginia 22307-0001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(703) 846-4674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Roger S. Aaron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735-2000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such other address or facsimile number as such party may hereafter specify for the purpose by notice to the other parties hereto. Each such notice, request or other communication shall be effective (a) if given by facsimile, when such facsimile is transmitted to the facsimile number specified in this Section and the appropriate facsimile confirmation is received or (b) if given by any other means, when delivered at the address specified in this Section.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10.02. Non-Survival of Representations and Warranties. The representations and warranties contained herein and in any certificate or other writing delivered pursuant hereto shall not survive the Effective Time or the termination of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10.03. Amendments; No Waivers. (a) Any provision of this Agreement (including the Exhibits and Schedules hereto) may be amended or waived prior to the Effective Time if, and only if, such amendment or waiver is in writing and signed, in the case of an amendment, by the Company, Acquiror and Merger Subsidiary, or in the case of a waiver, by the party against whom the waiver is to be effective; provided that after the adoption of this Agreement by the stockholders of the Company, no such amendment or waiver shall, without the further approval of such stockholders, alter or change (i) the amount or kind of consideration to be received in exchange for any shares of capital stock of the Company, (ii) any term of the certificate of incorporation of the Surviving Corporation or (iii) any of the terms or conditions of this Agreement if such alteration or change would adversely affect the holders of any shares of capital stock of the Company.</w:t>
      </w:r>
    </w:p>
    <w:p>
      <w:pPr>
        <w:spacing w:after="0" w:line="163" w:lineRule="exact"/>
        <w:rPr>
          <w:sz w:val="20"/>
          <w:szCs w:val="20"/>
          <w:color w:val="auto"/>
        </w:rPr>
      </w:pPr>
    </w:p>
    <w:p>
      <w:pPr>
        <w:ind w:right="3419" w:firstLine="439"/>
        <w:spacing w:after="0" w:line="251" w:lineRule="auto"/>
        <w:tabs>
          <w:tab w:leader="none" w:pos="775"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10.04. Expenses. (a) Except as otherwise specified in this Section 10.04 or the Option Agreement or agreed in writing by the parties, all costs and expenses incurred in connection with this Agreement and the transactions contemplated by this Agreement shall be paid by the party incurring such cost or expense; provided that all liability for transfer taxes (other than transfer taxes to be paid by Acquiror in connection with the issuance and creation of Acquiror Common Stock and Acquiror Preferred Stock in the Merger, as provided in Section 1.02(b)) incurred by the Company or the Company's stockholders in connection with the transactions contemplated hereby shall be paid by the Surviving Corporation out of its own funds and will not be paid, directly or indirectly, by Acquiror.</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782"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860" w:hanging="421"/>
        <w:spacing w:after="0"/>
        <w:tabs>
          <w:tab w:leader="none" w:pos="8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w:t>
      </w:r>
    </w:p>
    <w:p>
      <w:pPr>
        <w:spacing w:after="0" w:line="172" w:lineRule="exact"/>
        <w:rPr>
          <w:rFonts w:ascii="Courier New" w:cs="Courier New" w:eastAsia="Courier New" w:hAnsi="Courier New"/>
          <w:sz w:val="14"/>
          <w:szCs w:val="14"/>
          <w:color w:val="auto"/>
        </w:rPr>
      </w:pPr>
    </w:p>
    <w:p>
      <w:pPr>
        <w:ind w:left="440" w:right="4379" w:firstLine="430"/>
        <w:spacing w:after="0" w:line="255" w:lineRule="auto"/>
        <w:tabs>
          <w:tab w:leader="none" w:pos="1215"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terminate this Agreement pursuant to Section 9.01(e);</w:t>
      </w:r>
    </w:p>
    <w:p>
      <w:pPr>
        <w:spacing w:after="0" w:line="159" w:lineRule="exact"/>
        <w:rPr>
          <w:rFonts w:ascii="Courier New" w:cs="Courier New" w:eastAsia="Courier New" w:hAnsi="Courier New"/>
          <w:sz w:val="14"/>
          <w:szCs w:val="14"/>
          <w:color w:val="auto"/>
        </w:rPr>
      </w:pPr>
    </w:p>
    <w:p>
      <w:pPr>
        <w:ind w:left="440" w:right="3859" w:firstLine="344"/>
        <w:spacing w:after="0" w:line="251" w:lineRule="auto"/>
        <w:tabs>
          <w:tab w:leader="none" w:pos="1301"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terminate this Agreement pursuant to Section 9.01(d), unless at the time of such failure to recommend, withdrawal or adverse modification or change, failure to call the Company Stockholder Meeting or recommendation of a Superior Proposal, any of the conditions set forth in Section 8.03(a) or 8.03(c) would not have been satisfied as of such date and would not be reasonably capable of being satisfied; or</w:t>
      </w:r>
    </w:p>
    <w:p>
      <w:pPr>
        <w:spacing w:after="0" w:line="164" w:lineRule="exact"/>
        <w:rPr>
          <w:rFonts w:ascii="Courier New" w:cs="Courier New" w:eastAsia="Courier New" w:hAnsi="Courier New"/>
          <w:sz w:val="14"/>
          <w:szCs w:val="14"/>
          <w:color w:val="auto"/>
        </w:rPr>
      </w:pPr>
    </w:p>
    <w:p>
      <w:pPr>
        <w:ind w:left="520" w:right="3779" w:firstLine="177"/>
        <w:spacing w:after="0" w:line="251" w:lineRule="auto"/>
        <w:tabs>
          <w:tab w:leader="none" w:pos="1209"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Company or Acquiror shall terminate this Agreement pursuant to Section 9.01(b)(ii) in circumstances where the Company Stockholder Approval has not been obtained and prior to the Company Stockholder Meeting an Acquisition Proposal is made by any Person and the Company enters into a definitive agreement within twelve months after termination of this Agreement either (1) in respect of any Acquisition Proposal with such Person or its affiliate or (2) in respect of any Acquisition Proposal with any other Person (other than Acquiror or any affiliate of Acquiror) providing, in the case of this clause (2), greater value per Share than the Exercise Price (as defined in the Option Agreement),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then in any case as described in clause (i), (ii) or (iii) (each such case of termination being referred to as a "Trigger Event") the Company shall pay to Acquiror (by wire transfer of immediately available funds not later than the date of termination of this Agreement or, in the case of clause (iii), the date of such definitive agreement) an amount equal to $1,500,000,000. Acceptance by Acquiror of the payment referred to in the foregoing sentence shall constitute conclusive evidence that this Agreement has been validly terminated and upon acceptance of payment of such amount the Company shall be fully released and discharged from any liability or obligation resulting from or under this Agreement (but without limiting the Company's obligations under the Option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If the Company shall terminate this Agreement pursuant to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9.01(f) unless at the time of such failure to recommend, withdrawal or adverse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or change or failure to call the Acquiror Stockholder Meeting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conditions set forth in Section 8.02(a) or 8.02(f) would not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satisfied as of such date and would not be reasonably capable of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satisfied, then Acquiror shall pay to the Company (by wire transfer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available funds not later than the date of termination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 amount equal to $1,500,000,000. Acceptance by the Company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referred to in the foregoing sentence shall constitute conclusive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evidence that this Agreement has been validly terminated and upon acceptance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such amount the Acquiror shall be fully released and discharged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liability or obligation resulting from or under this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10.05.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the other parties hereto except that Merger Subsidiary may transfer or assign, in whole or from time to time in part, to one or more of its affiliates, its rights under this Agreement, but any such transfer or assignment will not relieve Merger Subsidiary of its obligations hereunder.</w:t>
      </w:r>
    </w:p>
    <w:p>
      <w:pPr>
        <w:spacing w:after="0" w:line="164"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SECTION 10.06. Governing Law. This Agreement shall be construed in accordance with and governed by the law of the State of Delaware, without regard to principles of conflicts of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10.07. Jurisdiction. Any suit, action or proceeding seeking to enforce any provision of, or based on any matter arising out of or in connection with, this Agreement or the transactions contemplated 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782" w:right="1440" w:bottom="1440" w:gutter="0" w:footer="0" w:header="0"/>
        </w:sectPr>
      </w:pPr>
    </w:p>
    <w:bookmarkStart w:id="181" w:name="page182"/>
    <w:bookmarkEnd w:id="18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10.01 shall be deemed effective service of process on such party.</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10.08. Waiver of Jury Trial. EACH OF THE PARTIES HERETO HEREBY IRREVOCABLY WAIVES ANY AND ALL RIGHT TO TRIAL BY JURY IN ANY LEGAL PROCEEDING ARISING OUT OF OR RELATED TO THIS AGREEMENT OR THE TRANSACTIONS CONTEMPLATED HEREBY.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10.10. Entire Agreement. This Agreement (including the Exhibits and Schedules hereto), the Option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hereof and thereof. Except as provided in Section 6.03(c), no provision of this Agreement or any other agreement contemplated hereby is intended to confer on any Person other than the parties hereto any rights or remedies.</w:t>
      </w:r>
    </w:p>
    <w:p>
      <w:pPr>
        <w:spacing w:after="0" w:line="164"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SECTION 10.11. Captions. The captions herein are included for convenience of reference only and shall be ignored in the construction or interpretation hereof.</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10.12.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782"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MOBIL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and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EXXON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of the Board</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LION ACQUISITION SUBSIDIARY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T. Peter Townsend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T. Peter Townsend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782" w:right="1440" w:bottom="1440" w:gutter="0" w:footer="0" w:header="0"/>
        </w:sectPr>
      </w:pPr>
    </w:p>
    <w:bookmarkStart w:id="183" w:name="page184"/>
    <w:bookmarkEnd w:id="183"/>
    <w:p>
      <w:pPr>
        <w:jc w:val="right"/>
        <w:ind w:right="351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EXHIBIT A TO ANNEX A</w:t>
      </w: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Annex B]</w:t>
      </w:r>
    </w:p>
    <w:p>
      <w:pPr>
        <w:sectPr>
          <w:pgSz w:w="11900" w:h="16838" w:orient="portrait"/>
          <w:cols w:equalWidth="0" w:num="1">
            <w:col w:w="9019"/>
          </w:cols>
          <w:pgMar w:left="1440" w:top="782"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B-1 TO ANNEX A</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LETTER RELATING TO POOLING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(Mobil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the Agreement and Plan of Merger dated as of December 1, 1998 (the "Agreement") among Exxon Corporation, a New Jersey corporation ("Exxon"), Mobil Corporation, a Delaware corporation (the "Company"), and Lion Acquisition Subsidiary Corporation, a Delaware corporation and a wholly-owned subsidiary of Exxon ("Merger Subsidiary"), Merger Subsidiary will be merged with and into the Company with the Company to be the surviving corporation in the Merger (the "Merger").</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undersigned represents, warrants and covenants with and to Exxon and the Company that: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undersigned understands that the Merger is intended to be accounted for using the "pooling-of-interests" method and that such treatment for financial accounting purposes is dependent upon the accuracy of certain of the representations and warranties, and the undersigned's compliance with certain of the covenants and agreements, set forth herein. Accordingly, the undersigned will not sell, transfer or otherwise dispose of the undersigned's interests in, or acquire or sell any options or other securities relating to securities of Exxon or the Company that would be intended to reduce the undersigned's risk relative to, any shares of common stock of either Exxon or the Company beneficially owned by the undersigned, during the period commencing on the 30th day prior to the effectiveness of the Merger and ending at such time as Exxon publicly releases a report (the "Combined Financial Results Report") covering at least 30 days of combined operations of Exxon and the Company after the Merger. Exxon shall notify the undersigned of the publication of such results.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undersigned also understands that stop transfer instructions will be given to the transfer agents of Exxon and the Company in order to prevent any breach of the covenants and agreements made by the undersigned in paragraph A, although such stop transfer instructions will be promptly rescinded upon the publication of the Combined Financial Results Report.</w:t>
      </w:r>
    </w:p>
    <w:p>
      <w:pPr>
        <w:sectPr>
          <w:pgSz w:w="11900" w:h="16838" w:orient="portrait"/>
          <w:cols w:equalWidth="0" w:num="1">
            <w:col w:w="10239"/>
          </w:cols>
          <w:pgMar w:left="220" w:top="782" w:right="1440" w:bottom="1440" w:gutter="0" w:footer="0" w:header="0"/>
        </w:sectPr>
      </w:pPr>
    </w:p>
    <w:bookmarkStart w:id="185" w:name="page186"/>
    <w:bookmarkEnd w:id="18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 The undersigned understands and agrees that this letter agreement shall apply to all shares of the capital stock of Exxon and the Company that are deemed to be beneficially owned by the undersigned pursuant to applicable federal securities laws.</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A-B-1-2</w:t>
      </w:r>
    </w:p>
    <w:p>
      <w:pPr>
        <w:sectPr>
          <w:pgSz w:w="11900" w:h="16838" w:orient="portrait"/>
          <w:cols w:equalWidth="0" w:num="1">
            <w:col w:w="10239"/>
          </w:cols>
          <w:pgMar w:left="220" w:top="782"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B-2 TO ANNEX A</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LETTER RELATING TO POOLING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(Exxon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the Agreement and Plan of Merger dated as of December 1, 1998 (the "Agreement") among Exxon Corporation, a New Jersey corporation ("Exxon"), Mobil Corporation, a Delaware corporation (the "Company"), and Lion Acquisition Subsidiary Corporation, a Delaware corporation and a wholly-owned subsidiary of Exxon ("Merger Subsidiary"), Merger Subsidiary will be merged with and into the Company with the Company to be the surviving corporation in the Merger (the "Merger").</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undersigned represents, warrants and covenants with and to Exxon and the Company that: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undersigned understands that the Merger is intended to be accounted for using the "pooling-of-interests" method and that such treatment for financial accounting purposes is dependent upon the accuracy of certain of the representations and warranties, and the undersigned's compliance with certain of the covenants and agreements, set forth herein. Accordingly, the undersigned will not sell, transfer or otherwise dispose of the undersigned's interests in, or acquire or sell any options or other securities relating to securities of Exxon or the Company that would be intended to reduce the undersigned's risk relative to, any shares of common stock of either Exxon or the Company beneficially owned by the undersigned, during the period commencing on the 30th day prior to the effectiveness of the Merger and ending at such time as Exxon publicly releases a report (the "Combined Financial Results Report") covering at least 30 days of combined operations of Exxon and the Company after the Merger. Exxon shall notify the undersigned of the publication of such results.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undersigned also understands that stop transfer instructions will be given to the transfer agents of Exxon and the Company in order to prevent any breach of the covenants and agreements made by the undersigned in paragraph A, although such stop transfer instructions will be promptly rescinded upon the publication of the Combined Financial Results Report.</w:t>
      </w:r>
    </w:p>
    <w:p>
      <w:pPr>
        <w:sectPr>
          <w:pgSz w:w="11900" w:h="16838" w:orient="portrait"/>
          <w:cols w:equalWidth="0" w:num="1">
            <w:col w:w="10239"/>
          </w:cols>
          <w:pgMar w:left="220" w:top="782" w:right="1440" w:bottom="1440" w:gutter="0" w:footer="0" w:header="0"/>
        </w:sectPr>
      </w:pPr>
    </w:p>
    <w:bookmarkStart w:id="187" w:name="page188"/>
    <w:bookmarkEnd w:id="18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 The undersigned understands and agrees that this letter agreement shall apply to all shares of the capital stock of Exxon and the Company that are deemed to be beneficially owned by the undersigned pursuant to applicable federal securities laws.</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19__.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A-B-2-2</w:t>
      </w:r>
    </w:p>
    <w:p>
      <w:pPr>
        <w:sectPr>
          <w:pgSz w:w="11900" w:h="16838" w:orient="portrait"/>
          <w:cols w:equalWidth="0" w:num="1">
            <w:col w:w="10239"/>
          </w:cols>
          <w:pgMar w:left="220" w:top="782"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B-3 TO ANNEX A</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AFFILIATE'S LETTER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(Mobil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has been advised that as of the date of this letter the undersigned may be deemed to be an "affiliate" of Mobil Corporation, a Delaware corporation (the "Company"), as the term "affiliate" is defined for purposes of paragraphs (c) and (d) of Rule 145 of the rules and regulations (the "Rules and Regulations") of the Securities and Exchange Commission (the "Commission") under the Securities Act of 1933, as amended (the "Act"). Pursuant to the terms of the Agreement and Plan of Merger dated as of December 1, 1998 (the "Agreement") among the Company, Exxon Corporation, a New Jersey corporation ("Exxon"), and Lion Acquisition Subsidiary Corporation, a Delaware corporation and a wholly-owned subsidiary of Exxon ("Merger Subsidiary"), Merger Subsidiary will be merged with and into the Company with the Company to be the surviving corporation in the merger (the "Merger").</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a result of the Merger, the undersigned will receive shares of common stock, no par value, of Exxon (the "Exxon Common Stock") in exchange for shares owned by the undersigned of common stock, par value $1.00 per share, of the Company (the "Company Common Stock").</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undersigned represents, warrants and covenants to Exxon and the Company that as of the date the undersigned receives any Exxon Common Stock as a result of the Merger:</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 The undersigned shall not make any sale, transfer or other disposition of the Exxon Common Stock in violation of the Act or the Rules and Regulations.</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B. The undersigned has carefully read this letter and the Agreement and discussed the requirements of such documents and other applicable limitations upon the undersigned's ability to sell, transfer or otherwise dispose of the Exxon Common Stock to the extent the undersigned felt necessary with the undersigned's counsel or counsel for the Company.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 The undersigned has been advised that the issuance of Exxon Common Stock to the undersigned pursuant to the Merger will be registered with the Commission under the Act on a Registration Statement on Form S-4. However, the undersigned has also been advised that, because at the time the Merger is submitted for a vote of the stockholders of the Company, the undersigned may be deemed to be an affiliate of the Company, the undersigned may not sell, transfer or otherwise dispose of the Exxon Common Stock issued to the undersigned in</w:t>
      </w:r>
    </w:p>
    <w:p>
      <w:pPr>
        <w:sectPr>
          <w:pgSz w:w="11900" w:h="16838" w:orient="portrait"/>
          <w:cols w:equalWidth="0" w:num="1">
            <w:col w:w="10239"/>
          </w:cols>
          <w:pgMar w:left="220" w:top="782" w:right="1440" w:bottom="1440" w:gutter="0" w:footer="0" w:header="0"/>
        </w:sectPr>
      </w:pPr>
    </w:p>
    <w:bookmarkStart w:id="189" w:name="page190"/>
    <w:bookmarkEnd w:id="18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Merger unless (i) such sale, transfer or other disposition has been registered under the Act, (ii) such sale, transfer or other disposition is made in conformity with Rule 145 promulgated by the Commission under the Act, or (iii) in the opinion of counsel reasonably acceptable to Exxon, or pursuant to a "no action" letter obtained by the undersigned from the staff of the Commission, such sale, transfer or other disposition is otherwise exempt from registration under the Act.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 The undersigned understands that Exxon is under no obligation to register the sale, transfer or other disposition of the Exxon Common Stock by the undersigned or on the undersigned's behalf under the Act or to take any other action necessary in order to enable such sale, transfer or other disposition by the undersigned to be made in compliance with an exemption from such registration.</w:t>
      </w:r>
    </w:p>
    <w:p>
      <w:pPr>
        <w:spacing w:after="0" w:line="164"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E. The undersigned also understands that there will be placed on any certificates for the Exxon Common Stock issued to the undersigned a legend stating in substance:</w:t>
      </w:r>
    </w:p>
    <w:p>
      <w:pPr>
        <w:spacing w:after="0" w:line="163" w:lineRule="exact"/>
        <w:rPr>
          <w:sz w:val="20"/>
          <w:szCs w:val="20"/>
          <w:color w:val="auto"/>
        </w:rPr>
      </w:pPr>
    </w:p>
    <w:p>
      <w:pPr>
        <w:ind w:left="440" w:right="4119"/>
        <w:spacing w:after="0" w:line="251" w:lineRule="auto"/>
        <w:rPr>
          <w:sz w:val="20"/>
          <w:szCs w:val="20"/>
          <w:color w:val="auto"/>
        </w:rPr>
      </w:pPr>
      <w:r>
        <w:rPr>
          <w:rFonts w:ascii="Courier New" w:cs="Courier New" w:eastAsia="Courier New" w:hAnsi="Courier New"/>
          <w:sz w:val="14"/>
          <w:szCs w:val="14"/>
          <w:color w:val="auto"/>
        </w:rPr>
        <w:t>"THE SECURITIES REPRESENTED BY THIS CERTIFICATE WERE ISSUED IN A TRANSACTION TO WHICH RULE 145 PROMULGATED UNDER THE SECURITIES ACT OF 1933 APPLIES. THE SECURITIES REPRESENTED BY THIS CERTIFICATE MAY BE SOLD, TRANSFERRED OR OTHERWISE DISPOSED OF ONLY IN ACCORDANCE WITH THE TERMS OF A LETTER AGREEMENT BETWEEN THE REGISTERED HOLDER HEREOF AND EXXON CORPORATION, A COPY OF WHICH AGREEMENT IS ON FILE AT THE PRINCIPAL OFFICES OF EXXON CORPORATION."</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 The undersigned also understands that unless a sale or transfer by the undersigned of the undersigned's Exxon Common Stock has been registered under the Act or is a sale made in conformity with the provisions of Rule 145 under the Act, Exxon reserves the right to put the following legend on the certificates issued to the undersigned's transferee:</w:t>
      </w:r>
    </w:p>
    <w:p>
      <w:pPr>
        <w:spacing w:after="0" w:line="165" w:lineRule="exact"/>
        <w:rPr>
          <w:sz w:val="20"/>
          <w:szCs w:val="20"/>
          <w:color w:val="auto"/>
        </w:rPr>
      </w:pPr>
    </w:p>
    <w:p>
      <w:pPr>
        <w:ind w:left="440" w:right="4119"/>
        <w:spacing w:after="0" w:line="251"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AND WERE ACQUIRED FROM A PERSON WHO RECEIVED SUCH SECURITIES IN A TRANSACTION TO WHICH RULE 145 PROMULGATED UNDER THE SECURITIES ACT OF 1933 APPLIES. THE SECURITIES HAVE NOT BEEN ACQUIRED BY THE HOLDER WITH A VIEW TO, OR FOR RESALE IN CONNECTION WITH, ANY DISTRIBUTION THEREOF WITHIN THE MEANING OF THE SECURITIES ACT OF 1933 AND MAY NOT BE SOLD, TRANSFERRED OR OTHERWISE DISPOSED OF EXCEPT PURSUANT TO AN EFFECTIVE REGISTRATION STATEMENT OR IN ACCORDANCE WITH AN EXEMPTION FROM THE REGISTRATION REQUIREMENTS OF THE SECURITIES ACT OF 1933."</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understood and agreed that the legends set forth in paragraphs E and F above shall be removed by delivery of substitute certificates without such legend if (i) the securities represented thereby have been registered for sale by the undersigned under the Act or (ii) Exxon has received either an opinion of counsel, which opinion and counsel shall be reasonably satisfactory to Exxon, or a "no-action" letter obtained by the undersigned from the staff of the Commission, to the effect that the restrictions imposed by Rule 145 under the Act no longer apply to the undersigned.</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G. The undersigned further understands and agrees that the representations, warranties, covenants and agreements of the undersigned set forth herein are for the benefit of Exxon, the Company and the Surviving Corporation (as defined</w:t>
      </w:r>
    </w:p>
    <w:p>
      <w:pPr>
        <w:spacing w:after="0" w:line="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the Merger Agreement) and will be relied upon by such entities and their respective counsel and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A-B-3-2</w:t>
      </w:r>
    </w:p>
    <w:p>
      <w:pPr>
        <w:sectPr>
          <w:pgSz w:w="11900" w:h="16838" w:orient="portrait"/>
          <w:cols w:equalWidth="0" w:num="1">
            <w:col w:w="10239"/>
          </w:cols>
          <w:pgMar w:left="220" w:top="782"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H. The undersigned understands and agrees that this letter agreement shall apply to all shares of the capital stock of Exxon and the Company that are deemed to be beneficially owned by the undersigned pursuant to applicable federal securities laws.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Execution of this letter should not be considered an admission on the part of the undersigned that the undersigned is an "affiliate" of the Company as described in the first paragraph of this letter or as a waiver of any rights the undersigned may have to object to any claim that the undersigned is such an affiliate on or after the date of this letter.</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19__.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A-B-3-3</w:t>
      </w:r>
    </w:p>
    <w:p>
      <w:pPr>
        <w:sectPr>
          <w:pgSz w:w="11900" w:h="16838" w:orient="portrait"/>
          <w:cols w:equalWidth="0" w:num="1">
            <w:col w:w="10239"/>
          </w:cols>
          <w:pgMar w:left="220" w:top="782" w:right="1440" w:bottom="1440" w:gutter="0" w:footer="0" w:header="0"/>
        </w:sectPr>
      </w:pPr>
    </w:p>
    <w:bookmarkStart w:id="191" w:name="page192"/>
    <w:bookmarkEnd w:id="19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C-1 TO ANNEX A</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(as amended April 2, 1999)</w:t>
      </w:r>
    </w:p>
    <w:p>
      <w:pPr>
        <w:spacing w:after="0" w:line="33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EXXON CORPORATION AND</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LION ACQUISITION SUBSIDIARY CORPORATION</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REPRESENTATION LETTER</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opinions to be delivered pursuant to Sections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8.02(e) and 8.03(b) of the Agreement and Plan of Merger (the "Agreement")*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1, 1998, among Mobil, a Delaware corporation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New Jersey corporation ("Parent"), and Lion Acquisition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 Delaware corporation and a wholly-owned subsidiary of Parent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 and the opinions which, pursuant to the requirements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601(b)(8) of Regulation S-K under the Securities Act of 1933,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included in the Registration Statement on Form S-4,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of Parent and Merger Subsidiary hereby certify and represent as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 and Merger Subsidiary that the facts relating to the merger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of Merger Subsidiary with and into Company pursuant to the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 described in the Joint Proxy Statement/Prospectus of Parent and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Merger (the "Proxy Statement") are true, correct and complete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respects as of the date hereof and will be true, correct and complete in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respects at the Effective Time and that:</w:t>
      </w:r>
    </w:p>
    <w:p>
      <w:pPr>
        <w:spacing w:after="0" w:line="173" w:lineRule="exact"/>
        <w:rPr>
          <w:sz w:val="20"/>
          <w:szCs w:val="20"/>
          <w:color w:val="auto"/>
        </w:rPr>
      </w:pPr>
    </w:p>
    <w:p>
      <w:pPr>
        <w:ind w:right="3339" w:firstLine="611"/>
        <w:spacing w:after="0" w:line="251" w:lineRule="auto"/>
        <w:tabs>
          <w:tab w:leader="none" w:pos="861"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and Preferred Merger Consideration to be received in the Merger by holders of common stock of Company ("Company Stock") and Series B Preferred Stock of Company ("Series B Preferred Stock"), respectively, was determined by arm's length negotiations between the managements of Parent and Company and will be approximately equal to the fair market value of the Company Stock and Series B Preferred Stock, respectively, surrendered in exchange. In connection with the Merger, no holder of Company Stock will receive in exchange for such stock, directly or indirectly, any consideration other than common stock of Parent ("Parent Stock") and, in lieu of fractional shares of Parent Stock, cash. In connection with the Merger, no holder of Series B Preferred Stock, other than any such holders who dissent in the merger and perfect their right to appraisal and payment, will receive in exchange for such stock, directly or indirectly, any consideration other than preferred stock to be issued by Parent ("Parent Preferred Stock") at the Effective Time.</w:t>
      </w:r>
    </w:p>
    <w:p>
      <w:pPr>
        <w:spacing w:after="0" w:line="328" w:lineRule="exact"/>
        <w:rPr>
          <w:rFonts w:ascii="Courier New" w:cs="Courier New" w:eastAsia="Courier New" w:hAnsi="Courier New"/>
          <w:sz w:val="14"/>
          <w:szCs w:val="14"/>
          <w:color w:val="auto"/>
        </w:rPr>
      </w:pPr>
    </w:p>
    <w:p>
      <w:pPr>
        <w:ind w:left="860" w:hanging="249"/>
        <w:spacing w:after="0"/>
        <w:tabs>
          <w:tab w:leader="none" w:pos="86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cash paid in lieu of fractional shares of Parent Stock,</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 of</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*References contained in this Certificate to the Agreement include, unless the context otherwise requires, each document attached as an exhibit or annex. All defined terms used herein and not otherwise defined have the meaning ascribed to them in the Agreement.</w:t>
      </w:r>
    </w:p>
    <w:p>
      <w:pPr>
        <w:sectPr>
          <w:pgSz w:w="11900" w:h="16838" w:orient="portrait"/>
          <w:cols w:equalWidth="0" w:num="1">
            <w:col w:w="10239"/>
          </w:cols>
          <w:pgMar w:left="220" w:top="782"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1300" w:hanging="430"/>
        <w:spacing w:after="0"/>
        <w:tabs>
          <w:tab w:leader="none" w:pos="13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(or any successor corporation),</w:t>
      </w:r>
    </w:p>
    <w:p>
      <w:pPr>
        <w:spacing w:after="0" w:line="172" w:lineRule="exact"/>
        <w:rPr>
          <w:rFonts w:ascii="Courier New" w:cs="Courier New" w:eastAsia="Courier New" w:hAnsi="Courier New"/>
          <w:sz w:val="14"/>
          <w:szCs w:val="14"/>
          <w:color w:val="auto"/>
        </w:rPr>
      </w:pPr>
    </w:p>
    <w:p>
      <w:pPr>
        <w:ind w:left="520" w:right="3779" w:firstLine="264"/>
        <w:spacing w:after="0" w:line="252" w:lineRule="auto"/>
        <w:tabs>
          <w:tab w:leader="none" w:pos="120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immediately before or immediately after such purchase, exchange, redemption, or other acquisition, is a member of an Affiliated Group (as defined herein) of which Parent (or any successor corporation) is a member, or</w:t>
      </w:r>
    </w:p>
    <w:p>
      <w:pPr>
        <w:spacing w:after="0" w:line="162" w:lineRule="exact"/>
        <w:rPr>
          <w:rFonts w:ascii="Courier New" w:cs="Courier New" w:eastAsia="Courier New" w:hAnsi="Courier New"/>
          <w:sz w:val="14"/>
          <w:szCs w:val="14"/>
          <w:color w:val="auto"/>
        </w:rPr>
      </w:pPr>
    </w:p>
    <w:p>
      <w:pPr>
        <w:ind w:left="520" w:right="3859" w:firstLine="177"/>
        <w:spacing w:after="0" w:line="251" w:lineRule="auto"/>
        <w:tabs>
          <w:tab w:leader="none" w:pos="120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in which Parent (or any successor corporation) owns, or which owns with respect to Parent (or any successor corporation), directly or indirectly, immediately before or immediately after such purchase, exchange, redemption, or other acquisition, at least 50% of the total combined voting power of all classes of stock entitled to vote or at least 50% of the total value of shares of all classes of stock, taking into account for purposes of this clause (iii)</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any stock owned by 5% or greater stockholders of Parent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(or any successor) or such corporation,</w:t>
      </w:r>
    </w:p>
    <w:p>
      <w:pPr>
        <w:spacing w:after="0" w:line="173" w:lineRule="exact"/>
        <w:rPr>
          <w:sz w:val="20"/>
          <w:szCs w:val="20"/>
          <w:color w:val="auto"/>
        </w:rPr>
      </w:pPr>
    </w:p>
    <w:p>
      <w:pPr>
        <w:ind w:left="1480" w:right="3679" w:hanging="179"/>
        <w:spacing w:after="0" w:line="252" w:lineRule="auto"/>
        <w:tabs>
          <w:tab w:leader="none" w:pos="1460" w:val="left"/>
        </w:tabs>
        <w:rPr>
          <w:sz w:val="20"/>
          <w:szCs w:val="20"/>
          <w:color w:val="auto"/>
        </w:rPr>
      </w:pPr>
      <w:r>
        <w:rPr>
          <w:rFonts w:ascii="Courier New" w:cs="Courier New" w:eastAsia="Courier New" w:hAnsi="Courier New"/>
          <w:sz w:val="14"/>
          <w:szCs w:val="14"/>
          <w:color w:val="auto"/>
        </w:rPr>
        <w:t>o</w:t>
        <w:tab/>
        <w:t>a proportionate share of the stock owned by entities in which Parent (or any successor) or such corporation owns an interest, and</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any stock which may be acquired pursuant to the exercise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of options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"Parent Related Person") has any current plan or intention to redeem, purchase, exchange or otherwise reacquire any of the Parent Stock or Parent Preferred Stock to be issued in the Merger. Parent will implement its stock repurchase plan consistent with the resolution adopted by the Board of Parent on November 25, 1998. Parent intends that all stock repurchases made pursuant to this stock repurchase plan, or any other stock repurchase plan adopted by Parent,</w:t>
      </w:r>
    </w:p>
    <w:p>
      <w:pPr>
        <w:spacing w:after="0" w:line="330" w:lineRule="exact"/>
        <w:rPr>
          <w:sz w:val="20"/>
          <w:szCs w:val="20"/>
          <w:color w:val="auto"/>
        </w:rPr>
      </w:pPr>
    </w:p>
    <w:p>
      <w:pPr>
        <w:ind w:left="1300" w:hanging="430"/>
        <w:spacing w:after="0"/>
        <w:tabs>
          <w:tab w:leader="none" w:pos="130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undertaken for a corporate business purpose,</w:t>
      </w:r>
    </w:p>
    <w:p>
      <w:pPr>
        <w:spacing w:after="0" w:line="172"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made in the open market for stock of the Parent which is widely held and publicly traded, except that Parent may acquire stock in block trades made directly with an entity that is not known to Parent to have acquired such stock in the Merger, and any redemptions or repurchases of stock issued in the Merger that occur shall be incidental to the operation of such stock repurchase plan, and</w:t>
      </w:r>
    </w:p>
    <w:p>
      <w:pPr>
        <w:spacing w:after="0" w:line="164" w:lineRule="exact"/>
        <w:rPr>
          <w:rFonts w:ascii="Courier New" w:cs="Courier New" w:eastAsia="Courier New" w:hAnsi="Courier New"/>
          <w:sz w:val="14"/>
          <w:szCs w:val="14"/>
          <w:color w:val="auto"/>
        </w:rPr>
      </w:pPr>
    </w:p>
    <w:p>
      <w:pPr>
        <w:ind w:left="520" w:right="3779" w:firstLine="436"/>
        <w:spacing w:after="0" w:line="252" w:lineRule="auto"/>
        <w:tabs>
          <w:tab w:leader="none" w:pos="1295"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limited to, in the aggregate, a small percentage of each class of stock of Parent outstanding at the time of the redemption or repurchase.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Parent will cause all Parent Related Persons and any person acting as an agent of Parent not to redeem, purchase, exchange or otherwise acquire (including by derivative transactions such as an equity swap which would have the economic effect of an acquisition), directly or indirectly (including through partnerships or through third parties in connection with a plan to so acquire), a number of shares of Parent Stock and Parent Preferred Stock to be received by Company shareholders in connection with the Merger that would reduce the Company shareholders' ownership of Parent Stock and Parent Preferred Stock to a number of shares having a value, as of the Effective Time, of less than 50% of the total value of Company Stock and Series B Preferred Stock immediately prior to the Effective Time.</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For purposes of this representation, shares of Company Stock exchanged for cash in lieu of fractional shares of Parent Stock are treated as outstanding shares of Company Stock at the Effective Time. Moreover, shares of</w:t>
      </w:r>
    </w:p>
    <w:p>
      <w:pPr>
        <w:spacing w:after="0" w:line="1"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Company Stock and Series B Preferred Stock that are redeemed or sold or otherwise transferred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A-C-1-2</w:t>
      </w:r>
    </w:p>
    <w:p>
      <w:pPr>
        <w:sectPr>
          <w:pgSz w:w="11900" w:h="16838" w:orient="portrait"/>
          <w:cols w:equalWidth="0" w:num="1">
            <w:col w:w="10239"/>
          </w:cols>
          <w:pgMar w:left="220" w:top="782" w:right="1440" w:bottom="1440" w:gutter="0" w:footer="0" w:header="0"/>
        </w:sectPr>
      </w:pPr>
    </w:p>
    <w:bookmarkStart w:id="193" w:name="page194"/>
    <w:bookmarkEnd w:id="19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Parent, or any person related to Company or Parent prior to the Merger and in contemplation or as part of the Merger will be taken into account for purposes of this representation.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purposes of this Certificate, "Affiliated Group" shall mean one or more chains of corporations connected through stock ownership with a common parent corporation, but only if</w:t>
      </w:r>
    </w:p>
    <w:p>
      <w:pPr>
        <w:spacing w:after="0" w:line="163" w:lineRule="exact"/>
        <w:rPr>
          <w:sz w:val="20"/>
          <w:szCs w:val="20"/>
          <w:color w:val="auto"/>
        </w:rPr>
      </w:pPr>
    </w:p>
    <w:p>
      <w:pPr>
        <w:ind w:left="440" w:right="3779" w:firstLine="516"/>
        <w:spacing w:after="0" w:line="252" w:lineRule="auto"/>
        <w:tabs>
          <w:tab w:leader="none" w:pos="130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parent owns directly stock that possesses at least 80% of the total voting power, and has a value at least equal to 80% of the total value, of the stock in at least one of the other corporations, and</w:t>
      </w:r>
    </w:p>
    <w:p>
      <w:pPr>
        <w:spacing w:after="0" w:line="162" w:lineRule="exact"/>
        <w:rPr>
          <w:rFonts w:ascii="Courier New" w:cs="Courier New" w:eastAsia="Courier New" w:hAnsi="Courier New"/>
          <w:sz w:val="14"/>
          <w:szCs w:val="14"/>
          <w:color w:val="auto"/>
        </w:rPr>
      </w:pPr>
    </w:p>
    <w:p>
      <w:pPr>
        <w:ind w:left="440" w:right="3779" w:firstLine="516"/>
        <w:spacing w:after="0" w:line="252" w:lineRule="auto"/>
        <w:tabs>
          <w:tab w:leader="none" w:pos="130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possessing at least 80% of the total voting power, and having a value at least equal to 80% of the total value, of the stock in each corporation (except the common parent) is owned directly by one or more of the other corporations.</w:t>
      </w:r>
    </w:p>
    <w:p>
      <w:pPr>
        <w:spacing w:after="0" w:line="162" w:lineRule="exact"/>
        <w:rPr>
          <w:sz w:val="20"/>
          <w:szCs w:val="20"/>
          <w:color w:val="auto"/>
        </w:rPr>
      </w:pPr>
    </w:p>
    <w:p>
      <w:pPr>
        <w:ind w:left="440" w:right="3939"/>
        <w:spacing w:after="0" w:line="255" w:lineRule="auto"/>
        <w:rPr>
          <w:sz w:val="20"/>
          <w:szCs w:val="20"/>
          <w:color w:val="auto"/>
        </w:rPr>
      </w:pPr>
      <w:r>
        <w:rPr>
          <w:rFonts w:ascii="Courier New" w:cs="Courier New" w:eastAsia="Courier New" w:hAnsi="Courier New"/>
          <w:sz w:val="14"/>
          <w:szCs w:val="14"/>
          <w:color w:val="auto"/>
        </w:rPr>
        <w:t>For purposes of the preceding sentence, "stock" does not include any stock which</w:t>
      </w:r>
    </w:p>
    <w:p>
      <w:pPr>
        <w:spacing w:after="0" w:line="160" w:lineRule="exact"/>
        <w:rPr>
          <w:sz w:val="20"/>
          <w:szCs w:val="20"/>
          <w:color w:val="auto"/>
        </w:rPr>
      </w:pPr>
    </w:p>
    <w:p>
      <w:pPr>
        <w:ind w:left="1300" w:hanging="344"/>
        <w:spacing w:after="0"/>
        <w:tabs>
          <w:tab w:leader="none" w:pos="130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entitled to vote,</w:t>
      </w:r>
    </w:p>
    <w:p>
      <w:pPr>
        <w:spacing w:after="0" w:line="172" w:lineRule="exact"/>
        <w:rPr>
          <w:rFonts w:ascii="Courier New" w:cs="Courier New" w:eastAsia="Courier New" w:hAnsi="Courier New"/>
          <w:sz w:val="14"/>
          <w:szCs w:val="14"/>
          <w:color w:val="auto"/>
        </w:rPr>
      </w:pPr>
    </w:p>
    <w:p>
      <w:pPr>
        <w:ind w:left="440" w:right="4379" w:firstLine="516"/>
        <w:spacing w:after="0" w:line="255" w:lineRule="auto"/>
        <w:tabs>
          <w:tab w:leader="none" w:pos="130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limited and preferred as to dividends and does not participate in corporate growth to any significant extent,</w:t>
      </w:r>
    </w:p>
    <w:p>
      <w:pPr>
        <w:spacing w:after="0" w:line="159" w:lineRule="exact"/>
        <w:rPr>
          <w:rFonts w:ascii="Courier New" w:cs="Courier New" w:eastAsia="Courier New" w:hAnsi="Courier New"/>
          <w:sz w:val="14"/>
          <w:szCs w:val="14"/>
          <w:color w:val="auto"/>
        </w:rPr>
      </w:pPr>
    </w:p>
    <w:p>
      <w:pPr>
        <w:ind w:left="440" w:right="3939" w:firstLine="516"/>
        <w:spacing w:after="0" w:line="252" w:lineRule="auto"/>
        <w:tabs>
          <w:tab w:leader="none" w:pos="130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redemption and liquidation rights which do not exceed the issue price of such stock (except for a reasonable redemption or liquidation premium), and</w:t>
      </w:r>
    </w:p>
    <w:p>
      <w:pPr>
        <w:spacing w:after="0" w:line="162" w:lineRule="exact"/>
        <w:rPr>
          <w:rFonts w:ascii="Courier New" w:cs="Courier New" w:eastAsia="Courier New" w:hAnsi="Courier New"/>
          <w:sz w:val="14"/>
          <w:szCs w:val="14"/>
          <w:color w:val="auto"/>
        </w:rPr>
      </w:pPr>
    </w:p>
    <w:p>
      <w:pPr>
        <w:ind w:left="1300" w:hanging="344"/>
        <w:spacing w:after="0"/>
        <w:tabs>
          <w:tab w:leader="none" w:pos="130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convertible into another class of stock.</w:t>
      </w:r>
    </w:p>
    <w:p>
      <w:pPr>
        <w:spacing w:after="0" w:line="172"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Merger, Company will hold at least 90% of the fair market value of the net assets and at least 70% of the fair market value of the gross assets held by Merger Subsidiary immediately prior to the Merger, and at least 90% of the fair market value of the net assets and at least 70% of the fair market value of the gross assets held by Company immediately prior to the Merger. For purposes of this representation, assets of Merger Subsidiary or Company held immediately prior to the Merger include amounts paid or incurred by Merger Subsidiary or Company in connection with the Merger, including amounts used to pay reorganization expenses or dissenting shareholders or to make payments to shareholders who receive cash or other property (including cash in lieu of fractional shares) and all payments, redemptions and distributions (except for regular, normal dividends) made in contemplation or as part of the Merger.</w:t>
      </w:r>
    </w:p>
    <w:p>
      <w:pPr>
        <w:spacing w:after="0" w:line="328" w:lineRule="exact"/>
        <w:rPr>
          <w:rFonts w:ascii="Courier New" w:cs="Courier New" w:eastAsia="Courier New" w:hAnsi="Courier New"/>
          <w:sz w:val="14"/>
          <w:szCs w:val="14"/>
          <w:color w:val="auto"/>
        </w:rPr>
      </w:pPr>
    </w:p>
    <w:p>
      <w:pPr>
        <w:ind w:right="3419" w:firstLine="611"/>
        <w:spacing w:after="0" w:line="251"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and at the Effective Time of the Merger, Parent will be in Control of Merger Subsidiary. Merger Subsidiary is wholly and directly owned by Parent and has been newly formed solely in order to consummate the Merger, and at no time has or will Merger Subsidiary conduct any business activities or other operations of any kind other than the issuance of its stock to Parent prior to the Effective Time. For purposes of this Certificate, "Control" with respect to a corporation shall mean ownership of at least 80% of the total combined voting power of all classes of stock entitled to vote and at least 80% of the total number of shares of each other class of stock of the corporation.</w:t>
      </w:r>
    </w:p>
    <w:p>
      <w:pPr>
        <w:spacing w:after="0" w:line="163" w:lineRule="exact"/>
        <w:rPr>
          <w:rFonts w:ascii="Courier New" w:cs="Courier New" w:eastAsia="Courier New" w:hAnsi="Courier New"/>
          <w:sz w:val="14"/>
          <w:szCs w:val="14"/>
          <w:color w:val="auto"/>
        </w:rPr>
      </w:pPr>
    </w:p>
    <w:p>
      <w:pPr>
        <w:ind w:right="3339" w:firstLine="611"/>
        <w:spacing w:after="0" w:line="252"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has no plan or intention to cause Company to issue additional shares of stock, or any plan or intention to take any action, that could result in Parent losing Control of Company.</w:t>
      </w:r>
    </w:p>
    <w:p>
      <w:pPr>
        <w:spacing w:after="0" w:line="162"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no plan or intention to liquidate Company, to merge Company with or into another corporation, to sell, exchange, transfer or otherwise dispose of any stock of Company or to cause Company to sell, exchange, transfer or otherwise dispose of any of its assets or of any assets</w:t>
      </w:r>
    </w:p>
    <w:p>
      <w:pPr>
        <w:spacing w:after="0" w:line="1"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from Merger Subsidiary in the Merger, except for (i) dispositions made in the ordinary course of business, (ii) transfers or successive transfers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A-C-1-3</w:t>
      </w:r>
    </w:p>
    <w:p>
      <w:pPr>
        <w:sectPr>
          <w:pgSz w:w="11900" w:h="16838" w:orient="portrait"/>
          <w:cols w:equalWidth="0" w:num="1">
            <w:col w:w="10239"/>
          </w:cols>
          <w:pgMar w:left="220" w:top="782"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each case the transferor is in Control of the transferee, or (iii) arm's length dispositions to unrelated persons other than dispositions which would result in Parent ceasing to use a significant portion of the Company's historic business assets in a business.</w:t>
      </w:r>
    </w:p>
    <w:p>
      <w:pPr>
        <w:spacing w:after="0" w:line="162" w:lineRule="exact"/>
        <w:rPr>
          <w:sz w:val="20"/>
          <w:szCs w:val="20"/>
          <w:color w:val="auto"/>
        </w:rPr>
      </w:pPr>
    </w:p>
    <w:p>
      <w:pPr>
        <w:ind w:right="3519" w:firstLine="611"/>
        <w:spacing w:after="0" w:line="255" w:lineRule="auto"/>
        <w:tabs>
          <w:tab w:leader="none" w:pos="86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Merger Subsidiary will have no liabilities assumed by Company and will not transfer to Company any assets subject to liabilities.</w:t>
      </w:r>
    </w:p>
    <w:p>
      <w:pPr>
        <w:spacing w:after="0" w:line="159"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will cause Company to continue its historic business or use a significant portion of its historic business assets in a business. For this purpose, Parent will be treated as holding all of the businesses and assets of its Qualified Group and Parent will be treated as owning its proportionate share of the Company business assets used in a business of any partnership in which members of Parent's Qualified Group either own a significant interest or have active and substantial management functions as a partner with respect to that partnership business. A Qualified Group is one or more chains of corporations connected through stock ownership with Parent but only if Parent is in Control of at least one other corporation and each of the corporations (other than Parent) is Controlled directly by one of the other corporations.</w:t>
      </w:r>
    </w:p>
    <w:p>
      <w:pPr>
        <w:spacing w:after="0" w:line="328"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below, Parent, Merger Subsidiary, Company and the Company shareholders each will bear its or their own expenses, if any, incurred in connection with or as part of the Merger or related transactions. However, to the extent any expenses related to the Merger are to be funded directly or indirectly by a party other than the incurring party, such expenses are solely and directly related to the Merger, and do not include expenses incurred for investment or estate planning advice, or expenses incurred by an individual shareholder or group of shareholders for legal, accounting or investment advice or counsel relating to the merger. Neither Parent nor Merger Subsidiary has paid or will pay, directly or indirectly, any expenses (including transfer taxes) incurred or to be incurred by any holder of Company Stock or Series B Preferred Stock in connection with or as part of the Merger or any related transactions; provided that any stamp duties and stamp duty reserve taxes in connection with the issuance and creation of Parent Stock or Series B Preferred Stock of Parent in the Merger will be paid by Parent. Neither Parent nor Merger Subsidiary has agreed to assume, nor will it directly or indirectly assume, any other expense or other liability, whether fixed or contingent, of any holder of Company Stock or Series B Preferred Stock. To the extent that any transfer tax or other expense is a liability of a shareholder of Company, such liability will be paid by Company or such shareholder, but in no event by Parent.</w:t>
      </w:r>
    </w:p>
    <w:p>
      <w:pPr>
        <w:spacing w:after="0" w:line="174" w:lineRule="exact"/>
        <w:rPr>
          <w:rFonts w:ascii="Courier New" w:cs="Courier New" w:eastAsia="Courier New" w:hAnsi="Courier New"/>
          <w:sz w:val="14"/>
          <w:szCs w:val="14"/>
          <w:color w:val="auto"/>
        </w:rPr>
      </w:pPr>
    </w:p>
    <w:p>
      <w:pPr>
        <w:jc w:val="both"/>
        <w:ind w:right="3599" w:firstLine="525"/>
        <w:spacing w:after="0" w:line="252" w:lineRule="auto"/>
        <w:tabs>
          <w:tab w:leader="none" w:pos="86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or between Merger Subsidiary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Parent Stock into which shares of Company Stock will be converted pursuant to the Merger will be newly issued or treasury shares, and will be issued by Parent directly to record holders of Company Stock pursuant to the Merger. All shares of Parent Preferred Stock into which Series B Preferred Stock will be converted will be newly issued and will be issued by Parent directly to record holders of Series B Preferred Stock pursuant to the Merger.</w:t>
      </w:r>
    </w:p>
    <w:p>
      <w:pPr>
        <w:spacing w:after="0" w:line="164" w:lineRule="exact"/>
        <w:rPr>
          <w:rFonts w:ascii="Courier New" w:cs="Courier New" w:eastAsia="Courier New" w:hAnsi="Courier New"/>
          <w:sz w:val="14"/>
          <w:szCs w:val="14"/>
          <w:color w:val="auto"/>
        </w:rPr>
      </w:pPr>
    </w:p>
    <w:p>
      <w:pPr>
        <w:ind w:right="3339" w:firstLine="525"/>
        <w:spacing w:after="0" w:line="250" w:lineRule="auto"/>
        <w:tabs>
          <w:tab w:leader="none" w:pos="86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shares of Company Stock and Series B Preferred Stock representing Control of Company will be exchanged solely for voting stock of Parent and cash in lieu of fractional shares. Under the Agreement, all shares of Company Stock and Series B Preferred Stock as to which dissenters' rights are not perfected will be exchanged in the Merger for voting stock of Parent and cash in lieu of fractional shares. For purposes of this representation, if any stock of Company is exchanged for cash or other property originating with Parent, such stock will be treated as outstanding stock of Company acquired by Parent at the Effective Time. The payment of cash in lieu of fractional shares of Parent Stock to holders of Company Stock is solely for the purpose of avoiding the expense and inconvenience to Parent of issuing fractional</w:t>
      </w:r>
    </w:p>
    <w:p>
      <w:pPr>
        <w:spacing w:after="0" w:line="4" w:lineRule="exact"/>
        <w:rPr>
          <w:rFonts w:ascii="Courier New" w:cs="Courier New" w:eastAsia="Courier New" w:hAnsi="Courier New"/>
          <w:sz w:val="14"/>
          <w:szCs w:val="14"/>
          <w:color w:val="auto"/>
        </w:rPr>
      </w:pPr>
    </w:p>
    <w:p>
      <w:pPr>
        <w:ind w:right="39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and does not represent separately bargained for consideration. To the best knowledge of the management of Parent, the total cash consideration that will be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A-C-1-4</w:t>
      </w:r>
    </w:p>
    <w:p>
      <w:pPr>
        <w:sectPr>
          <w:pgSz w:w="11900" w:h="16838" w:orient="portrait"/>
          <w:cols w:equalWidth="0" w:num="1">
            <w:col w:w="10239"/>
          </w:cols>
          <w:pgMar w:left="220" w:top="782" w:right="1440" w:bottom="1440" w:gutter="0" w:footer="0" w:header="0"/>
        </w:sectPr>
      </w:pPr>
    </w:p>
    <w:bookmarkStart w:id="195" w:name="page196"/>
    <w:bookmarkEnd w:id="19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the Merger to holders of Company Stock instead of issuing fractional shares of Parent Stock will not exceed one percent of the total consideration that will be issued to the holders of Company Stock in the Merger.</w:t>
      </w:r>
    </w:p>
    <w:p>
      <w:pPr>
        <w:spacing w:after="0" w:line="163" w:lineRule="exact"/>
        <w:rPr>
          <w:sz w:val="20"/>
          <w:szCs w:val="20"/>
          <w:color w:val="auto"/>
        </w:rPr>
      </w:pPr>
    </w:p>
    <w:p>
      <w:pPr>
        <w:ind w:right="3419" w:firstLine="525"/>
        <w:spacing w:after="0" w:line="251"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no liabilities of shareholders of Company will be assumed by Parent, and Parent will not assume any liabilities relating to any Company Stock or Series B Preferred Stock acquired by Parent in the Merger. Furthermore, there is no plan or intention for Parent to assume any liabilities of Company.</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Preferred Stock is the only class of stock of Company that grants its holders dissenters' rights. In the event that any holders of Series B Preferred Stock of Company do not vote in favor of the Merger and perfect their right to appraisal and payment, any amounts paid to such holders in an appraisal proceeding will be paid by Company out of its own funds. No funds will be supplied for such payments, directly or indirectly, by Parent, nor will Parent directly or indirectly reimburse Company for any such payments.</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Merger Subsidiary is a regulated investment company, a real estate investment trust, or a corporation fifty percent (50%) or more of the value of whose assets are stock and securities and eighty percent (80%) or more of the value of whose total assets are assets held for investment (each, an "Investment Company"). For purposes of this representation, in making the 50% and 80% determinations under the preceding sentence, (i) stock and securities in any subsidiary corporation shall be disregarded and the parent corporation shall be deemed to own its ratable share of the subsidiary's assets, and (ii) a corporation shall be considered a subsidiary if the parent owns 50% or more of the combined voting power of all classes of stock entitled to vote or 50% or more of the total value of shares of all classes of stock outstanding. In determining total assets there shall be excluded cash and cash items (including receivables), government securities, and assets acquired (through incurring indebtedness or otherwise) for purposes of ceasing to be an Investment Company.</w:t>
      </w:r>
    </w:p>
    <w:p>
      <w:pPr>
        <w:spacing w:after="0" w:line="162" w:lineRule="exact"/>
        <w:rPr>
          <w:rFonts w:ascii="Courier New" w:cs="Courier New" w:eastAsia="Courier New" w:hAnsi="Courier New"/>
          <w:sz w:val="14"/>
          <w:szCs w:val="14"/>
          <w:color w:val="auto"/>
        </w:rPr>
      </w:pPr>
    </w:p>
    <w:p>
      <w:pPr>
        <w:ind w:right="3519" w:firstLine="525"/>
        <w:spacing w:after="0" w:line="251"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employee compensation received or to be received by any shareholder-employees of Company is or will be separate consideration for, or allocable to, any of their shares of Company Stock or Series B Preferred Stock to be surrendered in the Merger. None of the shares of Parent Stock or Parent Preferred Stock to be received by any shareholder-employee of Company in the Merger is or will be separate consideration for, or allocable to, any employment, consulting or similar arrangement. Any compensation paid or to be paid to any shareholder of Company, who will be an employee of or perform advisory services for Parent, Company, or any affiliate thereof after the Merger, will be determined by bargaining at arm's length.</w:t>
      </w:r>
    </w:p>
    <w:p>
      <w:pPr>
        <w:spacing w:after="0" w:line="163"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neither Parent nor any Parent Related Person will own any class of stock of Company or any securities of Company or any instrument giving the holder the right to acquire any such stock or securities except for the Option Agreement that appears as Exhibit A to the Agreement.</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being effected for bona fide business reasons and will be carried out strictly in accordance with the Agreement, and as described in the Proxy Statement, and none of the material terms and conditions therein have been or will be waived or modified.</w:t>
      </w:r>
    </w:p>
    <w:p>
      <w:pPr>
        <w:spacing w:after="0" w:line="162"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the documents described in the Agreement, the Proxy Statement and the Form S-4 represent the entire understanding between or among</w:t>
      </w:r>
    </w:p>
    <w:p>
      <w:pPr>
        <w:ind w:right="3519" w:firstLine="8"/>
        <w:spacing w:after="0" w:line="251" w:lineRule="auto"/>
        <w:tabs>
          <w:tab w:leader="none" w:pos="34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and (ii) Company and its subsidiaries and, to the best knowledge of the management of Parent, between or among such entities and the affiliates and shareholders of Parent and Company with respect to the Merger and there are no written or oral agreements regarding the Merger other than those expressly referred to in the Agreement, the Proxy Statement and the Form S-4.</w:t>
      </w:r>
    </w:p>
    <w:p>
      <w:pPr>
        <w:spacing w:after="0" w:line="164"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Parent, Merger Subsidiary or, after the Merger, Company will take any position on any Federal, state, or local income or franchise tax return, or take any other tax reporting position, that is inconsistent with the treatment of the Merger as a tax-free reorganization or any of the foregoing representations,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A-C-1-5</w:t>
      </w:r>
    </w:p>
    <w:p>
      <w:pPr>
        <w:sectPr>
          <w:pgSz w:w="11900" w:h="16838" w:orient="portrait"/>
          <w:cols w:equalWidth="0" w:num="1">
            <w:col w:w="10239"/>
          </w:cols>
          <w:pgMar w:left="220" w:top="782"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required by a decision by the Tax Court or a judgment, decree, or other order by any court of competent jurisdiction, which has become final, or by applicable state or local income or franchise tax law.</w:t>
      </w:r>
    </w:p>
    <w:p>
      <w:pPr>
        <w:spacing w:after="0" w:line="163" w:lineRule="exact"/>
        <w:rPr>
          <w:sz w:val="20"/>
          <w:szCs w:val="20"/>
          <w:color w:val="auto"/>
        </w:rPr>
      </w:pPr>
    </w:p>
    <w:p>
      <w:pPr>
        <w:ind w:right="3419" w:firstLine="525"/>
        <w:spacing w:after="0" w:line="251" w:lineRule="auto"/>
        <w:tabs>
          <w:tab w:leader="none" w:pos="86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cash in lieu of fractional shares, Parent will acquire the Company Stock and the Series B Preferred Stock solely in exchange for voting shares of Parent Stock and Parent Preferred Stock. For purposes of this representation, stock of Company redeemed for cash or other property furnished by Parent will be considered as acquired by Parent. Further, no liabilities of Company or the Company shareholders will be assumed by Parent, and Parent will not assume any liabilities relating to any Company Stock or Series B Preferred Stock acquired by Parent in the Merger.</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understand that Davis Polk &amp; Wardwell and Skadden, Arps, Slate, Meagher</w:t>
      </w:r>
    </w:p>
    <w:p>
      <w:pPr>
        <w:spacing w:after="0" w:line="7" w:lineRule="exact"/>
        <w:rPr>
          <w:sz w:val="20"/>
          <w:szCs w:val="20"/>
          <w:color w:val="auto"/>
        </w:rPr>
      </w:pPr>
    </w:p>
    <w:p>
      <w:pPr>
        <w:ind w:right="3339" w:firstLine="8"/>
        <w:spacing w:after="0" w:line="251" w:lineRule="auto"/>
        <w:tabs>
          <w:tab w:leader="none" w:pos="17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Flom LLP will rely, without further inquiry, on this Certificate in rendering their opinions as to certain United States Federal income tax consequences of the Merger, and we will promptly and timely inform them if, after signing this Certificate, we have reason to believe that any of the facts described herein or in the Proxy Statement or any of the representations made in this Certificate are or have become untrue, incorrect or incomplete in any respect.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EXXON CORPORATION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LION ACQUISITION SUBSIDIARY CORPORATION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A-C-1-6</w:t>
      </w:r>
    </w:p>
    <w:p>
      <w:pPr>
        <w:sectPr>
          <w:pgSz w:w="11900" w:h="16838" w:orient="portrait"/>
          <w:cols w:equalWidth="0" w:num="1">
            <w:col w:w="10239"/>
          </w:cols>
          <w:pgMar w:left="220" w:top="782" w:right="1440" w:bottom="1440" w:gutter="0" w:footer="0" w:header="0"/>
        </w:sectPr>
      </w:pPr>
    </w:p>
    <w:bookmarkStart w:id="197" w:name="page198"/>
    <w:bookmarkEnd w:id="19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C-2 TO ANNEX A</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(as amended April 2, 1999)</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MOBIL CORPORATION REPRESENTATION LETTER</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opinions to be delivered pursuant to Sections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8.02(e) and 8.03(b) of the Agreement and Plan of Merger (the "Agreement")*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1, 1998, among Mobil, a Delaware corporation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New Jersey corporation ("Parent"), and Lion Acquisition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 Delaware corporation and a wholly-owned subsidiary of Parent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 and the opinions which, pursuant to the requirements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601(b)(8) of Regulation S-K under the Securities Act of 1933,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included in the Registration Statement on Form S-4,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Company hereby certifies and represents as to Company that the facts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merger (the "Merger") of Merger Subsidiary with and into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Agreement and as described in the Joint Proxy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Statement/Prospectus of Parent and Company relating to the Merger (the "Proxy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are true, correct and complete in all respects as of the date 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will be true correct and complete in all respects at the Effective Time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right="3339" w:firstLine="611"/>
        <w:spacing w:after="0" w:line="251" w:lineRule="auto"/>
        <w:tabs>
          <w:tab w:leader="none" w:pos="861"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and Preferred Merger Consideration to be received in the Merger by holders of common stock of the Company ("Company Stock") and Series B Preferred Stock of Company ("Series B Preferred Stock"), respectively, was determined by arm's length negotiations between the managements of Parent and Company and will be approximately equal to the fair market value of the Company Stock and Series B Preferred Stock, respectively, surrendered in exchange. In connection with the Merger, no holder of Company Stock will receive in exchange for such stock, directly or indirectly, any consideration other than common stock of Parent ("Parent Stock") and, in lieu of fractional shares of Parent Stock, cash. In connection with the Merger, no holder of Series B Preferred Stock of Company, other than any such holders who dissent in the Merger and perfect their right to appraisal and payment, will receive in exchange for such stock, directly or indirectly, any consideration other than preferred stock to be issued by Parent ("Parent Preferred Stock") at the Effective Time.</w:t>
      </w:r>
    </w:p>
    <w:p>
      <w:pPr>
        <w:spacing w:after="0" w:line="328"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management of Company, there is no plan or intention on the part of holders of Company Stock or Series B Preferred Stock to sell, exchange or otherwise transfer ownership (including by derivative transactions such as a an equity swap which would have the economic effect of a transfer of ownership) to Parent, Company or any Related Person with</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respect to either of them, directly or indirectly</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*References contained in this Certificate to the Agreement include, unless the context otherwise requires, each document attached as an exhibit or annex. All defined terms used herein and not otherwise defined have the meaning ascribed to them in the Agreement.</w:t>
      </w:r>
    </w:p>
    <w:p>
      <w:pPr>
        <w:sectPr>
          <w:pgSz w:w="11900" w:h="16838" w:orient="portrait"/>
          <w:cols w:equalWidth="0" w:num="1">
            <w:col w:w="10239"/>
          </w:cols>
          <w:pgMar w:left="220" w:top="782"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(including through partnerships or through third parties in connection with a plan to so transfer ownership), of a number of shares of Parent Stock or Parent Preferred Stock to be received by Company shareholders in connection with the Merger that would reduce the Company shareholders' ownership of Parent Stock and Parent Preferred Stock to a number of shares having a value, as of the Effective Time, of less than 50% of the total value of all of the formerly outstanding stock of Company immediately prior to the Effective Time. For purposes of this representation, shares of Company Stock exchanged for cash in lieu of fractional shares of Parent Stock and Series B Preferred Stock redeemed pursuant to the perfection of the holder's appraisal rights are treated as outstanding shares of Company Stock or Series B Preferred Stock at the Effective Time. Moreover, shares of Company Stock and Parent Stock and Parent Preferred Stock held by shareholders of Company that are redeemed or sold or otherwise transferred to Company, Parent, or any person related to Company or Parent prior or subsequent to the Merger and in contemplation or as part of the Merger will be taken into account for purposes of this representation.</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For purposes of this Certificate, a Related Person with respect to either Parent or Company shall mean</w:t>
      </w:r>
    </w:p>
    <w:p>
      <w:pPr>
        <w:spacing w:after="0" w:line="160" w:lineRule="exact"/>
        <w:rPr>
          <w:sz w:val="20"/>
          <w:szCs w:val="20"/>
          <w:color w:val="auto"/>
        </w:rPr>
      </w:pPr>
    </w:p>
    <w:p>
      <w:pPr>
        <w:ind w:left="440" w:right="3779" w:firstLine="430"/>
        <w:spacing w:after="0" w:line="252" w:lineRule="auto"/>
        <w:tabs>
          <w:tab w:leader="none" w:pos="121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immediately before or immediately after such purchase, exchange, redemption, or other acquisition, is a member of an Affiliated Group (as defined herein) of which Parent or Company, as the case may be, (or any successor corporation) is a member, or</w:t>
      </w:r>
    </w:p>
    <w:p>
      <w:pPr>
        <w:spacing w:after="0" w:line="162" w:lineRule="exact"/>
        <w:rPr>
          <w:rFonts w:ascii="Courier New" w:cs="Courier New" w:eastAsia="Courier New" w:hAnsi="Courier New"/>
          <w:sz w:val="14"/>
          <w:szCs w:val="14"/>
          <w:color w:val="auto"/>
        </w:rPr>
      </w:pPr>
    </w:p>
    <w:p>
      <w:pPr>
        <w:ind w:left="440" w:right="3779" w:firstLine="344"/>
        <w:spacing w:after="0" w:line="251" w:lineRule="auto"/>
        <w:tabs>
          <w:tab w:leader="none" w:pos="121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in which Parent or Company, as the case may be, (or any successor corporation), owns, or which owns with respect to Parent or Company, as the case may be, (or any successor corporation) directly or indirectly, immediately before or immediately after such purchase, exchange, redemption, or other acquisition, at least 50% of the total combined voting power of all classes of stock entitled to vote or at least 50% of the total value of shares of all classes of stock, taking into account for purposes of this clause (ii) any stock owned by 5% or greater stockholders of Parent or Company, as the case may be, (or any successor) or such corporation, a proportionate share of the stock owned by entities in which Parent or Company, as the case may be, (or any successor) or such corporation owns an interest, and any stock which may be acquired pursuant to the exercise of options.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purposes of this Certificate, "Affiliated Group" shall mean one or more chains of corporations connected through stock ownership with a common parent corporation, but only if</w:t>
      </w:r>
    </w:p>
    <w:p>
      <w:pPr>
        <w:spacing w:after="0" w:line="163" w:lineRule="exact"/>
        <w:rPr>
          <w:sz w:val="20"/>
          <w:szCs w:val="20"/>
          <w:color w:val="auto"/>
        </w:rPr>
      </w:pPr>
    </w:p>
    <w:p>
      <w:pPr>
        <w:ind w:left="440" w:right="3779" w:firstLine="430"/>
        <w:spacing w:after="0" w:line="252" w:lineRule="auto"/>
        <w:tabs>
          <w:tab w:leader="none" w:pos="121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parent owns directly stock that possesses at least 80% of the total voting power, and has a value at least equal to 80% of the total value, of the stock in at least one of the other corporations, and</w:t>
      </w:r>
    </w:p>
    <w:p>
      <w:pPr>
        <w:spacing w:after="0" w:line="162" w:lineRule="exact"/>
        <w:rPr>
          <w:rFonts w:ascii="Courier New" w:cs="Courier New" w:eastAsia="Courier New" w:hAnsi="Courier New"/>
          <w:sz w:val="14"/>
          <w:szCs w:val="14"/>
          <w:color w:val="auto"/>
        </w:rPr>
      </w:pPr>
    </w:p>
    <w:p>
      <w:pPr>
        <w:jc w:val="both"/>
        <w:ind w:left="440" w:right="3859" w:firstLine="430"/>
        <w:spacing w:after="0" w:line="252" w:lineRule="auto"/>
        <w:tabs>
          <w:tab w:leader="none" w:pos="121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possessing at least 80% of the total voting power, and having a value at least equal to 80% of the total value, of the stock in each corporation (except the common parent) is owned directly by one or more of the other corporations.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the preceding sentence, "stock" does not include any stock which</w:t>
      </w:r>
    </w:p>
    <w:p>
      <w:pPr>
        <w:spacing w:after="0" w:line="7" w:lineRule="exact"/>
        <w:rPr>
          <w:sz w:val="20"/>
          <w:szCs w:val="20"/>
          <w:color w:val="auto"/>
        </w:rPr>
      </w:pPr>
    </w:p>
    <w:p>
      <w:pPr>
        <w:ind w:right="3599" w:firstLine="8"/>
        <w:spacing w:after="0" w:line="251" w:lineRule="auto"/>
        <w:tabs>
          <w:tab w:leader="none" w:pos="344"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entitled to vote, (b) is limited and preferred as to dividends and does not participate in corporate growth to any significant extent, (c) has redemption and liquidation rights which do not exceed the issue price of such stock (except for a reasonable redemption or liquidation premium), and (d) is not convertible into another class of stock.</w:t>
      </w:r>
    </w:p>
    <w:p>
      <w:pPr>
        <w:spacing w:after="0" w:line="164"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Merger, to the knowledge of the management of Company, Company will hold at least 90% of the fair market value of the net assets and at least 70% of the fair market value of the gross assets held by Merger Subsidiary immediately prior to the Merger and at least 90% of the fair market value of the net assets and at least 70% of the fair market value of the gross assets held by Company immediately prior to the Merger. For purposes of this representation, assets of Merger Subsidiary or Company held immediately prior to the Merger include amounts paid or incurred by Merger Subsidiary or Company in connection with the Merger, including amounts used to pay Company's reorganization expenses or dissenting shareholders or to make payments to shareholders who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A-C-2-2</w:t>
      </w:r>
    </w:p>
    <w:p>
      <w:pPr>
        <w:sectPr>
          <w:pgSz w:w="11900" w:h="16838" w:orient="portrait"/>
          <w:cols w:equalWidth="0" w:num="1">
            <w:col w:w="10239"/>
          </w:cols>
          <w:pgMar w:left="220" w:top="782" w:right="1440" w:bottom="1440" w:gutter="0" w:footer="0" w:header="0"/>
        </w:sectPr>
      </w:pPr>
    </w:p>
    <w:bookmarkStart w:id="199" w:name="page200"/>
    <w:bookmarkEnd w:id="19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cash or other property (including cash in lieu of fractional shares) and all payments, redemptions and distributions (except for regular, normal dividends, if any) made in contemplation or as part of the Merger. Any dispositions in contemplation or as part of the Merger of assets held by Company prior to the Merger will be for fair market value, and the proceeds thereof will be retained by the Company.</w:t>
      </w:r>
    </w:p>
    <w:p>
      <w:pPr>
        <w:spacing w:after="0" w:line="164" w:lineRule="exact"/>
        <w:rPr>
          <w:sz w:val="20"/>
          <w:szCs w:val="20"/>
          <w:color w:val="auto"/>
        </w:rPr>
      </w:pPr>
    </w:p>
    <w:p>
      <w:pPr>
        <w:ind w:right="3339" w:firstLine="611"/>
        <w:spacing w:after="0" w:line="251" w:lineRule="auto"/>
        <w:tabs>
          <w:tab w:leader="none" w:pos="86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 plan or intention to issue additional shares of its stock that would result in Parent losing Control of the Company. For purposes of this Certificate, "Control" with respect to a corporation shall mean ownership of at least 80% of the total combined voting power of all classes of stock entitled to vote and at least 80% of the total number of shares of each other class of stock of the corporation.</w:t>
      </w:r>
    </w:p>
    <w:p>
      <w:pPr>
        <w:spacing w:after="0" w:line="164" w:lineRule="exact"/>
        <w:rPr>
          <w:rFonts w:ascii="Courier New" w:cs="Courier New" w:eastAsia="Courier New" w:hAnsi="Courier New"/>
          <w:sz w:val="14"/>
          <w:szCs w:val="14"/>
          <w:color w:val="auto"/>
        </w:rPr>
      </w:pPr>
    </w:p>
    <w:p>
      <w:pPr>
        <w:ind w:right="3339" w:firstLine="611"/>
        <w:spacing w:after="0" w:line="252" w:lineRule="auto"/>
        <w:tabs>
          <w:tab w:leader="none" w:pos="86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to the knowledge of the management of Company, Merger Subsidiary will have no liabilities assumed by the Company and will not transfer to Company any assets subject to liabilities.</w:t>
      </w:r>
    </w:p>
    <w:p>
      <w:pPr>
        <w:spacing w:after="0" w:line="162"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assets of Company have been sold, transferred or otherwise disposed of which would prevent Parent from continuing the historic business of Company or from using a significant portion of Company's historic business assets in a business following the merger, and Company intends to continue its historic business or use a significant portion of its historic business assets in a business.</w:t>
      </w:r>
    </w:p>
    <w:p>
      <w:pPr>
        <w:spacing w:after="0" w:line="164"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specified below, Parent, Merger Subsidiary, Company and the Company shareholders each will bear its or their own expenses, if any, incurred in connection with or as part of the Merger or related transactions. However, to the extent any expenses related to the Merger are to be funded directly or indirectly by a party other than the incurring party, such expenses are solely and directly related to the Merger, and do not include expenses incurred for investment or estate planning advice, or expenses incurred by an individual shareholder or group of shareholders for legal, accounting or investment advice or counsel relating to the merger. Company has not paid or will not pay, directly or indirectly, any expenses incurred by any shareholder of Company in connection with or as part of the Merger or any related transactions; provided that all liability for transfer taxes (except for stamp duties and stamp duty reserve taxes to be paid by Parent in connection with the issuance and creation of Parent Stock or Parent Preferred Stock in the Merger) incurred by the holders of Company Stock or Series B Preferred Stock will be paid by Company or the Company shareholders and in no event by Parent. Company has not agreed to assume, nor will it directly or indirectly assume, any other expense or other liability, whether fixed or contingent, of any holder of Company Stock or Series B Preferred Stock.</w:t>
      </w:r>
    </w:p>
    <w:p>
      <w:pPr>
        <w:spacing w:after="0" w:line="339" w:lineRule="exact"/>
        <w:rPr>
          <w:rFonts w:ascii="Courier New" w:cs="Courier New" w:eastAsia="Courier New" w:hAnsi="Courier New"/>
          <w:sz w:val="14"/>
          <w:szCs w:val="14"/>
          <w:color w:val="auto"/>
        </w:rPr>
      </w:pPr>
    </w:p>
    <w:p>
      <w:pPr>
        <w:jc w:val="both"/>
        <w:ind w:right="3599" w:firstLine="611"/>
        <w:spacing w:after="0" w:line="252" w:lineRule="auto"/>
        <w:tabs>
          <w:tab w:leader="none" w:pos="86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or between Merger Subsidiary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left="860" w:hanging="249"/>
        <w:spacing w:after="0"/>
        <w:tabs>
          <w:tab w:leader="none" w:pos="8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no authorized stock other than common stock par value</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$1.00 per share, and preferred stock, par value $1.00 per share. At the date hereof, the only capital stock of Company issued and outstanding is Company Stock and Series B Preferred Stock.</w:t>
      </w:r>
    </w:p>
    <w:p>
      <w:pPr>
        <w:spacing w:after="0" w:line="163" w:lineRule="exact"/>
        <w:rPr>
          <w:sz w:val="20"/>
          <w:szCs w:val="20"/>
          <w:color w:val="auto"/>
        </w:rPr>
      </w:pPr>
    </w:p>
    <w:p>
      <w:pPr>
        <w:ind w:right="3339" w:firstLine="525"/>
        <w:spacing w:after="0" w:line="250" w:lineRule="auto"/>
        <w:tabs>
          <w:tab w:leader="none" w:pos="861"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Company Stock and Series B Preferred Stock representing Control of Company will be exchanged solely for voting stock of Parent other than cash in lieu of fractional shares. For purposes of this representation, stock of Company exchanged for cash or other property originating with Parent, if any, will be treated as outstanding stock of Company acquired by Parent at the Effective Time. The payment of cash in lieu of fractional shares of Parent stock to holders of Company Stock is solely for the purpose of avoiding the expense and inconvenience to Parent of issuing fractional shares and does not represent separately bargained for consideration. To the best knowledge of the management of Company, the total cash consideration that will be paid in the Merger to holders of Company Stock instead of issuing fractional shares of Parent Stock will not exceed one percent of the total consideration that</w:t>
      </w:r>
    </w:p>
    <w:p>
      <w:pPr>
        <w:spacing w:after="0" w:line="5"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 be issued to the holders of Company Stock in the Merger. To the best knowledge of the management of Company, the fractional share interest of each Company shareholder will be aggregated,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A-C-2-3</w:t>
      </w:r>
    </w:p>
    <w:p>
      <w:pPr>
        <w:sectPr>
          <w:pgSz w:w="11900" w:h="16838" w:orient="portrait"/>
          <w:cols w:equalWidth="0" w:num="1">
            <w:col w:w="10239"/>
          </w:cols>
          <w:pgMar w:left="220" w:top="782"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Company shareholder is intended to receive cash in an amount greater than the value of one full share of Parent Stock.</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11. There exist no options, warrants, convertible securities, equity-linked securities or other rights to acquire Company Stock or Series B Preferred Stock (whether settled in stock or cash) other than rights pursuant to the Company Rights, the Series B Preferred Stock, the Option Agreement, the Company Awards and employee stock options and employee stock purchase plans in existence as of the date of the Agreement (all as referred to in Section 3.05 of the Agreement), and even if such rights were exercised or converted, it would not affect the acquisition or retention of Control of Company. All such rights will terminate at the Effective Time.</w:t>
      </w:r>
    </w:p>
    <w:p>
      <w:pPr>
        <w:spacing w:after="0" w:line="164" w:lineRule="exact"/>
        <w:rPr>
          <w:sz w:val="20"/>
          <w:szCs w:val="20"/>
          <w:color w:val="auto"/>
        </w:rPr>
      </w:pPr>
    </w:p>
    <w:p>
      <w:pPr>
        <w:ind w:right="3339" w:firstLine="525"/>
        <w:spacing w:after="0" w:line="251"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management of Company, in the Merger, no liabilities of shareholders of Company will be assumed by Parent, and Parent will not assume any liabilities relating to any Company Stock or Series B Preferred Stock acquired by Parent in the Merger. Furthermore, to the knowledge of the management of Company, there is no plan or intention for Parent to assume any liabilities of Company.</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Preferred Stock is the only class of stock of Company that grants its holders dissenters' rights. In the event that any holders of Series B Preferred Stock of Company do not vote in favor of the Merger and perfect their right to appraisal and payment, any amounts paid to such holders in an appraisal proceeding will be paid by Company out of its own funds. No funds will be supplied for such payments, directly or indirectly, by Parent, nor will Parent directly or indirectly reimburse Company for any such payments.</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is not a regulated investment company, a real estate investment trust, or a corporation fifty percent (50%) or more of the value of whose assets are stock and securities and eighty percent (80%) or more of the value of whose total assets are assets held for investment (each, an "Investment Company"). For purposes of this representation, in making the 50% and 80% determinations under the preceding sentence, (i) stock and securities in any subsidiary corporation shall be disregarded and the parent corporation shall be deemed to own its ratable share of the subsidiary's assets, and (ii) a corporation shall be considered a subsidiary if the parent owns 50% or more of the combined voting power of all classes of stock entitled to vote or 50% or more of the total value of shares of all classes of stock outstanding. In determining total assets there shall be excluded cash and cash items (including receivables), government securities, and assets acquired (through incurring indebtedness or otherwise) for purposes of ceasing to be an Investment Company.</w:t>
      </w:r>
    </w:p>
    <w:p>
      <w:pPr>
        <w:spacing w:after="0" w:line="162" w:lineRule="exact"/>
        <w:rPr>
          <w:rFonts w:ascii="Courier New" w:cs="Courier New" w:eastAsia="Courier New" w:hAnsi="Courier New"/>
          <w:sz w:val="14"/>
          <w:szCs w:val="14"/>
          <w:color w:val="auto"/>
        </w:rPr>
      </w:pPr>
    </w:p>
    <w:p>
      <w:pPr>
        <w:ind w:right="3519" w:firstLine="525"/>
        <w:spacing w:after="0" w:line="251"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employee compensation received or to be received by any shareholder-employees of Company is or will be separate consideration for, or allocable to, any of their shares of Company Stock or Series B Preferred Stock to be surrendered in the Merger. None of the shares of Parent Stock or Parent Preferred Stock to be received by any shareholder-employee of Company in the Merger is or will be separate consideration for, or allocable to, any employment, consulting or similar arrangement. Any compensation paid or to be paid to any shareholder of Company who will be an employee of or perform advisory services for Parent, Company, or any affiliate thereof after the Merger, will be determined by bargaining at arm's length.</w:t>
      </w:r>
    </w:p>
    <w:p>
      <w:pPr>
        <w:spacing w:after="0" w:line="163"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the Agreement, except for the issuance of Company Stock pursuant to the rights described in paragraph 11 hereof, Company has not issued any additional shares of Company Stock.</w:t>
      </w:r>
    </w:p>
    <w:p>
      <w:pPr>
        <w:spacing w:after="0" w:line="162" w:lineRule="exact"/>
        <w:rPr>
          <w:rFonts w:ascii="Courier New" w:cs="Courier New" w:eastAsia="Courier New" w:hAnsi="Courier New"/>
          <w:sz w:val="14"/>
          <w:szCs w:val="14"/>
          <w:color w:val="auto"/>
        </w:rPr>
      </w:pPr>
    </w:p>
    <w:p>
      <w:pPr>
        <w:ind w:right="3599" w:firstLine="525"/>
        <w:spacing w:after="0" w:line="255"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holders of Company Stock have dissenters' rights with respect to the Merger under applicable laws.</w:t>
      </w:r>
    </w:p>
    <w:p>
      <w:pPr>
        <w:spacing w:after="0" w:line="159"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and in connection with the Merger no Company Stock or Series B Preferred Stock has been (i) redeemed by Company, (ii) acquired by a Related Person with respect to Company (except that for the purposes of this representation, clause (i) of the definition of Related Person shall not apply) with consideration other than stock of Company or Parent or (iii)</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subject of any extraordinary distribution by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A-C-2-4</w:t>
      </w:r>
    </w:p>
    <w:p>
      <w:pPr>
        <w:sectPr>
          <w:pgSz w:w="11900" w:h="16838" w:orient="portrait"/>
          <w:cols w:equalWidth="0" w:num="1">
            <w:col w:w="10239"/>
          </w:cols>
          <w:pgMar w:left="220" w:top="782" w:right="1440" w:bottom="1440" w:gutter="0" w:footer="0" w:header="0"/>
        </w:sectPr>
      </w:pPr>
    </w:p>
    <w:bookmarkStart w:id="201" w:name="page202"/>
    <w:bookmarkEnd w:id="20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439"/>
        <w:spacing w:after="0" w:line="251" w:lineRule="auto"/>
        <w:tabs>
          <w:tab w:leader="none" w:pos="775"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Company's Schedule of Exceptions, Company has not redeemed any of its stock, made any distributions with respect to its stock, or disposed of any of its assets in contemplation or as part of the Merger, excluding for purposes of this representation regular, normal dividends and Company Stock acquired in the ordinary course of business in connection with employee incentive and benefit programs, or other programs or arrangements in existence on the date hereof.</w:t>
      </w:r>
    </w:p>
    <w:p>
      <w:pPr>
        <w:spacing w:after="0" w:line="164"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being effected for bona fide business reasons and will be carried out strictly in accordance with the Agreement, and as described in the Proxy Statement, and none of the material terms and conditions therein has been or will be waived or modified.</w:t>
      </w:r>
    </w:p>
    <w:p>
      <w:pPr>
        <w:spacing w:after="0" w:line="162"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the documents described in the Agreement, the Proxy Statement and the Form S-4 represent the entire understanding between or among</w:t>
      </w:r>
    </w:p>
    <w:p>
      <w:pPr>
        <w:ind w:right="3339" w:firstLine="8"/>
        <w:spacing w:after="0" w:line="251" w:lineRule="auto"/>
        <w:tabs>
          <w:tab w:leader="none" w:pos="344"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and (ii) Company and its subsidiaries and, to the best knowledge of the management of Company, between or among such entities and the affiliates and shareholders of Parent and Company with respect to the Merger and there are no other written or oral agreements regarding the Merger other than those expressly referred to in the Agreement, the Proxy Statement and the Form S-4.</w:t>
      </w:r>
    </w:p>
    <w:p>
      <w:pPr>
        <w:spacing w:after="0" w:line="164"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assets of Company will exceed the sum of its liabilities, plus the amount of liabilities, if any, to which those assets are subject.</w:t>
      </w:r>
    </w:p>
    <w:p>
      <w:pPr>
        <w:spacing w:after="0" w:line="162" w:lineRule="exact"/>
        <w:rPr>
          <w:rFonts w:ascii="Courier New" w:cs="Courier New" w:eastAsia="Courier New" w:hAnsi="Courier New"/>
          <w:sz w:val="14"/>
          <w:szCs w:val="14"/>
          <w:color w:val="auto"/>
        </w:rPr>
      </w:pPr>
    </w:p>
    <w:p>
      <w:pPr>
        <w:ind w:right="3339" w:firstLine="525"/>
        <w:spacing w:after="0" w:line="255" w:lineRule="auto"/>
        <w:tabs>
          <w:tab w:leader="none" w:pos="86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will not be under the jurisdiction of a federal or state court in a Title 11 case or in a receivership, foreclosure or similar proceeding.</w:t>
      </w:r>
    </w:p>
    <w:p>
      <w:pPr>
        <w:spacing w:after="0" w:line="159"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cash in lieu of fractional shares, Parent will acquire the Company Stock and the Series B Preferred Stock solely in exchange for voting shares of Parent Stock and Parent Preferred Stock. For purposes of this representation, stock of Company redeemed for cash or other property furnished by Parent will be considered as acquired by Parent.</w:t>
      </w:r>
    </w:p>
    <w:p>
      <w:pPr>
        <w:spacing w:after="0" w:line="164"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Parent, Merger Subsidiary or, after the Merger, Company will take any position on any Federal, state, or local income or franchise tax return, or take any other tax reporting position, that is inconsistent with the treatment of the Merger as a tax-free reorganization or any of the foregoing representations, unless otherwise required by a decision by the Tax Court or a judgment, decree, or other order by any court of competent jurisdiction, which has become final, or by applicable state or local income or franchise tax law.</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We understand that Davis Polk &amp; Wardwell and Skadden, Arps, Slate, Meagher &amp; Flom LLP rely, without further inquiry, on this Certificate in rendering their opinions as to certain United States Federal income tax consequences of the Merger, and we will promptly and timely inform them if, after signing this Certificate, we have reason to believe that any of the facts described herein or in the Proxy Statement or any of the representations made in this Certificate are or have become untrue, incorrect or incomplete in any respect.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MOBIL CORPORATION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A-C-2-5</w:t>
      </w:r>
    </w:p>
    <w:p>
      <w:pPr>
        <w:sectPr>
          <w:pgSz w:w="11900" w:h="16838" w:orient="portrait"/>
          <w:cols w:equalWidth="0" w:num="1">
            <w:col w:w="10239"/>
          </w:cols>
          <w:pgMar w:left="220" w:top="782" w:right="1440" w:bottom="1440" w:gutter="0" w:footer="0" w:header="0"/>
        </w:sectPr>
      </w:pPr>
    </w:p>
    <w:bookmarkStart w:id="202" w:name="page203"/>
    <w:bookmarkEnd w:id="202"/>
    <w:p>
      <w:pPr>
        <w:ind w:left="6120"/>
        <w:spacing w:after="0"/>
        <w:rPr>
          <w:sz w:val="20"/>
          <w:szCs w:val="20"/>
          <w:color w:val="auto"/>
        </w:rPr>
      </w:pPr>
      <w:r>
        <w:rPr>
          <w:rFonts w:ascii="Courier New" w:cs="Courier New" w:eastAsia="Courier New" w:hAnsi="Courier New"/>
          <w:sz w:val="14"/>
          <w:szCs w:val="14"/>
          <w:color w:val="auto"/>
        </w:rPr>
        <w:t>Annex B</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STOCK OPTION AGREEMENT dated as of December 1, 1998 (the "Agreement") between Exxon Corporation, a New Jersey corporation ("Exxon"), and Mobil Corporation, a Delaware corporation ("Mobil").</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 I T N E S S E T H :</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Exxon and Mobil are simultaneously with the execution and delivery of this Agreement entering into an Agreement and Plan of Merger (the "Merger Agreement") pursuant to which, among other things, Merger Subsidiary will merge with and into Mobil on the terms and subject to the conditions stated therein; and</w:t>
      </w:r>
    </w:p>
    <w:p>
      <w:pPr>
        <w:spacing w:after="0" w:line="32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in order to induce Exxon to enter into the Merger Agreement, Mobil has granted to Exxon the Stock Option (as hereinafter defined), on the terms and conditions set forth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mutual covenants and agreements set forth herein and in the Merger Agreement, and for other good and valuable consideration, the adequacy of which is hereby acknowledged, the parties hereto agree as follows:</w:t>
      </w:r>
    </w:p>
    <w:p>
      <w:pPr>
        <w:spacing w:after="0" w:line="162" w:lineRule="exact"/>
        <w:rPr>
          <w:sz w:val="20"/>
          <w:szCs w:val="20"/>
          <w:color w:val="auto"/>
        </w:rPr>
      </w:pPr>
    </w:p>
    <w:p>
      <w:pPr>
        <w:ind w:right="4279" w:firstLine="431"/>
        <w:spacing w:after="0" w:line="252" w:lineRule="auto"/>
        <w:rPr>
          <w:sz w:val="20"/>
          <w:szCs w:val="20"/>
          <w:color w:val="auto"/>
        </w:rPr>
      </w:pPr>
      <w:r>
        <w:rPr>
          <w:rFonts w:ascii="Courier New" w:cs="Courier New" w:eastAsia="Courier New" w:hAnsi="Courier New"/>
          <w:sz w:val="14"/>
          <w:szCs w:val="14"/>
          <w:color w:val="auto"/>
        </w:rPr>
        <w:t>SECTION 1. Definitions. Capitalized terms used and not defined herein have the respective meanings ascribed to them in the Merger Agreement.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2. Grant of Stock Option. Mobil hereby grants to Exxon an irrevocable option (the "Stock Option") to purchase, on the terms and subject to the conditions hereof, for $95.96 per share (the "Exercise Price") in cash up to 136,500,000 fully paid and non-assessable shares (the "Option Shares") of Mobil's common stock, $1.00 par value per share (the "Common Stock"). The Exercise Price and number of Option Shares shall be subject to adjustment as provided in Section 6 below. Notwithstanding the foregoing, if at any time that this Stock Option is exercisable pursuant to the terms and conditions of this Agreement an Acquisition Proposal has theretofore been made for a per Share value (such value to be determined as of the close of the market on the trading day immediately prior to the date of the Stock Exercise Notice or Cash Exercise Notice, as applicable) below the Exercise Price, then Exxon's Exercise Price as to 1,000 Option Shares (as such 1,000 shares may be adjusted pursuant to Section</w:t>
      </w:r>
    </w:p>
    <w:p>
      <w:pPr>
        <w:spacing w:after="0" w:line="6" w:lineRule="exact"/>
        <w:rPr>
          <w:sz w:val="20"/>
          <w:szCs w:val="20"/>
          <w:color w:val="auto"/>
        </w:rPr>
      </w:pPr>
    </w:p>
    <w:p>
      <w:pPr>
        <w:ind w:right="3419" w:firstLine="8"/>
        <w:spacing w:after="0" w:line="255" w:lineRule="auto"/>
        <w:tabs>
          <w:tab w:leader="none" w:pos="258"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 adjusted to be 90% of such per Share value (it being understood that such adjusted Exercise Price will not apply as to any other Option Shares).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3. Exercise of Stock Option. (a) Exxon may, subject to the provisions of this Section, exercise the Stock Option, in whole or in part, at any time or from time to time, after the occurrence of a Trigger Event and prior to the Termination Date. "Termination Date" shall mean the earliest of (i) the Effective Time of the Merger, (ii) 90 days after the date full payment is made by Mobil to Exxon under Section 10.04(b) of the Merger Agreement or (iii) one day after the date of the termination of the Merger Agreement so long as, in the case of this clause (iii), no Trigger Event has occurred or could still occur under Section 10.04(b) of the Merger Agreement. Subject to the proviso in the last sentence of Section 3(c), notwithstanding the occurrence of the Termination Date, Exxon shall be entitled to purchase Option Shares pursuant to any exercise of the Stock Option, on the terms and subject to the conditions hereof, to the extent Exxon exercised the Stock Option prior to the occurrence of the Termination Date.</w:t>
      </w:r>
    </w:p>
    <w:p>
      <w:pPr>
        <w:spacing w:after="0" w:line="328" w:lineRule="exact"/>
        <w:rPr>
          <w:sz w:val="20"/>
          <w:szCs w:val="20"/>
          <w:color w:val="auto"/>
        </w:rPr>
      </w:pPr>
    </w:p>
    <w:p>
      <w:pPr>
        <w:ind w:right="3339" w:firstLine="439"/>
        <w:spacing w:after="0" w:line="251" w:lineRule="auto"/>
        <w:tabs>
          <w:tab w:leader="none" w:pos="77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may purchase Option Shares pursuant to the Stock Option only if all of the following conditions are satisfied: (i) no preliminary or permanent injunction or other order issued by any federal or state court of competent jurisdiction in the United States shall be in effect prohibiting delivery of the Option Shares, (ii) any applicable waiting period under the HSR Act shall have expired or been terminated, and (iii) any prior notification to or approval of any other regulatory authority in the U.S. or elsewhere required in connection with such purchase shall have been made or obtained other than those which if not made or obtained would not reasonably be expected to result in a significant detriment to Mobil and its Subsidiaries, taken as a whole.</w:t>
      </w:r>
    </w:p>
    <w:p>
      <w:pPr>
        <w:sectPr>
          <w:pgSz w:w="11900" w:h="16838" w:orient="portrait"/>
          <w:cols w:equalWidth="0" w:num="1">
            <w:col w:w="10239"/>
          </w:cols>
          <w:pgMar w:left="220" w:top="450"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339" w:firstLine="439"/>
        <w:spacing w:after="0" w:line="251" w:lineRule="auto"/>
        <w:tabs>
          <w:tab w:leader="none" w:pos="775"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Exxon shall be entitled to and wishes to exercise the Stock Option, it shall do so by giving Mobil written notice (the "Stock Exercise Notice") to such effect, specifying the number of Option Shares to be purchased and a place and closing date not earlier than three business days nor later than 10 business days from the date of such Stock Exercise Notice. If the closing cannot be consummated on such date because any condition to the purchase of Option Shares has not been satisfied or as a result of any restriction arising under any applicable law or regulation, the closing shall occur five days (or such earlier time as Exxon may specify) after satisfaction of all such conditions and the cessation of all such restrictions; provided that in no event shall the closing of the purchase be postponed by more than nine months after the Termination Date as a result of this clause (c).</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Stock Option is exercisable pursuant to the terms of Section 3(a) hereof, Exxon may elect, in lieu of exercising the Stock Option as provided in Section 3(c) hereof, to send a written notice to Mobil (the "Cash Exercise Notice") specifying a date not later than 20 business days and not earlier than 10 business days following the date such notice is given on which date Mobil shall pay to Exxon in exchange for the cancellation of the relevant portion of the Stock Option an amount in cash equal to the Spread (as hereinafter defined) multiplied by all or such portion of the Option Shares subject to the Stock Option as Exxon shall specify. As used herein "Spread" shall mean the excess, if any, over the Exercise Price of the higher of (x) if applicable, the highest price per share of Common Stock paid or proposed to be paid by any Person pursuant to any Acquisition Proposal (the "Alternative Exercise Price") or (y) the average of the closing price of the shares of Common Stock on the NYSE at the end of the regular session, as reported on the Consolidated Tape, Network A (the "Closing Price") for the five consecutive trading days ending on and including the trading date immediately preceding the date of the Cash Exercise Notice. If the Alternative Exercise Price includes any property other than cash, the Alternative Exercise Price shall be the sum of (i) the fixed cash amount, if any, included in the Alternative Exercise Price plus</w:t>
      </w:r>
    </w:p>
    <w:p>
      <w:pPr>
        <w:spacing w:after="0" w:line="8"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five days prior to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the Alternative Exercise Price shall be deemed to equal such Closing Price. Upon exercise of its right pursuant to this Section 3(d) and the receipt by Exxon of the applicable cash amount with respect to the Option Shares or the applicable portion thereof, the obligations of Mobil to deliver Option Shares pursuant to Section 3(e) shall be terminated with respect to the number of Option Shares for which Exxon shall have elected to be paid the Spread. The Spread shall be appropriately adjusted, if applicable, to give effect to Section 6.</w:t>
      </w:r>
    </w:p>
    <w:p>
      <w:pPr>
        <w:spacing w:after="0" w:line="338" w:lineRule="exact"/>
        <w:rPr>
          <w:rFonts w:ascii="Courier New" w:cs="Courier New" w:eastAsia="Courier New" w:hAnsi="Courier New"/>
          <w:sz w:val="14"/>
          <w:szCs w:val="14"/>
          <w:color w:val="auto"/>
        </w:rPr>
      </w:pPr>
    </w:p>
    <w:p>
      <w:pPr>
        <w:ind w:right="3599" w:firstLine="439"/>
        <w:spacing w:after="0" w:line="250" w:lineRule="auto"/>
        <w:tabs>
          <w:tab w:leader="none" w:pos="775"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At any closing pursuant to Section 3(c) hereof, Exxon shall make payment to Mobil of the aggregate purchase price for the Option Shares to be purchased and Mobil shall deliver to Exxon a certificate representing the purchased Option Shares, registered in the name of Exxon or its designee and</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closing pursuant to Section 3(d) hereof, Mobil will deliver to Exxon cash in an amount determined pursuant to Section 3(d) hereof. Any payment made by Exxon to Mobil, or by Mobil to Exxon, pursuant to this Agreement shall be made by certified or official bank check or by wire transfer of federal funds to a bank designated by the party receiving such funds.</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Common Stock delivered at the closing described in Section 3(c) hereof shall be endorsed with a restrictive legend that shall read substantially as follows: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transfer of the shares represented by this certificate is subject to resale restrictions arising under the Securities Act of 1933, as amended."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understood and agreed that the above legend shall be removed by delivery of substitute certificate(s) without such reference (i) if Exxon shall have delivered to Mobil a copy of a no-action letter from the staff of the Securities and Exchange Commission, or a written opinion of counsel, in form and substance reasonably satisfactory to Mobil,</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782" w:right="1440" w:bottom="1440" w:gutter="0" w:footer="0" w:header="0"/>
        </w:sectPr>
      </w:pPr>
    </w:p>
    <w:bookmarkStart w:id="204" w:name="page205"/>
    <w:bookmarkEnd w:id="204"/>
    <w:p>
      <w:pPr>
        <w:jc w:val="center"/>
        <w:ind w:right="-38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to the effect that such legend is not required for purposes of, or resale may be effected pursuant to an exemption from registration under, the 1933 Act or (ii) in connection with any sale registered under the 1933 Act. In addition, such certificates shall bear any other legend as may be required by applicable law.</w:t>
      </w:r>
    </w:p>
    <w:p>
      <w:pPr>
        <w:spacing w:after="0" w:line="165"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SECTION 4. Representations and Warranties of Mobil. Mobil hereby represents and warrants to Exxon as follows:</w:t>
      </w:r>
    </w:p>
    <w:p>
      <w:pPr>
        <w:spacing w:after="0" w:line="160" w:lineRule="exact"/>
        <w:rPr>
          <w:sz w:val="20"/>
          <w:szCs w:val="20"/>
          <w:color w:val="auto"/>
        </w:rPr>
      </w:pPr>
    </w:p>
    <w:p>
      <w:pPr>
        <w:ind w:right="3339" w:firstLine="439"/>
        <w:spacing w:after="0" w:line="250"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is a corporation duly incorporated, validly existing and in good standing under the laws of the State of Delaware. The execution, delivery and performance by Mobil of this Agreement and the consummation of the transactions contemplated hereby (i) are within Mobil's corporate powers, (ii) have been duly authorized by all necessary corporate action, (iii) require no action by or in respect of, or filing with, any governmental body, agency or official, except for any filings required to be made under the HSR Act, the EC Merger Regulation, the Canadian Act and the Exchange Act, (iv) do not contravene, or constitute a violation of, any provision of applicable law or regulation or of the certificate of incorporation or by-laws of Mobil or of any judgment, injunction, order or decree binding upon Mobil or any of its Subsidiaries, (v) do not and will not constitute a default under or give rise to a right of termination, cancellation or acceleration of any right or obligation of Mobil or any of its Subsidiaries or to a loss of any benefit to which Mobil or any of its Subsidiaries is entitled under any provision of any agreement, contract or other instrument binding upon Mobil or any of its Subsidiaries or any license, franchise, permit or other similar authorization held by Mobil or any of its Subsidiaries, and (vi) do not and will not result in the creation or imposition of any Lien on any asset of Mobil or any of its Subsidiaries, except for such contraventions, conflicts or violations referred to in clause (iv) or defaults, rights of termination, cancellation or acceleration, or losses or Liens referred to in clauses (v) and (vi) that would not, individually or in the aggregate, have a Material Adverse Effect on Mobil. This Agreement has been duly executed and delivered by Mobil and constitutes a valid and binding agreement of Mobil.</w:t>
      </w:r>
    </w:p>
    <w:p>
      <w:pPr>
        <w:spacing w:after="0" w:line="176"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taken all necessary corporate action to authorize and reserve and to permit it to issue, and at all times from the date hereof until such time as the obligation to deliver Option Shares upon the exercise of the Stock Option terminates, will have reserved for issuance upon any exercise of the Stock Option, the number of Option Shares subject to the Stock Option (less the number of Option Shares previously issued upon any partial exercise of the Stock Option). All of the Option Shares to be issued pursuant to the Stock Option have been duly authorized and, upon issuance and delivery thereof pursuant to this Agreement, will be duly authorized, validly issued, fully paid and nonassessable, and shall be delivered free and clear of all claims, liens, charges, encumbrances and security interests (other than those created by this Agreement). Option Shares issued upon exercise of the Stock Option will not be subject to any preemptive or similar rights. The Board of Directors of Mobil has resolved to, and Mobil promptly after the execution hereof will, take all necessary action to render the Company Rights Agreement inapplicable to the grant or exercise of the Stock Option and the transactions contemplated hereby.</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Mobil has taken the necessary action to make inapplicable the application of Section 203 of the Delaware Law, or any other applicable antitakeover statute or similar statute or regulation and the supermajority voting provisions of Article 6 of Mobil's certificate of incorporation to the acquisition of the Option Shares pursuant to this Agreement.</w:t>
      </w:r>
    </w:p>
    <w:p>
      <w:pPr>
        <w:spacing w:after="0" w:line="32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5. Representations and Warranties of Exxon. Exxon hereby represents and warrants to Mobil as follows: Exxon is a corporation duly incorporated, validly existing and in good standing under the laws of the State of New Jersey. The execution, delivery and performance by Exxon of this Agreement and the consummation of the transactions contemplated hereby (i) are within Exxon's corporate powers and (ii) have been duly authorized by all necessary corporate action. The Option Shares acquired by Exxon upon the exercise of the Stock Options will not be, and the Stock Option is not being, acquired by Exxon with the intention of making a public distribution thereof. Neither the Stock Option nor the Option Shares acquired upon exercise of the Stock Option will be sold or otherwise disposed of by Exxon except in compliance with the 1933 Act.</w:t>
      </w:r>
    </w:p>
    <w:p>
      <w:pPr>
        <w:spacing w:after="0" w:line="5" w:lineRule="exact"/>
        <w:rPr>
          <w:sz w:val="20"/>
          <w:szCs w:val="20"/>
          <w:color w:val="auto"/>
        </w:rPr>
      </w:pPr>
    </w:p>
    <w:p>
      <w:pPr>
        <w:ind w:right="4719"/>
        <w:spacing w:after="0" w:line="255" w:lineRule="auto"/>
        <w:rPr>
          <w:sz w:val="20"/>
          <w:szCs w:val="20"/>
          <w:color w:val="auto"/>
        </w:rPr>
      </w:pPr>
      <w:r>
        <w:rPr>
          <w:rFonts w:ascii="Courier New" w:cs="Courier New" w:eastAsia="Courier New" w:hAnsi="Courier New"/>
          <w:sz w:val="14"/>
          <w:szCs w:val="14"/>
          <w:color w:val="auto"/>
        </w:rPr>
        <w:t>This agreement has been duly executed and delivered by Exxon and constitutes a valid and binding agreement of Exxon.</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782"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6. Adjustment upon Changes in Capitalization or Merger. (a) In the event of any change in the outstanding shares of Common Stock by reason of a stock dividend, stock split, split-up, merger, consolidation, recapitalization, combination, conversion, exchange of shares, extraordinary or liquidating dividend or similar transaction which would have the effect of diluting Exxon's rights hereunder, the type and number of shares or securities purchasable upon the exercise of the Stock Option and the Exercise Price shall be adjusted appropriately, and proper provision will be made in the agreements governing such transaction, so that Exxon will receive upon exercise of the Stock Option the number and class of shares or other securities or property that Exxon would have received in respect of the Option Shares had the Stock Option been exercised immediately prior to such event or the record date therefor, as applicable. In no event shall the number of shares of Common Stock subject to the Stock Option exceed 14.9% of the number of shares of Common Stock issued and outstanding at the time of exercise (treating as outstanding for this purpose the shares subject to the Stock Option).</w:t>
      </w:r>
    </w:p>
    <w:p>
      <w:pPr>
        <w:spacing w:after="0" w:line="173" w:lineRule="exact"/>
        <w:rPr>
          <w:sz w:val="20"/>
          <w:szCs w:val="20"/>
          <w:color w:val="auto"/>
        </w:rPr>
      </w:pPr>
    </w:p>
    <w:p>
      <w:pPr>
        <w:ind w:right="3339" w:firstLine="439"/>
        <w:spacing w:after="0" w:line="251" w:lineRule="auto"/>
        <w:tabs>
          <w:tab w:leader="none" w:pos="77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whenever the number of Option Shares purchasable upon exercise of the Stock Option is adjusted as provided in this Section 6, the Exercise Price shall be adjusted by multiplying the Exercise Price by a fraction, the numerator of which is equal to the number of Option Shares purchasable prior to the adjustment and the denominator of which is equal to the number of Option Shares purchasable after the adjustment.</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parties' relative rights and obligations under the Merger Agreement, in the event that Mobil enters into an agreement (i) to consolidate with or merge into any person, other than Exxon or one of its subsidiaries, and Mobil will not be the continuing or surviving corporation in such consolidation or merger, (ii) to permit any person, other than Exxon or one of its subsidiaries, to merge into Mobil and Mobil will be the continuing or surviving corporation, but in connection with such merger, the shares of Common Stock outstanding immediately prior to the consummation of such merger will be changed into or exchanged for stock or other securities of Mobil or any other person or cash or any other property, or the shares of Common Stock outstanding immediately prior to the consummation of such merger will, after such merger, represent less than 50% of the outstanding voting securities of the merged company, or (iii) to sell or otherwise transfer all or substantially all of its assets to any person, other than Exxon or one of its subsidiaries, then, and in each such case, the agreement governing such transaction will make proper provision so that the Stock Option will, upon the consummation of any such transaction and upon the terms and conditions set forth herein, be converted into, or exchanged for, an option with identical terms appropriately adjusted to acquire the number and class of shares or other securities or property that Exxon would have received in respect of Option Shares had the Stock Option been exercised immediately prior to such consolidation, merger, sale or transfer or the record date therefor, as applicable, and will make any other necessary adjustments. Mobil shall take such steps in connection with such consolidation, merger, liquidation or other such transaction as may be reasonably necessary to assure that the provisions hereof shall thereafter apply as nearly as possible to any securities or property thereafter deliverable upon exercise of the Stock Option.</w:t>
      </w:r>
    </w:p>
    <w:p>
      <w:pPr>
        <w:spacing w:after="0" w:line="34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 Further Assurances; Remedies. (a) Mobil agrees to maintain, free from preemptive rights, sufficient authorized but unissued or treasury shares of Common Stock so that the Stock Option may be fully exercised without additional authorization of Common Stock after giving effect to all other options, warrants, convertible securities and other rights of third parties to purchase shares of Common Stock from Mobil, and to issue the appropriate number of shares of Common Stock pursuant to the terms of this Agreement.</w:t>
      </w:r>
    </w:p>
    <w:p>
      <w:pPr>
        <w:spacing w:after="0" w:line="164" w:lineRule="exact"/>
        <w:rPr>
          <w:sz w:val="20"/>
          <w:szCs w:val="20"/>
          <w:color w:val="auto"/>
        </w:rPr>
      </w:pPr>
    </w:p>
    <w:p>
      <w:pPr>
        <w:ind w:right="3419" w:firstLine="439"/>
        <w:spacing w:after="0" w:line="251" w:lineRule="auto"/>
        <w:tabs>
          <w:tab w:leader="none" w:pos="77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agrees not to avoid or seek to avoid (whether by charter amendment or through reorganization, consolidation, merger, issuance of rights, dissolution or sale of assets, or by any other voluntary act) the observance or performance of any of the covenants, agreements or conditions to be observed or performed hereunder by Mobil.</w:t>
      </w:r>
    </w:p>
    <w:p>
      <w:pPr>
        <w:spacing w:after="0" w:line="164"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agrees that promptly after the date hereof it shall take all actions as may from time to time be required (including (i) complying with all applicable premerger notification, reporting and waiting period requirements under the HSR Act and (ii) in the event that prior notification to or approval of any other regulatory authority in the U.S. or elsewhere is necessary before the Stock Option may be exercised, cooperating with Exxon in preparing and processing</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782" w:right="1440" w:bottom="1440" w:gutter="0" w:footer="0" w:header="0"/>
        </w:sectPr>
      </w:pPr>
    </w:p>
    <w:bookmarkStart w:id="206" w:name="page207"/>
    <w:bookmarkEnd w:id="206"/>
    <w:p>
      <w:pPr>
        <w:jc w:val="center"/>
        <w:ind w:right="-38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required notices or applications) in order to permit Exxon to exercise the Stock Option and purchase Option Shares pursuant to such exercise and to take all reasonable action necessary to protect the rights of Exxon against dilution.</w:t>
      </w:r>
    </w:p>
    <w:p>
      <w:pPr>
        <w:spacing w:after="0" w:line="162" w:lineRule="exact"/>
        <w:rPr>
          <w:sz w:val="20"/>
          <w:szCs w:val="20"/>
          <w:color w:val="auto"/>
        </w:rPr>
      </w:pPr>
    </w:p>
    <w:p>
      <w:pPr>
        <w:ind w:right="3339" w:firstLine="439"/>
        <w:spacing w:after="0" w:line="250" w:lineRule="auto"/>
        <w:tabs>
          <w:tab w:leader="none" w:pos="77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Exxon would be irreparably damaged if for any reason Mobil failed to issue any of the Option Shares (or other securities or property deliverable pursuant to Section 6 hereof) upon exercise of the Stock Option or to perform any of its other obligations under this Agreement, and that Exxon would not have an adequate remedy at law for money damages in such event. Accordingly, Exxon shall be entitled to specific performance and injunctive and other equitable relief to enforce the performance of this Agreement by Mobil. Accordingly, if Exxon should institute an action or proceeding seeking specific enforcement of the provisions hereof, Mobil hereby waives the claim or defense that Exxon has an adequate remedy at law and hereby agrees not to assert in any such action or proceeding the claim or defense that such a remedy at law exists. Mobil further agrees to waive any requirements for the securing or posting of any bond in connection with obtaining any such equitable relief. This provision is without prejudice to any other rights that Exxon may have against Mobil for any failure to perform its obligations under this Agreement.</w:t>
      </w:r>
    </w:p>
    <w:p>
      <w:pPr>
        <w:spacing w:after="0" w:line="17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8. Listing of Option Shares. Promptly after the date hereof, and from time to time thereafter if necessary, Mobil will apply to list all of the Option Shares subject to the Stock Option on the New York Stock Exchange and will use its reasonable best efforts to obtain approval of such listing as soon as practicable.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9. Registration of the Option Shares. (a) If Exxon requests Mobil in writing, within two years of the exercise of the Stock Option, to register under the 1933 Act any of the Option Shares purchased by Exxon hereunder, Mobil will use its reasonable best efforts to cause the offering of the Option Shares so specified in such request to be registered as soon as practicable so as to permit the sale or other distribution by Exxon of the Option Shares specified in its request (and to keep such registration in effect for a period of at least 90 days), and in connection therewith Mobil will prepare and file as promptly as reasonably possible (but in no event later than 60 days from receipt of Exxon's request) a registration statement under the 1933 Act to effect such registration on an appropriate form, which would permit the sale of the Option Shares by Exxon in accordance with the plan of disposition specified by Exxon in its request. Mobil shall not be obligated to make effective more than two registration statements pursuant to the foregoing sentence; provided, however, that Mobil may postpone the filing of a registration statement relating to a registration request by Exxon under this Section 9 for a period of time (not in excess of 90 days) if in Mobil's reasonable, good faith judgment such filing would require the disclosure of material information that Mobil has a bonafide business purpose for preserving as confidential (but in no event shall Mobil exercise such postponement right more than once in any twelve-month period).</w:t>
      </w:r>
    </w:p>
    <w:p>
      <w:pPr>
        <w:spacing w:after="0" w:line="174" w:lineRule="exact"/>
        <w:rPr>
          <w:sz w:val="20"/>
          <w:szCs w:val="20"/>
          <w:color w:val="auto"/>
        </w:rPr>
      </w:pPr>
    </w:p>
    <w:p>
      <w:pPr>
        <w:ind w:right="3339" w:firstLine="439"/>
        <w:spacing w:after="0" w:line="251" w:lineRule="auto"/>
        <w:tabs>
          <w:tab w:leader="none" w:pos="77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shall notify Exxon in writing not less than 10 days prior to filing a registration statement under the 1933 Act (other than a filing on Form S-4 or S-8 or any successor form) with respect to any Common Stock. If Exxon wishes to have any portion of its Option Shares included in such registration statement, it shall advise Mobil in writing to that effect within two business days following receipt of such notice, and Mobil will thereupon include the number of Option Shares indicated by Exxon under such Registration Statement; provided that if the managing underwriter(s) of the offering pursuant to such registration statement advise Mobil that in their opinion the number of shares of Common Stock requested to be included in such registration exceeds the number which can be sold in such offering, Mobil shall only include in such registration such number or dollar amount of Option Shares which, in the good faith opinion of the managing underwriter(s), can be sold without materially and adversely affecting such offering.</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relating to or in connection with any registration contemplated under this Section 9 and the transactions contemplated thereby (including all filing, printing, reasonable professional and other fees and expenses relating thereto) will be at Mobil's expense except for underwriting discounts or commissions and brokers' fees. Mobil and Exxon agree to enter into a customary underwriting agreement with underwriters upon such terms and conditions as are customarily contained in underwriting agreements with respect to secondary distributions. Mobil shall indemnify Exxon, its officers, directors, agents, other controlling persons and any underwriters retained by Exxon in connection</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782"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with such sale of such Option Shares in the customary way, and shall agree to customary contribution provisions with such persons, with respect to claims, damages, losses and liabilities (and any expenses relating thereto) arising (or to which Exxon, its officers, directors, agents, other controlling persons or underwriters may be subject) in connection with any such offer or sale under the federal securities laws or otherwise, except for information furnished in writing by Exxon or its underwriters to Mobil. Exxon and its underwriters, respectively, shall indemnify Mobil to the same extent with respect to information furnished in writing to Mobil by Exxon and such underwriters, respectively.</w:t>
      </w:r>
    </w:p>
    <w:p>
      <w:pPr>
        <w:spacing w:after="0" w:line="163"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SECTION 10. Miscellaneous. (a) Extension of Exercise Periods. The periods for exercise of certain rights under Sections 3(d) and 3(e) hereof shall be extended in each such case at the request of Exxon to the extent necessary to avoid liability by Exxon under Section 16(b) of the Exchange Act by reason of such exercise.</w:t>
      </w:r>
    </w:p>
    <w:p>
      <w:pPr>
        <w:spacing w:after="0" w:line="165" w:lineRule="exact"/>
        <w:rPr>
          <w:sz w:val="20"/>
          <w:szCs w:val="20"/>
          <w:color w:val="auto"/>
        </w:rPr>
      </w:pPr>
    </w:p>
    <w:p>
      <w:pPr>
        <w:ind w:right="3419" w:firstLine="439"/>
        <w:spacing w:after="0" w:line="251" w:lineRule="auto"/>
        <w:tabs>
          <w:tab w:leader="none" w:pos="77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Entire Agreement. This Agreement may not be modified, amended, altered or supplemented, except upon the execution and delivery of a written agreement executed by the parties hereto. This Agreement, together with the Merger Agreement (including any exhibits and schedules thereto), contains the entire agreement between the parties hereto with respect to the subject matter hereof and supersedes all prior and contemporaneous agreements and understandings, oral or written, with respect to such transactions.</w:t>
      </w:r>
    </w:p>
    <w:p>
      <w:pPr>
        <w:spacing w:after="0" w:line="164"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and other communications to either party hereunder shall be in writing (including facsimile or similar writing) and shall be given,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Exxon,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Charles W. Matthews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(972) 444-1438</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George R. Bason, Jr.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450-4800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Mobil,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Samuel H. Gillespie III</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Fairfax, Virginia 22037-0001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(703) 846-4674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Roger S. Aaron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735-2000</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782" w:right="1440" w:bottom="1440" w:gutter="0" w:footer="0" w:header="0"/>
        </w:sectPr>
      </w:pPr>
    </w:p>
    <w:bookmarkStart w:id="208" w:name="page209"/>
    <w:bookmarkEnd w:id="208"/>
    <w:p>
      <w:pPr>
        <w:jc w:val="center"/>
        <w:ind w:right="-38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or to such other address or facsimile number as either party may hereafter specify for the purpose by notice to the other party hereto. Each such notice, request or other communication shall be effective (i) if given by facsimile, when such facsimile is transmitted to the facsimile number specified in this Section and the appropriate facsimile confirmation is received or (ii) if given by any other means, when delivered at the address specified in this Section.</w:t>
      </w:r>
    </w:p>
    <w:p>
      <w:pPr>
        <w:spacing w:after="0" w:line="164" w:lineRule="exact"/>
        <w:rPr>
          <w:sz w:val="20"/>
          <w:szCs w:val="20"/>
          <w:color w:val="auto"/>
        </w:rPr>
      </w:pPr>
    </w:p>
    <w:p>
      <w:pPr>
        <w:ind w:right="3339" w:firstLine="439"/>
        <w:spacing w:after="0" w:line="252"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party hereto shall pay its own expenses incurred in connection with this Agreement, except as otherwise specifically provided herein and without limiting anything contained in the Merger Agreement.</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to be invalid, void or unenforceable, the remainder of the terms, provisions, covenants and restrictions of this Agreement shall remain in full force and effect and shall in no way be affected, impaired or invalidated.</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This Agreement shall be governed by and construed in accordance with the laws of the State of Delaware without regard to principles of conflicts of law. Any suit, action or proceeding seeking to enforce any provision of, or based on any matter arising out of or in connection with, this Agreement or the transactions contemplated 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10(c) hereof shall be deemed effective service of process on such party.</w:t>
      </w:r>
    </w:p>
    <w:p>
      <w:pPr>
        <w:spacing w:after="0" w:line="338"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 EACH OF THE PARTIES HERETO HEREBY IRREVOCABLY WAIVES ANY AND ALL RIGHT TO TRIAL BY JURY IN ANY LEGAL PROCEEDING ARISING OUT OF OR RELATED TO THIS AGREEMENT OR THE TRANSACTIONS CONTEMPLATED HEREBY.</w:t>
      </w:r>
    </w:p>
    <w:p>
      <w:pPr>
        <w:spacing w:after="0" w:line="162"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 counterparts, each of which shall be an original, but all of which together shall constitute one and the same agreement.</w:t>
      </w:r>
    </w:p>
    <w:p>
      <w:pPr>
        <w:spacing w:after="0" w:line="162"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headings herein are for convenience only and shall not affect the construction hereof.</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be binding upon each party hereto and such party's successors and assigns. This Agreement shall not be assignable by Mobil, but may be assigned by Exxon in whole or in part to any direct or indirect wholly-owned subsidiary of Exxon, provided that Exxon shall remain liable for any obligations so assigned.</w:t>
      </w:r>
    </w:p>
    <w:p>
      <w:pPr>
        <w:spacing w:after="0" w:line="164" w:lineRule="exact"/>
        <w:rPr>
          <w:rFonts w:ascii="Courier New" w:cs="Courier New" w:eastAsia="Courier New" w:hAnsi="Courier New"/>
          <w:sz w:val="14"/>
          <w:szCs w:val="14"/>
          <w:color w:val="auto"/>
        </w:rPr>
      </w:pPr>
    </w:p>
    <w:p>
      <w:pPr>
        <w:ind w:right="3859" w:firstLine="439"/>
        <w:spacing w:after="0" w:line="252"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All representations, warranties and covenants contained herein shall survive the execution and delivery of this Agreement and the consummation of the transactions contemplated hereby.</w:t>
      </w:r>
    </w:p>
    <w:p>
      <w:pPr>
        <w:spacing w:after="0" w:line="162" w:lineRule="exact"/>
        <w:rPr>
          <w:rFonts w:ascii="Courier New" w:cs="Courier New" w:eastAsia="Courier New" w:hAnsi="Courier New"/>
          <w:sz w:val="14"/>
          <w:szCs w:val="14"/>
          <w:color w:val="auto"/>
        </w:rPr>
      </w:pPr>
    </w:p>
    <w:p>
      <w:pPr>
        <w:ind w:right="3939" w:firstLine="439"/>
        <w:spacing w:after="0" w:line="255"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the Essence. The parties agree that time shall be of the essence in the performance of obligations hereunder.</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Announcement. Exxon and Mobil will consult with each other before issuing any press release or making any public statement with respect to this Agreement and the transactions contemplated hereby and shall not issue any such press release or make any such public statement without the prior consent of the other party, which shall not be unreasonably withheld. Notwithstanding the foregoing, any such press release or public statement as may be</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782"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required by applicable law or any listing agreement with any national securities exchange, may be issued prior to such consultation, if the party making such release or statement has used its reasonable efforts to consult with the other party.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 Profit Limitation. (a) Notwithstanding any other provision of this Agreement or the Merger Agreement, in no event shall Exxon's Total Profit (as defined below) exceed $2,000,000,000 (the "Maximum Amount") and, if it otherwise would exceed such Maximum Amount, Exxon at its sole election may (i) pay cash to Mobil, (ii) deliver to Mobil for cancellation Option Shares previously purchased by Exxon, or (iii) any combination thereof, so that Exxon's actually realized Total Profit (as defined below) shall not exceed the Maximum Amount after taking into account the foregoing actions.</w:t>
      </w:r>
    </w:p>
    <w:p>
      <w:pPr>
        <w:spacing w:after="0" w:line="164" w:lineRule="exact"/>
        <w:rPr>
          <w:sz w:val="20"/>
          <w:szCs w:val="20"/>
          <w:color w:val="auto"/>
        </w:rPr>
      </w:pPr>
    </w:p>
    <w:p>
      <w:pPr>
        <w:ind w:right="3339" w:firstLine="439"/>
        <w:spacing w:after="0" w:line="251" w:lineRule="auto"/>
        <w:tabs>
          <w:tab w:leader="none" w:pos="77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Stock Option may not be exercised for a number of Option Shares as would, as of the date of the Stock Exercise Notice, result in a Notional Total Profit (as defined below) of more than the Maximum Amount and, if exercise of the Stock Option otherwise would result in the Notional Total Profit exceeding such amount, Exxon, at its discretion, may (in addition to any of the actions specified in Section 11(a) above) increase the Exercise Price for that number of Option Shares set forth in the Stock Exercise Notice so that the Notional Total Profit shall not exceed the Maximum Amount; provided, that nothing in this sentence shall restrict any exercise of the Stock Option permitted hereby on any subsequent date at the Exercise Price set forth in Section 3(d) hereof.</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"Total Profit" shall mean the aggregate amount (before taxes) of the following: (i) the cash amount actually received by Exxon pursuant to Section 10.04(b) of the Merger Agreement less any repayment by Exxon to Mobil pursuant to Section 11(a)(i) hereof, (ii) (x) the net cash amounts or the fair market value of any property received by Exxon pursuant to the sale of Option Shares (or of any other securities into or for which such Option Shares are converted or exchanged), less (y) Exxon's purchase price for such Option Shares (or other securities) plus (iii) the aggregate amounts received by Exxon pursuant to Section 3(d).</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"Notional Total Profit" with respect to any number of Option Shares as to which Exxon may propose to exercise the Stock Option shall be the Total Profit determined as of the date of the Stock Exercise Notice assuming that the Stock Option was exercised on such date for such number of Option Shares and assuming that such Option Shares, together with all other Option Shares previously acquired upon exercise of the Stock Option and held by Exxon and its affiliates as of such date, were sold for cash at the Closing Price on the preceding trading day (less customary brokerage commissions).</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782" w:right="1440" w:bottom="1440" w:gutter="0" w:footer="0" w:header="0"/>
        </w:sectPr>
      </w:pPr>
    </w:p>
    <w:bookmarkStart w:id="210" w:name="page211"/>
    <w:bookmarkEnd w:id="210"/>
    <w:p>
      <w:pPr>
        <w:jc w:val="center"/>
        <w:ind w:right="-36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jc w:val="both"/>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Mobil and Exxon have caused this Agreement to be duly executed as of the day and year first above written.</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MOBIL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and Chief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EXXON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39"/>
          </w:cols>
          <w:pgMar w:left="220" w:top="782" w:right="1440" w:bottom="1440" w:gutter="0" w:footer="0" w:header="0"/>
        </w:sectPr>
      </w:pPr>
    </w:p>
    <w:bookmarkStart w:id="211" w:name="page212"/>
    <w:bookmarkEnd w:id="211"/>
    <w:p>
      <w:pPr>
        <w:jc w:val="right"/>
        <w:ind w:right="3519"/>
        <w:spacing w:after="0"/>
        <w:rPr>
          <w:sz w:val="20"/>
          <w:szCs w:val="20"/>
          <w:color w:val="auto"/>
        </w:rPr>
      </w:pPr>
      <w:r>
        <w:rPr>
          <w:rFonts w:ascii="Courier New" w:cs="Courier New" w:eastAsia="Courier New" w:hAnsi="Courier New"/>
          <w:sz w:val="14"/>
          <w:szCs w:val="14"/>
          <w:color w:val="auto"/>
        </w:rPr>
        <w:t>Annex C</w:t>
      </w:r>
    </w:p>
    <w:p>
      <w:pPr>
        <w:spacing w:after="0" w:line="338"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JPMorgan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Wall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10260-0060</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April 2, 1999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Irving, Texas</w:t>
        <w:tab/>
        <w:t>75039-2298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440" w:right="3779" w:firstLine="431"/>
        <w:spacing w:after="0" w:line="250"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Exxon Corporation (the "Acquiror") of the consideration proposed to be paid by the Acquiror in connection with the proposed merger (the "Merger") of Lion Acquisition Subsidiary Corporation, a wholly-owned subsidiary of the Acquiror ("Merger Subsidiary"), with and into Mobil Corporation (the "Company"). Pursuant to the Agreement and Plan of Merger, dated as of December 1, 1998 (together with its exhibits, the "Agreement"), among the Acquiror, Merger Subsidiary and the Company, Merger Subsidiary will merge with and into the Company, the Company will continue as the surviving corporation and become a wholly-owned subsidiary of the Acquiror, and (i) each share of common stock, par value $1.00 per share, of the Company outstanding immediately prior to the effective time of the Merger (other than shares held by the Company as treasury stock (excluding certain such shares held in "Rabbi trusts") or owned by the Acquiror or any subsidiary of the Acquiror) shall be converted into the right to receive 1.32015 shares of fully-paid and non-assessable common stock, without par value, of the Acquiror (the "Acquiror's Common Stock") and (ii) each share of Series B ESOP Convertible Preferred Stock, par value $1.00 per share, of the Company shall be converted into the right to receive one fully-paid and non-assessable share of a new series of preferred stock to be issued by the Acquiror having terms and conditions that are, to the extent possible, identical to the terms and conditions of the Series B ESOP Convertible Preferred Stock immediately prior to the effective time of the Merger.</w:t>
      </w:r>
    </w:p>
    <w:p>
      <w:pPr>
        <w:spacing w:after="0" w:line="34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arriving at our opinion, we have reviewed (i) the Agreement;</w:t>
      </w:r>
    </w:p>
    <w:p>
      <w:pPr>
        <w:spacing w:after="0" w:line="7" w:lineRule="exact"/>
        <w:rPr>
          <w:sz w:val="20"/>
          <w:szCs w:val="20"/>
          <w:color w:val="auto"/>
        </w:rPr>
      </w:pPr>
    </w:p>
    <w:p>
      <w:pPr>
        <w:ind w:left="440" w:right="3779" w:hanging="1"/>
        <w:spacing w:after="0" w:line="251" w:lineRule="auto"/>
        <w:tabs>
          <w:tab w:leader="none" w:pos="871"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Proxy Statement/Prospectus of the Acquiror and the Company relating to the Merger (the "Proxy Statement); (iii) certain publicly available information concerning the business of the Company and of certain other companies engaged in businesses comparable to those of the Company, and the reported market prices for certain other companies' securities deemed comparable; (iv) publicly available terms of certain transactions involving companies comparable to the Company and the consideration received for such companies; (v) current and historical market prices of the common stock of the Company and the Acquiror; (vi) the audited financial statements of the Acquiror and the</w:t>
      </w:r>
    </w:p>
    <w:p>
      <w:pPr>
        <w:sectPr>
          <w:pgSz w:w="11900" w:h="16838" w:orient="portrait"/>
          <w:cols w:equalWidth="0" w:num="1">
            <w:col w:w="10239"/>
          </w:cols>
          <w:pgMar w:left="220" w:top="616" w:right="1440" w:bottom="1440" w:gutter="0" w:footer="0" w:header="0"/>
        </w:sectPr>
      </w:pPr>
    </w:p>
    <w:bookmarkStart w:id="212" w:name="page213"/>
    <w:bookmarkEnd w:id="212"/>
    <w:p>
      <w:pPr>
        <w:spacing w:after="0"/>
        <w:tabs>
          <w:tab w:leader="none" w:pos="6020" w:val="left"/>
        </w:tabs>
        <w:rPr>
          <w:sz w:val="20"/>
          <w:szCs w:val="20"/>
          <w:color w:val="auto"/>
        </w:rPr>
      </w:pPr>
      <w:r>
        <w:rPr>
          <w:rFonts w:ascii="Courier New" w:cs="Courier New" w:eastAsia="Courier New" w:hAnsi="Courier New"/>
          <w:sz w:val="14"/>
          <w:szCs w:val="14"/>
          <w:color w:val="auto"/>
        </w:rPr>
        <w:t>Annex C -- Opinion of J.P. Morgan Securities Inc.</w:t>
      </w:r>
      <w:r>
        <w:rPr>
          <w:sz w:val="20"/>
          <w:szCs w:val="20"/>
          <w:color w:val="auto"/>
        </w:rPr>
        <w:tab/>
      </w:r>
      <w:r>
        <w:rPr>
          <w:rFonts w:ascii="Courier New" w:cs="Courier New" w:eastAsia="Courier New" w:hAnsi="Courier New"/>
          <w:sz w:val="14"/>
          <w:szCs w:val="14"/>
          <w:color w:val="auto"/>
        </w:rPr>
        <w:t>JPMORGAN</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440" w:right="3859"/>
        <w:spacing w:after="0" w:line="251" w:lineRule="auto"/>
        <w:rPr>
          <w:sz w:val="20"/>
          <w:szCs w:val="20"/>
          <w:color w:val="auto"/>
        </w:rPr>
      </w:pPr>
      <w:r>
        <w:rPr>
          <w:rFonts w:ascii="Courier New" w:cs="Courier New" w:eastAsia="Courier New" w:hAnsi="Courier New"/>
          <w:sz w:val="14"/>
          <w:szCs w:val="14"/>
          <w:color w:val="auto"/>
        </w:rPr>
        <w:t>Company for the fiscal year ended December 31, 1998; (vii) certain internal financial analyses of potential synergies that may be realized from the Merger prepared by the Acquiror and the Company and their respective managements; (viii) certain presentations made by the Acquiror and the Company in 1998 to equity analysts regarding the performance of their respective businesses; and (ix) the terms of other business combinations that we deemed relevant.</w:t>
      </w:r>
    </w:p>
    <w:p>
      <w:pPr>
        <w:spacing w:after="0" w:line="164"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In addition, we have participated in discussions with certain members of the management of the Acquiror and the Company with respect to certain aspects of the Merger, the past and current business operations of the Acquiror and the Company, the financial condition and future prospects and operations of the Acquiror and the Company, and certain other matters we believed necessary or appropriate to our inquiry. We have reviewed such other financial studies and analyses and considered such other information as we deemed appropriate for the purposes of this opinion.</w:t>
      </w:r>
    </w:p>
    <w:p>
      <w:pPr>
        <w:spacing w:after="0" w:line="164" w:lineRule="exact"/>
        <w:rPr>
          <w:sz w:val="20"/>
          <w:szCs w:val="20"/>
          <w:color w:val="auto"/>
        </w:rPr>
      </w:pPr>
    </w:p>
    <w:p>
      <w:pPr>
        <w:ind w:left="440" w:right="3779" w:firstLine="431"/>
        <w:spacing w:after="0" w:line="250" w:lineRule="auto"/>
        <w:rPr>
          <w:sz w:val="20"/>
          <w:szCs w:val="20"/>
          <w:color w:val="auto"/>
        </w:rPr>
      </w:pPr>
      <w:r>
        <w:rPr>
          <w:rFonts w:ascii="Courier New" w:cs="Courier New" w:eastAsia="Courier New" w:hAnsi="Courier New"/>
          <w:sz w:val="14"/>
          <w:szCs w:val="14"/>
          <w:color w:val="auto"/>
        </w:rPr>
        <w:t>In giving our opinion, we have relied upon and assumed, without independent verification, the accuracy and completeness of all information that was publicly available or was furnished to us by the Acquiror and the Company or otherwise reviewed by us, and we have not assumed any responsibility or liability therefor. We have not conducted any valuation or appraisal of any assets or liabilities, nor have any such valuations or appraisals been provided to us. In relying on financial analyses provided to us of potential synergies that may be realized from the Merger, we have assumed that they have been reasonably prepared based on assumptions reflecting the best currently available estimates and judgments by management as to such potential synergies. We have also assumed that the Merger will have the tax consequences and pooling-of-interests accounting treatment described in the Agreement and the Proxy Statement, and that the transactions contemplated by the Agreement will be consummated as described in the Agreement and the Proxy Statement. We have relied as to all legal matters relevant to rendering our opinion upon the advice of counsel.</w:t>
      </w:r>
    </w:p>
    <w:p>
      <w:pPr>
        <w:spacing w:after="0" w:line="339" w:lineRule="exact"/>
        <w:rPr>
          <w:sz w:val="20"/>
          <w:szCs w:val="20"/>
          <w:color w:val="auto"/>
        </w:rPr>
      </w:pPr>
    </w:p>
    <w:p>
      <w:pPr>
        <w:ind w:left="440" w:right="3939" w:firstLine="431"/>
        <w:spacing w:after="0" w:line="251" w:lineRule="auto"/>
        <w:rPr>
          <w:sz w:val="20"/>
          <w:szCs w:val="20"/>
          <w:color w:val="auto"/>
        </w:rPr>
      </w:pPr>
      <w:r>
        <w:rPr>
          <w:rFonts w:ascii="Courier New" w:cs="Courier New" w:eastAsia="Courier New" w:hAnsi="Courier New"/>
          <w:sz w:val="14"/>
          <w:szCs w:val="14"/>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We are expressing no opinion herein as to the price at which the Acquiror's Common Stock will trade at any future time.</w:t>
      </w:r>
    </w:p>
    <w:p>
      <w:pPr>
        <w:spacing w:after="0" w:line="164"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We have acted as financial advisor to the Acquiror with respect to the proposed Merger and will receive a fee from the Acquiror for our services. We will also receive all additional fee if the proposed Merger is consummated. As you are aware, in the past we have provided financial advisory services to a subsidiary of the Acquiror. Please be advised that in the past we have provided financial advisory and other services to the Company. In the ordinary course of their businesses, our affiliates may actively trade the debt and equity securities of the Acquiror or the Company for their own account or for the accounts of customers and, accordingly, they may at any time hold long or short positions in such securities.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type w:val="continuous"/>
        </w:sectPr>
      </w:pPr>
    </w:p>
    <w:bookmarkStart w:id="213" w:name="page214"/>
    <w:bookmarkEnd w:id="213"/>
    <w:p>
      <w:pPr>
        <w:jc w:val="right"/>
        <w:ind w:right="3519"/>
        <w:spacing w:after="0"/>
        <w:rPr>
          <w:sz w:val="20"/>
          <w:szCs w:val="20"/>
          <w:color w:val="auto"/>
        </w:rPr>
      </w:pPr>
      <w:r>
        <w:rPr>
          <w:rFonts w:ascii="Courier New" w:cs="Courier New" w:eastAsia="Courier New" w:hAnsi="Courier New"/>
          <w:sz w:val="14"/>
          <w:szCs w:val="14"/>
          <w:color w:val="auto"/>
        </w:rPr>
        <w:t>Annex C -- Opinion of J.P. Morgan Securities Inc.</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JPMORGAN</w:t>
      </w:r>
    </w:p>
    <w:p>
      <w:pPr>
        <w:spacing w:after="0" w:line="338"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On the basis of and subject to the foregoing, it is our opinion as of the date hereof that the consideration to be paid by the Acquiror in the proposed Merger is fair, from a financial point of view, to the Acquiror.</w:t>
      </w:r>
    </w:p>
    <w:p>
      <w:pPr>
        <w:spacing w:after="0" w:line="162"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This letter is provided to the Board of Directors of the Acquiror in connection with and for the purposes of its evaluation of the Merger. This opinion does not constitute a recommendation to any stockholder of the Acquiror as to how such stockholder should vote with respect to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James R. Elliott III</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 James R. Elliott III</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 Managing Director</w:t>
      </w:r>
    </w:p>
    <w:p>
      <w:pPr>
        <w:spacing w:after="0" w:line="173"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9799"/>
          </w:cols>
          <w:pgMar w:left="660" w:top="616" w:right="1440" w:bottom="1440" w:gutter="0" w:footer="0" w:header="0"/>
        </w:sectPr>
      </w:pPr>
    </w:p>
    <w:bookmarkStart w:id="214" w:name="page215"/>
    <w:bookmarkEnd w:id="214"/>
    <w:p>
      <w:pPr>
        <w:ind w:left="6120"/>
        <w:spacing w:after="0"/>
        <w:rPr>
          <w:sz w:val="20"/>
          <w:szCs w:val="20"/>
          <w:color w:val="auto"/>
        </w:rPr>
      </w:pPr>
      <w:r>
        <w:rPr>
          <w:rFonts w:ascii="Courier New" w:cs="Courier New" w:eastAsia="Courier New" w:hAnsi="Courier New"/>
          <w:sz w:val="14"/>
          <w:szCs w:val="14"/>
          <w:color w:val="auto"/>
        </w:rPr>
        <w:t>Annex D</w:t>
      </w:r>
    </w:p>
    <w:p>
      <w:pPr>
        <w:spacing w:after="0" w:line="173" w:lineRule="exact"/>
        <w:rPr>
          <w:sz w:val="20"/>
          <w:szCs w:val="20"/>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Goldman, Sachs &amp; Co. | 85 Broad Street | New York, New York 10004 Tel: 212-902-1000</w:t>
      </w:r>
    </w:p>
    <w:p>
      <w:pPr>
        <w:spacing w:after="0" w:line="326"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Goldman</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Sachs 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AND CONFIDENTIAL</w:t>
      </w:r>
    </w:p>
    <w:p>
      <w:pPr>
        <w:spacing w:after="0" w:line="7" w:lineRule="exact"/>
        <w:rPr>
          <w:sz w:val="20"/>
          <w:szCs w:val="20"/>
          <w:color w:val="auto"/>
        </w:rPr>
      </w:pPr>
    </w:p>
    <w:p>
      <w:pPr>
        <w:ind w:left="180" w:hanging="172"/>
        <w:spacing w:after="0"/>
        <w:tabs>
          <w:tab w:leader="none" w:pos="18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April 2,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22037-0001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(other than Exxon Corporation ("Acquiror") or any of its subsidiaries or affiliates) (the "Holders") of the outstanding shares of Common Stock, par value $1.00 per share (the "Shares"), of Mobil Corporation (the "Company") of the exchange ratio of 1.32015 shares of Common Stock, without par value ("Acquiror Shares"), of Acquiror to be received for each Share (the "Exchange Ratio") pursuant to the Agreement and Plan of Merger, dated as of December 1, 1998, among Acquiror, Lion Acquisition Subsidiary Corporation, a wholly-owned subsidiary of Acquiror, and the Company (the "Agreement").</w:t>
      </w:r>
    </w:p>
    <w:p>
      <w:pPr>
        <w:spacing w:after="0" w:line="16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Goldman, Sachs &amp; Co.,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provided certain investment banking services to the Company from time to time, including having acted as dealer on the Company's commercial paper program; having acted as agent on the Company's stock repurchase program and medium term note program; and having acted as lead-managing underwriter of a public offering of Mobil Corporation Pass Through Certificates, Series 1997-A in May 1997. We also have provided certain investment banking services to Acquiror from time to time and may provide investment banking services to Acquiror in the future. Goldman, Sachs &amp; Co. provides a full range of financial advisory and securities services and, in the course of its normal trading activities,</w:t>
      </w:r>
    </w:p>
    <w:p>
      <w:pPr>
        <w:spacing w:after="0" w:line="7"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may from time to time effect transactions and hold securities, including derivative securities, of the Company or Acquiror for its own account and for the accounts of customers. As of March 29, 1999, Goldman, Sachs &amp; Co. accumulated a net short position of 299,546 Shares. As of March 29, 1999, Goldman, Sachs &amp; Co. accumulated a net short position of 71,699 Acquiror Shares, a net short position of options to purchase 150,000 Acquiror Shares and a net long position of warrants to purchase 4,175,795 Acquiror Shares.</w:t>
      </w:r>
    </w:p>
    <w:p>
      <w:pPr>
        <w:spacing w:after="0" w:line="164"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In connection with this opinion, we have reviewed, among other things, the Agreement; the Stock Option Agreement dated as of December 1, 1998 between Acquiror and the Company; the Joint Proxy Statement/Prospectus relating to the Annual Meetings of Stockholders of the Company and the</w:t>
      </w:r>
    </w:p>
    <w:p>
      <w:pPr>
        <w:sectPr>
          <w:pgSz w:w="11900" w:h="16838" w:orient="portrait"/>
          <w:cols w:equalWidth="0" w:num="1">
            <w:col w:w="10239"/>
          </w:cols>
          <w:pgMar w:left="220" w:top="616" w:right="1440" w:bottom="1440" w:gutter="0" w:footer="0" w:header="0"/>
        </w:sectPr>
      </w:pPr>
    </w:p>
    <w:bookmarkStart w:id="215" w:name="page216"/>
    <w:bookmarkEnd w:id="215"/>
    <w:p>
      <w:pPr>
        <w:jc w:val="center"/>
        <w:ind w:right="319"/>
        <w:spacing w:after="0"/>
        <w:rPr>
          <w:sz w:val="20"/>
          <w:szCs w:val="20"/>
          <w:color w:val="auto"/>
        </w:rPr>
      </w:pPr>
      <w:r>
        <w:rPr>
          <w:rFonts w:ascii="Courier New" w:cs="Courier New" w:eastAsia="Courier New" w:hAnsi="Courier New"/>
          <w:sz w:val="14"/>
          <w:szCs w:val="14"/>
          <w:color w:val="auto"/>
        </w:rPr>
        <w:t>Annex D - Opinion of Goldman, Sachs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Acquiror to be held in connection with the Agreement; Annual Reports to Stockholders and Annual Reports on Form 10-K of the Company and Acquiror for the five years ended December 31, 1998; certain interim reports to stockholders and Quarterly Reports on Form 10-Q of the Company and Acquiror; certain other communications from the Company and Acquiror to their respective stockholders; certain internal financial analyses and forecasts for the Company prepared by its management; and certain cost savings and operating synergies projected by the managements of the Company and Acquiror to result from the transaction contemplated by the Agreement (the "Synergies"). We also have held discussions with members of the senior management of the Company regarding the strategic rationale for, and the potential benefits of, the transaction contemplated by the Agreement and the Company's past and current business operations, financial condition and future prospects. We reviewed forecasts regarding selected measures of future operating and financial performance of Acquiror in summary form prepared by management of the Company based on their discussions with management of Acquiror. Internal financial analyses and forecasts prepared by Acquiror were not otherwise made available for our review. In addition, we have reviewed the reported price and trading activity for the Shares and Acquiror Shares, compared certain financial and stock market information for the Company and Acquiror with similar information for certain other companies the securities of which are publicly traded, reviewed the financial terms of certain recent business combinations and performed such other studies and analyses as we considered appropriate.</w:t>
      </w:r>
    </w:p>
    <w:p>
      <w:pPr>
        <w:spacing w:after="0" w:line="176"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We have relied upon the accuracy and completeness of all of the financial and other information reviewed by us and have assumed such accuracy and completeness for purposes of rendering this opinion. In that regard, we have assumed with your consent that the Synergies have been reasonably prepared on a basis reflecting the best currently available estimates and judgments of the Company and Acquiror. We have assumed with your consent that the transaction contemplated by the Agreement will be accounted for as a pooling-of-interests under generally accepted accounting principles. We also have assumed that all material governmental, regulatory or other consents and approvals necessary for the consummation of the transaction contemplated by the Agreement will be obtained without any meaningful adverse effect on the Company or Acquiror. In addition, we have not made an independent evaluation or appraisal of the assets and liabilities of the Company or Acquiror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transaction contemplated by the Agreement and such opinion does not constitute a recommendation as to how any holder of Shares should vote with respect to such transaction.</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616" w:right="1440" w:bottom="1440" w:gutter="0" w:footer="0" w:header="0"/>
        </w:sectPr>
      </w:pPr>
    </w:p>
    <w:bookmarkStart w:id="216" w:name="page217"/>
    <w:bookmarkEnd w:id="216"/>
    <w:p>
      <w:pPr>
        <w:jc w:val="center"/>
        <w:ind w:right="319"/>
        <w:spacing w:after="0"/>
        <w:rPr>
          <w:sz w:val="20"/>
          <w:szCs w:val="20"/>
          <w:color w:val="auto"/>
        </w:rPr>
      </w:pPr>
      <w:r>
        <w:rPr>
          <w:rFonts w:ascii="Courier New" w:cs="Courier New" w:eastAsia="Courier New" w:hAnsi="Courier New"/>
          <w:sz w:val="14"/>
          <w:szCs w:val="14"/>
          <w:color w:val="auto"/>
        </w:rPr>
        <w:t>Annex D - Opinion of Goldman, Sachs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200" w:lineRule="exact"/>
        <w:rPr>
          <w:sz w:val="20"/>
          <w:szCs w:val="20"/>
          <w:color w:val="auto"/>
        </w:rPr>
      </w:pPr>
    </w:p>
    <w:p>
      <w:pPr>
        <w:spacing w:after="0" w:line="30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Based upon and subject to the foregoing and based upon such other matters as we consider relevant, it is our opinion that as of the date hereof the Exchange Ratio pursuant to the Agreement is fair from a financial point of view to the Holders of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616" w:right="1440" w:bottom="1440" w:gutter="0" w:footer="0" w:header="0"/>
        </w:sectPr>
      </w:pPr>
    </w:p>
    <w:bookmarkStart w:id="217" w:name="page218"/>
    <w:bookmarkEnd w:id="217"/>
    <w:p>
      <w:pPr>
        <w:jc w:val="center"/>
        <w:ind w:right="377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20.</w:t>
        <w:tab/>
        <w:t>Indemnification of Directors and Officers.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Indemnification under Exxon By-Laws and New Jersey Law. Exxon Corporation does not have any provisions for indemnification of directors or officers in its charter. Article Ten of the By-laws of Exxon provides that Exxon shall indemnify to the full extent permitted by law any director or officer made or threatened to be made a party to any legal action by reason of the fact that such person is or was a director, officer, employee or other corporate agent of Exxon or any subsidiary or served any other enterprise at the request of Exxon against expenses, judgments, fines, penalties, excise taxes and amounts paid in settlement. The New Jersey Business Corporation Act provides for the indemnification of directors and officers under certain conditions.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Exxon D&amp;O Insurance. The directors and officers of Exxon are insured under a policy of directors' and officers' liability insurance issued by a wholly-owned subsidiary of Exxon.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Merger Agreement Provisions Relating To Mobil Directors and Officers. The merger agreement provides that for seven years after the closing , Exxon will indemnify and hold harmless each person who was a director or officer of Mobil at or prior to the date of the merger agreement from their acts or omissions in those capacities occurring prior to the closing to the extent provided under Mobil's charter and by-laws as in effect on December 1, 1998.</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merger agreement also provides that for a period of seven years after the closing, Exxon will provide directors' and officers' liability insurance covering acts or omissions occurring prior to closing by each person currently covered by Mobil's officers' and directors' liability insurance policy. This insurance policy must be no less favorable than the Mobil policy in effect on December 1, 1998, except that Exxon will only be obligated to pay up to 300% of the annual premium paid by Mobil for such insurance as of December 1, 1998. Exxon may provide this coverage through a policy underwritten by a wholly-owned subsidiary of Exxon.</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21.</w:t>
        <w:tab/>
        <w:t>Exhibits and Financial Statement Schedules.</w:t>
      </w:r>
    </w:p>
    <w:p>
      <w:pPr>
        <w:spacing w:after="0" w:line="173" w:lineRule="exact"/>
        <w:rPr>
          <w:sz w:val="20"/>
          <w:szCs w:val="20"/>
          <w:color w:val="auto"/>
        </w:rPr>
      </w:pPr>
    </w:p>
    <w:p>
      <w:pPr>
        <w:ind w:left="860" w:hanging="421"/>
        <w:spacing w:after="0"/>
        <w:tabs>
          <w:tab w:leader="none" w:pos="8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Exhibits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980" w:right="3339" w:hanging="1110"/>
        <w:spacing w:after="0" w:line="250" w:lineRule="auto"/>
        <w:tabs>
          <w:tab w:leader="none" w:pos="19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December 1, 1998 among Mobil Corporation, Exxon Corporation and Lion Acquisition Subsidiary Corporation (with Exhibits</w:t>
      </w:r>
    </w:p>
    <w:p>
      <w:pPr>
        <w:spacing w:after="0" w:line="1" w:lineRule="exact"/>
        <w:rPr>
          <w:rFonts w:ascii="Courier New" w:cs="Courier New" w:eastAsia="Courier New" w:hAnsi="Courier New"/>
          <w:sz w:val="14"/>
          <w:szCs w:val="14"/>
          <w:color w:val="auto"/>
        </w:rPr>
      </w:pPr>
    </w:p>
    <w:p>
      <w:pPr>
        <w:ind w:left="1980" w:right="38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C-1 and C-2 thereto amended April 2, 1999) (included as Annex A to the Joint Proxy Statement/Prospectus contained in this Registration Statement).</w:t>
      </w:r>
    </w:p>
    <w:p>
      <w:pPr>
        <w:spacing w:after="0" w:line="32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240" w:type="dxa"/>
            <w:vAlign w:val="bottom"/>
          </w:tcPr>
          <w:p>
            <w:pPr>
              <w:ind w:left="460"/>
              <w:spacing w:after="0"/>
              <w:rPr>
                <w:sz w:val="20"/>
                <w:szCs w:val="20"/>
                <w:color w:val="auto"/>
              </w:rPr>
            </w:pPr>
            <w:r>
              <w:rPr>
                <w:rFonts w:ascii="Courier New" w:cs="Courier New" w:eastAsia="Courier New" w:hAnsi="Courier New"/>
                <w:sz w:val="14"/>
                <w:szCs w:val="14"/>
                <w:color w:val="auto"/>
              </w:rPr>
              <w:t>Restated Certificate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Incorporation of Exxon</w:t>
            </w:r>
          </w:p>
        </w:tc>
      </w:tr>
      <w:tr>
        <w:trPr>
          <w:trHeight w:val="166"/>
        </w:trPr>
        <w:tc>
          <w:tcPr>
            <w:tcW w:w="820" w:type="dxa"/>
            <w:vAlign w:val="bottom"/>
          </w:tcPr>
          <w:p>
            <w:pPr>
              <w:spacing w:after="0"/>
              <w:rPr>
                <w:sz w:val="14"/>
                <w:szCs w:val="14"/>
                <w:color w:val="auto"/>
              </w:rPr>
            </w:pPr>
          </w:p>
        </w:tc>
        <w:tc>
          <w:tcPr>
            <w:tcW w:w="2240" w:type="dxa"/>
            <w:vAlign w:val="bottom"/>
          </w:tcPr>
          <w:p>
            <w:pPr>
              <w:ind w:left="460"/>
              <w:spacing w:after="0"/>
              <w:rPr>
                <w:sz w:val="20"/>
                <w:szCs w:val="20"/>
                <w:color w:val="auto"/>
              </w:rPr>
            </w:pPr>
            <w:r>
              <w:rPr>
                <w:rFonts w:ascii="Courier New" w:cs="Courier New" w:eastAsia="Courier New" w:hAnsi="Courier New"/>
                <w:sz w:val="14"/>
                <w:szCs w:val="14"/>
                <w:color w:val="auto"/>
              </w:rPr>
              <w:t>(incorporated herein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3(i) to the</w:t>
            </w:r>
          </w:p>
        </w:tc>
      </w:tr>
      <w:tr>
        <w:trPr>
          <w:trHeight w:val="166"/>
        </w:trPr>
        <w:tc>
          <w:tcPr>
            <w:tcW w:w="820" w:type="dxa"/>
            <w:vAlign w:val="bottom"/>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Registrant's Quarterly Report on Form 10-Q for the</w:t>
            </w:r>
          </w:p>
        </w:tc>
      </w:tr>
      <w:tr>
        <w:trPr>
          <w:trHeight w:val="166"/>
        </w:trPr>
        <w:tc>
          <w:tcPr>
            <w:tcW w:w="820" w:type="dxa"/>
            <w:vAlign w:val="bottom"/>
          </w:tcPr>
          <w:p>
            <w:pPr>
              <w:spacing w:after="0"/>
              <w:rPr>
                <w:sz w:val="14"/>
                <w:szCs w:val="14"/>
                <w:color w:val="auto"/>
              </w:rPr>
            </w:pPr>
          </w:p>
        </w:tc>
        <w:tc>
          <w:tcPr>
            <w:tcW w:w="250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quarter ended March 31,</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3(b)</w:t>
            </w:r>
          </w:p>
        </w:tc>
        <w:tc>
          <w:tcPr>
            <w:tcW w:w="530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Bylaws of Exxon (incorporated herein by reference to</w:t>
            </w:r>
          </w:p>
        </w:tc>
      </w:tr>
      <w:tr>
        <w:trPr>
          <w:trHeight w:val="166"/>
        </w:trPr>
        <w:tc>
          <w:tcPr>
            <w:tcW w:w="820" w:type="dxa"/>
            <w:vAlign w:val="bottom"/>
          </w:tcPr>
          <w:p>
            <w:pPr>
              <w:spacing w:after="0"/>
              <w:rPr>
                <w:sz w:val="14"/>
                <w:szCs w:val="14"/>
                <w:color w:val="auto"/>
              </w:rPr>
            </w:pPr>
          </w:p>
        </w:tc>
        <w:tc>
          <w:tcPr>
            <w:tcW w:w="2240" w:type="dxa"/>
            <w:vAlign w:val="bottom"/>
          </w:tcPr>
          <w:p>
            <w:pPr>
              <w:ind w:left="460"/>
              <w:spacing w:after="0"/>
              <w:rPr>
                <w:sz w:val="20"/>
                <w:szCs w:val="20"/>
                <w:color w:val="auto"/>
              </w:rPr>
            </w:pPr>
            <w:r>
              <w:rPr>
                <w:rFonts w:ascii="Courier New" w:cs="Courier New" w:eastAsia="Courier New" w:hAnsi="Courier New"/>
                <w:sz w:val="14"/>
                <w:szCs w:val="14"/>
                <w:color w:val="auto"/>
              </w:rPr>
              <w:t>Exhibit 3(ii) to the</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Registrant's Annual Report on Form</w:t>
            </w:r>
          </w:p>
        </w:tc>
      </w:tr>
      <w:tr>
        <w:trPr>
          <w:trHeight w:val="166"/>
        </w:trPr>
        <w:tc>
          <w:tcPr>
            <w:tcW w:w="820" w:type="dxa"/>
            <w:vAlign w:val="bottom"/>
          </w:tcPr>
          <w:p>
            <w:pPr>
              <w:spacing w:after="0"/>
              <w:rPr>
                <w:sz w:val="14"/>
                <w:szCs w:val="14"/>
                <w:color w:val="auto"/>
              </w:rPr>
            </w:pPr>
          </w:p>
        </w:tc>
        <w:tc>
          <w:tcPr>
            <w:tcW w:w="2240" w:type="dxa"/>
            <w:vAlign w:val="bottom"/>
          </w:tcPr>
          <w:p>
            <w:pPr>
              <w:ind w:left="460"/>
              <w:spacing w:after="0"/>
              <w:rPr>
                <w:sz w:val="20"/>
                <w:szCs w:val="20"/>
                <w:color w:val="auto"/>
              </w:rPr>
            </w:pPr>
            <w:r>
              <w:rPr>
                <w:rFonts w:ascii="Courier New" w:cs="Courier New" w:eastAsia="Courier New" w:hAnsi="Courier New"/>
                <w:sz w:val="14"/>
                <w:szCs w:val="14"/>
                <w:color w:val="auto"/>
              </w:rPr>
              <w:t>10-K for 1995).</w:t>
            </w:r>
          </w:p>
        </w:tc>
        <w:tc>
          <w:tcPr>
            <w:tcW w:w="26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170" w:lineRule="exact"/>
        <w:rPr>
          <w:sz w:val="20"/>
          <w:szCs w:val="20"/>
          <w:color w:val="auto"/>
        </w:rPr>
      </w:pPr>
    </w:p>
    <w:p>
      <w:pPr>
        <w:ind w:left="1980" w:right="3419" w:hanging="1110"/>
        <w:spacing w:after="0" w:line="252" w:lineRule="auto"/>
        <w:tabs>
          <w:tab w:leader="none" w:pos="19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Charles W. Matthews, General Counsel of Exxon Corporation, regarding the validity of the securities being registered.</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8(a)</w:t>
            </w:r>
          </w:p>
        </w:tc>
        <w:tc>
          <w:tcPr>
            <w:tcW w:w="1120" w:type="dxa"/>
            <w:vAlign w:val="bottom"/>
          </w:tcPr>
          <w:p>
            <w:pPr>
              <w:ind w:left="460"/>
              <w:spacing w:after="0"/>
              <w:rPr>
                <w:sz w:val="20"/>
                <w:szCs w:val="20"/>
                <w:color w:val="auto"/>
              </w:rPr>
            </w:pPr>
            <w:r>
              <w:rPr>
                <w:rFonts w:ascii="Courier New" w:cs="Courier New" w:eastAsia="Courier New" w:hAnsi="Courier New"/>
                <w:sz w:val="14"/>
                <w:szCs w:val="14"/>
                <w:color w:val="auto"/>
              </w:rPr>
              <w:t>Opinion</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of Davis Polk &amp; Wardwell regarding certain</w:t>
            </w:r>
          </w:p>
        </w:tc>
      </w:tr>
      <w:tr>
        <w:trPr>
          <w:trHeight w:val="166"/>
        </w:trPr>
        <w:tc>
          <w:tcPr>
            <w:tcW w:w="820" w:type="dxa"/>
            <w:vAlign w:val="bottom"/>
          </w:tcPr>
          <w:p>
            <w:pPr>
              <w:spacing w:after="0"/>
              <w:rPr>
                <w:sz w:val="14"/>
                <w:szCs w:val="14"/>
                <w:color w:val="auto"/>
              </w:rPr>
            </w:pPr>
          </w:p>
        </w:tc>
        <w:tc>
          <w:tcPr>
            <w:tcW w:w="1120" w:type="dxa"/>
            <w:vAlign w:val="bottom"/>
          </w:tcPr>
          <w:p>
            <w:pPr>
              <w:ind w:left="460"/>
              <w:spacing w:after="0"/>
              <w:rPr>
                <w:sz w:val="20"/>
                <w:szCs w:val="20"/>
                <w:color w:val="auto"/>
              </w:rPr>
            </w:pPr>
            <w:r>
              <w:rPr>
                <w:rFonts w:ascii="Courier New" w:cs="Courier New" w:eastAsia="Courier New" w:hAnsi="Courier New"/>
                <w:sz w:val="14"/>
                <w:szCs w:val="14"/>
                <w:color w:val="auto"/>
              </w:rPr>
              <w:t>federal</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income tax consequences relating to the merger.</w:t>
            </w:r>
          </w:p>
        </w:tc>
      </w:tr>
    </w:tbl>
    <w:p>
      <w:pPr>
        <w:spacing w:after="0" w:line="17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S4-II-1</w:t>
      </w:r>
    </w:p>
    <w:p>
      <w:pPr>
        <w:sectPr>
          <w:pgSz w:w="11900" w:h="16838" w:orient="portrait"/>
          <w:cols w:equalWidth="0" w:num="1">
            <w:col w:w="10239"/>
          </w:cols>
          <w:pgMar w:left="220" w:top="616" w:right="1440" w:bottom="1440" w:gutter="0" w:footer="0" w:header="0"/>
          <w:type w:val="continuous"/>
        </w:sectPr>
      </w:pPr>
    </w:p>
    <w:bookmarkStart w:id="218" w:name="page219"/>
    <w:bookmarkEnd w:id="218"/>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9619"/>
          </w:cols>
          <w:pgMar w:left="840" w:top="450"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Number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380" w:space="720"/>
            <w:col w:w="6519"/>
          </w:cols>
          <w:pgMar w:left="840" w:top="450"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8(b)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Opinion of Skadden, Arps, Slate, Meagher &amp; Flom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regarding certain federal income tax consequences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merger.</w:t>
      </w:r>
    </w:p>
    <w:p>
      <w:pPr>
        <w:spacing w:after="0" w:line="173" w:lineRule="exact"/>
        <w:rPr>
          <w:sz w:val="20"/>
          <w:szCs w:val="20"/>
          <w:color w:val="auto"/>
        </w:rPr>
      </w:pPr>
    </w:p>
    <w:p>
      <w:pPr>
        <w:sectPr>
          <w:pgSz w:w="11900" w:h="16838" w:orient="portrait"/>
          <w:cols w:equalWidth="0" w:num="2">
            <w:col w:w="640" w:space="720"/>
            <w:col w:w="8259"/>
          </w:cols>
          <w:pgMar w:left="840" w:top="450" w:right="1440" w:bottom="1440" w:gutter="0" w:footer="0" w:header="0"/>
          <w:type w:val="continuous"/>
        </w:sectPr>
      </w:pPr>
    </w:p>
    <w:p>
      <w:pPr>
        <w:ind w:left="1360" w:right="3339" w:hanging="1196"/>
        <w:spacing w:after="0" w:line="252" w:lineRule="auto"/>
        <w:tabs>
          <w:tab w:leader="none" w:pos="13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Agreement dated as of December 1, 1998 between Exxon Corporation and Mobil Corporation (included as Annex B to the Joint Proxy Statement/Prospectus contained in this Registration Statement).</w:t>
      </w:r>
    </w:p>
    <w:p>
      <w:pPr>
        <w:spacing w:after="0" w:line="162" w:lineRule="exact"/>
        <w:rPr>
          <w:sz w:val="20"/>
          <w:szCs w:val="20"/>
          <w:color w:val="auto"/>
        </w:rPr>
      </w:pPr>
    </w:p>
    <w:p>
      <w:pPr>
        <w:ind w:left="1360" w:right="3339" w:hanging="1196"/>
        <w:spacing w:after="0" w:line="252" w:lineRule="auto"/>
        <w:tabs>
          <w:tab w:leader="none" w:pos="13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 (incorporated by reference to the Registrant's Annual Report on 10-K for the fiscal year ended December 31, 1998).</w:t>
      </w:r>
    </w:p>
    <w:p>
      <w:pPr>
        <w:spacing w:after="0" w:line="163"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4"/>
          <w:szCs w:val="14"/>
          <w:color w:val="auto"/>
        </w:rPr>
        <w:t>23(a)</w:t>
      </w:r>
      <w:r>
        <w:rPr>
          <w:sz w:val="20"/>
          <w:szCs w:val="20"/>
          <w:color w:val="auto"/>
        </w:rPr>
        <w:tab/>
      </w:r>
      <w:r>
        <w:rPr>
          <w:rFonts w:ascii="Courier New" w:cs="Courier New" w:eastAsia="Courier New" w:hAnsi="Courier New"/>
          <w:sz w:val="14"/>
          <w:szCs w:val="14"/>
          <w:color w:val="auto"/>
        </w:rPr>
        <w:t>Consent of PricewaterhouseCoopers LLP.</w:t>
      </w:r>
    </w:p>
    <w:p>
      <w:pPr>
        <w:spacing w:after="0" w:line="173"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4"/>
          <w:szCs w:val="14"/>
          <w:color w:val="auto"/>
        </w:rPr>
        <w:t>23(b)</w:t>
      </w:r>
      <w:r>
        <w:rPr>
          <w:sz w:val="20"/>
          <w:szCs w:val="20"/>
          <w:color w:val="auto"/>
        </w:rPr>
        <w:tab/>
      </w:r>
      <w:r>
        <w:rPr>
          <w:rFonts w:ascii="Courier New" w:cs="Courier New" w:eastAsia="Courier New" w:hAnsi="Courier New"/>
          <w:sz w:val="14"/>
          <w:szCs w:val="14"/>
          <w:color w:val="auto"/>
        </w:rPr>
        <w:t>Consent of Ernst &amp; Young LLP.</w:t>
      </w:r>
    </w:p>
    <w:p>
      <w:pPr>
        <w:spacing w:after="0" w:line="173" w:lineRule="exact"/>
        <w:rPr>
          <w:sz w:val="20"/>
          <w:szCs w:val="20"/>
          <w:color w:val="auto"/>
        </w:rPr>
      </w:pPr>
    </w:p>
    <w:p>
      <w:pPr>
        <w:ind w:left="1360" w:right="3519" w:hanging="1279"/>
        <w:spacing w:after="0" w:line="255" w:lineRule="auto"/>
        <w:tabs>
          <w:tab w:leader="none" w:pos="1340" w:val="left"/>
        </w:tabs>
        <w:rPr>
          <w:sz w:val="20"/>
          <w:szCs w:val="20"/>
          <w:color w:val="auto"/>
        </w:rPr>
      </w:pPr>
      <w:r>
        <w:rPr>
          <w:rFonts w:ascii="Courier New" w:cs="Courier New" w:eastAsia="Courier New" w:hAnsi="Courier New"/>
          <w:sz w:val="14"/>
          <w:szCs w:val="14"/>
          <w:color w:val="auto"/>
        </w:rPr>
        <w:t>23(c)</w:t>
      </w:r>
      <w:r>
        <w:rPr>
          <w:sz w:val="20"/>
          <w:szCs w:val="20"/>
          <w:color w:val="auto"/>
        </w:rPr>
        <w:tab/>
      </w:r>
      <w:r>
        <w:rPr>
          <w:rFonts w:ascii="Courier New" w:cs="Courier New" w:eastAsia="Courier New" w:hAnsi="Courier New"/>
          <w:sz w:val="14"/>
          <w:szCs w:val="14"/>
          <w:color w:val="auto"/>
        </w:rPr>
        <w:t>Consent of Charles W. Matthews (included in the opinion filed as Exhibit 5 to this Registration Statement).</w:t>
      </w:r>
    </w:p>
    <w:p>
      <w:pPr>
        <w:spacing w:after="0" w:line="160" w:lineRule="exact"/>
        <w:rPr>
          <w:sz w:val="20"/>
          <w:szCs w:val="20"/>
          <w:color w:val="auto"/>
        </w:rPr>
      </w:pPr>
    </w:p>
    <w:p>
      <w:pPr>
        <w:ind w:left="1360" w:right="3339" w:hanging="1279"/>
        <w:spacing w:after="0" w:line="255" w:lineRule="auto"/>
        <w:tabs>
          <w:tab w:leader="none" w:pos="1340" w:val="left"/>
        </w:tabs>
        <w:rPr>
          <w:sz w:val="20"/>
          <w:szCs w:val="20"/>
          <w:color w:val="auto"/>
        </w:rPr>
      </w:pPr>
      <w:r>
        <w:rPr>
          <w:rFonts w:ascii="Courier New" w:cs="Courier New" w:eastAsia="Courier New" w:hAnsi="Courier New"/>
          <w:sz w:val="14"/>
          <w:szCs w:val="14"/>
          <w:color w:val="auto"/>
        </w:rPr>
        <w:t>23(d)</w:t>
      </w:r>
      <w:r>
        <w:rPr>
          <w:sz w:val="20"/>
          <w:szCs w:val="20"/>
          <w:color w:val="auto"/>
        </w:rPr>
        <w:tab/>
      </w:r>
      <w:r>
        <w:rPr>
          <w:rFonts w:ascii="Courier New" w:cs="Courier New" w:eastAsia="Courier New" w:hAnsi="Courier New"/>
          <w:sz w:val="14"/>
          <w:szCs w:val="14"/>
          <w:color w:val="auto"/>
        </w:rPr>
        <w:t>Consent of Davis Polk &amp; Wardwell (included in the opinion filed as Exhibit 8(a) to this Registration Statement).</w:t>
      </w:r>
    </w:p>
    <w:p>
      <w:pPr>
        <w:spacing w:after="0" w:line="160" w:lineRule="exact"/>
        <w:rPr>
          <w:sz w:val="20"/>
          <w:szCs w:val="20"/>
          <w:color w:val="auto"/>
        </w:rPr>
      </w:pPr>
    </w:p>
    <w:p>
      <w:pPr>
        <w:ind w:left="1360" w:right="3599" w:hanging="1279"/>
        <w:spacing w:after="0" w:line="252" w:lineRule="auto"/>
        <w:tabs>
          <w:tab w:leader="none" w:pos="1340" w:val="left"/>
        </w:tabs>
        <w:rPr>
          <w:sz w:val="20"/>
          <w:szCs w:val="20"/>
          <w:color w:val="auto"/>
        </w:rPr>
      </w:pPr>
      <w:r>
        <w:rPr>
          <w:rFonts w:ascii="Courier New" w:cs="Courier New" w:eastAsia="Courier New" w:hAnsi="Courier New"/>
          <w:sz w:val="14"/>
          <w:szCs w:val="14"/>
          <w:color w:val="auto"/>
        </w:rPr>
        <w:t>23(e)</w:t>
      </w:r>
      <w:r>
        <w:rPr>
          <w:sz w:val="20"/>
          <w:szCs w:val="20"/>
          <w:color w:val="auto"/>
        </w:rPr>
        <w:tab/>
      </w:r>
      <w:r>
        <w:rPr>
          <w:rFonts w:ascii="Courier New" w:cs="Courier New" w:eastAsia="Courier New" w:hAnsi="Courier New"/>
          <w:sz w:val="14"/>
          <w:szCs w:val="14"/>
          <w:color w:val="auto"/>
        </w:rPr>
        <w:t>Consent of Skadden, Arps, Slate, Meagher &amp; Flom LLP (included in the opinion filed as Exhibit 8(b) to this Registration Statement).</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23(f)</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J.P. Morgan Securities Inc.</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23(g)</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Goldman, Sachs &amp; Co.</w:t>
            </w:r>
          </w:p>
        </w:tc>
      </w:tr>
      <w:tr>
        <w:trPr>
          <w:trHeight w:val="331"/>
        </w:trPr>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24</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Power of Attorney.</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Form of Exxon Proxy Card.</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99(b)</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Form of Mobil Proxy Card.</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99(c)</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Lucio A. Noto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99(d)</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Consent of Eugene</w:t>
            </w: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 Renna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99(e)</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Consent of Donald</w:t>
            </w: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V. Fites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99(f)</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Charles A. Heimbold, Jr. to be named as a</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nominee for</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Exxon Mobil 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99(g)</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Consent of Helene</w:t>
            </w: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L. Kaplan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99(h)</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J. Richard Munro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bl>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S4-II-2</w:t>
      </w:r>
    </w:p>
    <w:p>
      <w:pPr>
        <w:sectPr>
          <w:pgSz w:w="11900" w:h="16838" w:orient="portrait"/>
          <w:cols w:equalWidth="0" w:num="1">
            <w:col w:w="9619"/>
          </w:cols>
          <w:pgMar w:left="840" w:top="450" w:right="1440" w:bottom="1440" w:gutter="0" w:footer="0" w:header="0"/>
          <w:type w:val="continuous"/>
        </w:sectPr>
      </w:pPr>
    </w:p>
    <w:bookmarkStart w:id="219" w:name="page220"/>
    <w:bookmarkEnd w:id="219"/>
    <w:p>
      <w:pPr>
        <w:spacing w:after="0"/>
        <w:tabs>
          <w:tab w:leader="none" w:pos="840" w:val="left"/>
        </w:tabs>
        <w:rPr>
          <w:sz w:val="20"/>
          <w:szCs w:val="20"/>
          <w:color w:val="auto"/>
        </w:rPr>
      </w:pPr>
      <w:r>
        <w:rPr>
          <w:rFonts w:ascii="Courier New" w:cs="Courier New" w:eastAsia="Courier New" w:hAnsi="Courier New"/>
          <w:sz w:val="14"/>
          <w:szCs w:val="14"/>
          <w:color w:val="auto"/>
        </w:rPr>
        <w:t>Item 22.</w:t>
        <w:tab/>
        <w:t>Undertakings.</w:t>
      </w:r>
    </w:p>
    <w:p>
      <w:pPr>
        <w:spacing w:after="0" w:line="173" w:lineRule="exact"/>
        <w:rPr>
          <w:sz w:val="20"/>
          <w:szCs w:val="20"/>
          <w:color w:val="auto"/>
        </w:rPr>
      </w:pPr>
    </w:p>
    <w:p>
      <w:pPr>
        <w:ind w:left="960" w:hanging="435"/>
        <w:spacing w:after="0"/>
        <w:tabs>
          <w:tab w:leader="none" w:pos="9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left="260" w:right="3419" w:firstLine="265"/>
        <w:spacing w:after="0" w:line="255" w:lineRule="auto"/>
        <w:tabs>
          <w:tab w:leader="none" w:pos="86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860" w:right="3939" w:firstLine="1216"/>
        <w:spacing w:after="0" w:line="255" w:lineRule="auto"/>
        <w:tabs>
          <w:tab w:leader="none" w:pos="241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860" w:right="3339" w:firstLine="1129"/>
        <w:spacing w:after="0" w:line="251" w:lineRule="auto"/>
        <w:tabs>
          <w:tab w:leader="none" w:pos="241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28" w:lineRule="exact"/>
        <w:rPr>
          <w:rFonts w:ascii="Courier New" w:cs="Courier New" w:eastAsia="Courier New" w:hAnsi="Courier New"/>
          <w:sz w:val="14"/>
          <w:szCs w:val="14"/>
          <w:color w:val="auto"/>
        </w:rPr>
      </w:pPr>
    </w:p>
    <w:p>
      <w:pPr>
        <w:jc w:val="both"/>
        <w:ind w:left="860" w:right="3419" w:firstLine="1043"/>
        <w:spacing w:after="0" w:line="252" w:lineRule="auto"/>
        <w:tabs>
          <w:tab w:leader="none" w:pos="241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w:t>
      </w:r>
    </w:p>
    <w:p>
      <w:pPr>
        <w:spacing w:after="0" w:line="7" w:lineRule="exact"/>
        <w:rPr>
          <w:rFonts w:ascii="Courier New" w:cs="Courier New" w:eastAsia="Courier New" w:hAnsi="Courier New"/>
          <w:sz w:val="14"/>
          <w:szCs w:val="14"/>
          <w:color w:val="auto"/>
        </w:rPr>
      </w:pPr>
    </w:p>
    <w:p>
      <w:pPr>
        <w:ind w:left="26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260" w:right="3339" w:firstLine="265"/>
        <w:spacing w:after="0" w:line="250" w:lineRule="auto"/>
        <w:tabs>
          <w:tab w:leader="none" w:pos="86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offering.</w:t>
      </w:r>
    </w:p>
    <w:p>
      <w:pPr>
        <w:spacing w:after="0" w:line="172" w:lineRule="exact"/>
        <w:rPr>
          <w:rFonts w:ascii="Courier New" w:cs="Courier New" w:eastAsia="Courier New" w:hAnsi="Courier New"/>
          <w:sz w:val="14"/>
          <w:szCs w:val="14"/>
          <w:color w:val="auto"/>
        </w:rPr>
      </w:pPr>
    </w:p>
    <w:p>
      <w:pPr>
        <w:ind w:left="260" w:right="3519" w:firstLine="265"/>
        <w:spacing w:after="0" w:line="251" w:lineRule="auto"/>
        <w:tabs>
          <w:tab w:leader="none" w:pos="86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rFonts w:ascii="Courier New" w:cs="Courier New" w:eastAsia="Courier New" w:hAnsi="Courier New"/>
          <w:sz w:val="14"/>
          <w:szCs w:val="14"/>
          <w:color w:val="auto"/>
        </w:rPr>
      </w:pPr>
    </w:p>
    <w:p>
      <w:pPr>
        <w:ind w:left="260" w:right="3519" w:firstLine="265"/>
        <w:spacing w:after="0" w:line="251" w:lineRule="auto"/>
        <w:tabs>
          <w:tab w:leader="none" w:pos="86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paragraph (4)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260" w:right="3519" w:firstLine="265"/>
        <w:spacing w:after="0" w:line="251" w:lineRule="auto"/>
        <w:tabs>
          <w:tab w:leader="none" w:pos="86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260" w:right="3779" w:firstLine="265"/>
        <w:spacing w:after="0" w:line="251" w:lineRule="auto"/>
        <w:tabs>
          <w:tab w:leader="none" w:pos="86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S4-II-3</w:t>
      </w:r>
    </w:p>
    <w:p>
      <w:pPr>
        <w:sectPr>
          <w:pgSz w:w="11900" w:h="16838" w:orient="portrait"/>
          <w:cols w:equalWidth="0" w:num="1">
            <w:col w:w="10239"/>
          </w:cols>
          <w:pgMar w:left="220" w:top="782" w:right="1440" w:bottom="1440" w:gutter="0" w:footer="0" w:header="0"/>
        </w:sectPr>
      </w:pPr>
    </w:p>
    <w:bookmarkStart w:id="220" w:name="page221"/>
    <w:bookmarkEnd w:id="220"/>
    <w:p>
      <w:pPr>
        <w:ind w:right="3779"/>
        <w:spacing w:after="0" w:line="252" w:lineRule="auto"/>
        <w:rPr>
          <w:sz w:val="20"/>
          <w:szCs w:val="20"/>
          <w:color w:val="auto"/>
        </w:rPr>
      </w:pPr>
      <w:r>
        <w:rPr>
          <w:rFonts w:ascii="Courier New" w:cs="Courier New" w:eastAsia="Courier New" w:hAnsi="Courier New"/>
          <w:sz w:val="14"/>
          <w:szCs w:val="14"/>
          <w:color w:val="auto"/>
        </w:rPr>
        <w:t>information contained in documents filed subsequent to the effective date of the registration statement through the date of responding to the request.</w:t>
      </w:r>
    </w:p>
    <w:p>
      <w:pPr>
        <w:spacing w:after="0" w:line="163" w:lineRule="exact"/>
        <w:rPr>
          <w:sz w:val="20"/>
          <w:szCs w:val="20"/>
          <w:color w:val="auto"/>
        </w:rPr>
      </w:pPr>
    </w:p>
    <w:p>
      <w:pPr>
        <w:ind w:right="3519" w:firstLine="265"/>
        <w:spacing w:after="0" w:line="252" w:lineRule="auto"/>
        <w:tabs>
          <w:tab w:leader="none" w:pos="603"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left="-260" w:right="3339" w:firstLine="525"/>
        <w:spacing w:after="0" w:line="250" w:lineRule="auto"/>
        <w:tabs>
          <w:tab w:leader="none" w:pos="60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S4-II-4</w:t>
      </w:r>
    </w:p>
    <w:p>
      <w:pPr>
        <w:sectPr>
          <w:pgSz w:w="11900" w:h="16838" w:orient="portrait"/>
          <w:cols w:equalWidth="0" w:num="1">
            <w:col w:w="9979"/>
          </w:cols>
          <w:pgMar w:left="480" w:top="782" w:right="1440" w:bottom="1440" w:gutter="0" w:footer="0" w:header="0"/>
        </w:sectPr>
      </w:pPr>
    </w:p>
    <w:bookmarkStart w:id="221" w:name="page222"/>
    <w:bookmarkEnd w:id="221"/>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the City of Irving, State of Texas, on April 5, 1999.</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Lee R. Raymond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4640" w:val="left"/>
        </w:tabs>
        <w:rPr>
          <w:sz w:val="20"/>
          <w:szCs w:val="20"/>
          <w:color w:val="auto"/>
        </w:rPr>
      </w:pPr>
      <w:r>
        <w:rPr>
          <w:rFonts w:ascii="Courier New" w:cs="Courier New" w:eastAsia="Courier New" w:hAnsi="Courier New"/>
          <w:sz w:val="14"/>
          <w:szCs w:val="14"/>
          <w:color w:val="auto"/>
        </w:rPr>
        <w:t>Name:</w:t>
        <w:tab/>
        <w:t>Lee R. Raymond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 Chairman of the Board</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on behalf of the Registrant in the capacities and on the dates indicated.</w:t>
      </w:r>
    </w:p>
    <w:p>
      <w:pPr>
        <w:sectPr>
          <w:pgSz w:w="11900" w:h="16838" w:orient="portrait"/>
          <w:cols w:equalWidth="0" w:num="1">
            <w:col w:w="10239"/>
          </w:cols>
          <w:pgMar w:left="220" w:top="947" w:right="1440" w:bottom="1440" w:gutter="0" w:footer="0" w:header="0"/>
        </w:sectPr>
      </w:pP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560" w:space="720"/>
            <w:col w:w="1440" w:space="720"/>
            <w:col w:w="4799"/>
          </w:cols>
          <w:pgMar w:left="220" w:top="94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Lee R. 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5, 1999</w:t>
      </w:r>
    </w:p>
    <w:p>
      <w:pPr>
        <w:spacing w:after="0" w:line="7" w:lineRule="exact"/>
        <w:rPr>
          <w:sz w:val="20"/>
          <w:szCs w:val="20"/>
          <w:color w:val="auto"/>
        </w:rPr>
      </w:pPr>
    </w:p>
    <w:p>
      <w:pPr>
        <w:sectPr>
          <w:pgSz w:w="11900" w:h="16838" w:orient="portrait"/>
          <w:cols w:equalWidth="0" w:num="3">
            <w:col w:w="2380" w:space="720"/>
            <w:col w:w="1820" w:space="340"/>
            <w:col w:w="4979"/>
          </w:cols>
          <w:pgMar w:left="220" w:top="947" w:right="1440" w:bottom="1440" w:gutter="0" w:footer="0" w:header="0"/>
          <w:type w:val="continuous"/>
        </w:sect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(Lee R. Raymond)</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J. Boskin)</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(Rene Dahan)</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T. Esrey)</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(Jess Hay)</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R. Houghton)</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R. Howell)</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(Reatha Clark King)</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(Philip E. Lippincott)</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(Harry J. Longwell)</w:t>
      </w:r>
    </w:p>
    <w:p>
      <w:pPr>
        <w:spacing w:after="0" w:line="173" w:lineRule="exact"/>
        <w:rPr>
          <w:sz w:val="20"/>
          <w:szCs w:val="20"/>
          <w:color w:val="auto"/>
        </w:rPr>
      </w:pPr>
    </w:p>
    <w:p>
      <w:pPr>
        <w:ind w:left="1220"/>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5, 1999</w:t>
      </w:r>
    </w:p>
    <w:p>
      <w:pPr>
        <w:spacing w:after="0" w:line="7" w:lineRule="exact"/>
        <w:rPr>
          <w:sz w:val="20"/>
          <w:szCs w:val="20"/>
          <w:color w:val="auto"/>
        </w:rPr>
      </w:pPr>
    </w:p>
    <w:p>
      <w:pPr>
        <w:ind w:left="180" w:hanging="172"/>
        <w:spacing w:after="0"/>
        <w:tabs>
          <w:tab w:leader="none" w:pos="1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(Marilyn Carlson Nelson)</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S4-II-5</w:t>
      </w:r>
    </w:p>
    <w:p>
      <w:pPr>
        <w:sectPr>
          <w:pgSz w:w="11900" w:h="16838" w:orient="portrait"/>
          <w:cols w:equalWidth="0" w:num="1">
            <w:col w:w="10239"/>
          </w:cols>
          <w:pgMar w:left="220" w:top="947" w:right="1440" w:bottom="1440" w:gutter="0" w:footer="0" w:header="0"/>
          <w:type w:val="continuous"/>
        </w:sectPr>
      </w:pPr>
    </w:p>
    <w:bookmarkStart w:id="222" w:name="page223"/>
    <w:bookmarkEnd w:id="222"/>
    <w:p>
      <w:pPr>
        <w:ind w:left="9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1999</w:t>
      </w:r>
    </w:p>
    <w:p>
      <w:pPr>
        <w:spacing w:after="0" w:line="7" w:lineRule="exact"/>
        <w:rPr>
          <w:sz w:val="20"/>
          <w:szCs w:val="20"/>
          <w:color w:val="auto"/>
        </w:rPr>
      </w:pPr>
    </w:p>
    <w:p>
      <w:pPr>
        <w:sectPr>
          <w:pgSz w:w="11900" w:h="16838" w:orient="portrait"/>
          <w:cols w:equalWidth="0" w:num="3">
            <w:col w:w="2380" w:space="720"/>
            <w:col w:w="1440" w:space="720"/>
            <w:col w:w="4979"/>
          </w:cols>
          <w:pgMar w:left="220" w:top="782" w:right="1440" w:bottom="1440" w:gutter="0" w:footer="0" w:header="0"/>
        </w:sectPr>
      </w:pPr>
    </w:p>
    <w:p>
      <w:pPr>
        <w:ind w:left="180" w:hanging="172"/>
        <w:spacing w:after="0"/>
        <w:tabs>
          <w:tab w:leader="none" w:pos="1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(Walter V. Shipley)</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1999</w:t>
      </w:r>
    </w:p>
    <w:p>
      <w:pPr>
        <w:spacing w:after="0" w:line="7" w:lineRule="exact"/>
        <w:rPr>
          <w:sz w:val="20"/>
          <w:szCs w:val="20"/>
          <w:color w:val="auto"/>
        </w:rPr>
      </w:pPr>
    </w:p>
    <w:p>
      <w:pPr>
        <w:sectPr>
          <w:pgSz w:w="11900" w:h="16838" w:orient="portrait"/>
          <w:cols w:equalWidth="0" w:num="3">
            <w:col w:w="2380" w:space="720"/>
            <w:col w:w="1440" w:space="720"/>
            <w:col w:w="497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Wilhelm)</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A. Risch)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Financial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1999</w:t>
      </w:r>
    </w:p>
    <w:p>
      <w:pPr>
        <w:spacing w:after="0" w:line="504" w:lineRule="exact"/>
        <w:rPr>
          <w:sz w:val="20"/>
          <w:szCs w:val="20"/>
          <w:color w:val="auto"/>
        </w:rPr>
      </w:pPr>
    </w:p>
    <w:p>
      <w:pPr>
        <w:sectPr>
          <w:pgSz w:w="11900" w:h="16838" w:orient="portrait"/>
          <w:cols w:equalWidth="0" w:num="3">
            <w:col w:w="2680" w:space="420"/>
            <w:col w:w="1900" w:space="260"/>
            <w:col w:w="4979"/>
          </w:cols>
          <w:pgMar w:left="220" w:top="782"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D. Humphreys)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Controller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Accounting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5, 1999</w:t>
      </w:r>
    </w:p>
    <w:p>
      <w:pPr>
        <w:spacing w:after="0" w:line="531" w:lineRule="exact"/>
        <w:rPr>
          <w:sz w:val="20"/>
          <w:szCs w:val="20"/>
          <w:color w:val="auto"/>
        </w:rPr>
      </w:pPr>
    </w:p>
    <w:p>
      <w:pPr>
        <w:sectPr>
          <w:pgSz w:w="11900" w:h="16838" w:orient="portrait"/>
          <w:cols w:equalWidth="0" w:num="3">
            <w:col w:w="2680" w:space="420"/>
            <w:col w:w="2000" w:space="160"/>
            <w:col w:w="4979"/>
          </w:cols>
          <w:pgMar w:left="220" w:top="78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E. Gutman</w:t>
      </w:r>
    </w:p>
    <w:p>
      <w:pPr>
        <w:spacing w:after="0" w:line="7" w:lineRule="exact"/>
        <w:rPr>
          <w:sz w:val="20"/>
          <w:szCs w:val="20"/>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(Richard E. Gutman) Attorney-in-Fact</w:t>
      </w:r>
    </w:p>
    <w:p>
      <w:pPr>
        <w:spacing w:after="0" w:line="160" w:lineRule="exact"/>
        <w:rPr>
          <w:sz w:val="20"/>
          <w:szCs w:val="20"/>
          <w:color w:val="auto"/>
        </w:rPr>
      </w:pPr>
    </w:p>
    <w:p>
      <w:pPr>
        <w:ind w:left="180" w:hanging="172"/>
        <w:spacing w:after="0"/>
        <w:tabs>
          <w:tab w:leader="none" w:pos="1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asterisk denotes execution by Richard E. Gutman as Attorney-in-Fact.</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S4-II-6</w:t>
      </w:r>
    </w:p>
    <w:p>
      <w:pPr>
        <w:sectPr>
          <w:pgSz w:w="11900" w:h="16838" w:orient="portrait"/>
          <w:cols w:equalWidth="0" w:num="1">
            <w:col w:w="10239"/>
          </w:cols>
          <w:pgMar w:left="220" w:top="782" w:right="1440" w:bottom="1440" w:gutter="0" w:footer="0" w:header="0"/>
          <w:type w:val="continuous"/>
        </w:sectPr>
      </w:pPr>
    </w:p>
    <w:bookmarkStart w:id="223" w:name="page224"/>
    <w:bookmarkEnd w:id="223"/>
    <w:p>
      <w:pPr>
        <w:ind w:left="232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9619"/>
          </w:cols>
          <w:pgMar w:left="840" w:top="947"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120" w:space="720"/>
            <w:col w:w="6779"/>
          </w:cols>
          <w:pgMar w:left="840" w:top="947" w:right="1440" w:bottom="1440" w:gutter="0" w:footer="0" w:header="0"/>
          <w:type w:val="continuous"/>
        </w:sectPr>
      </w:pPr>
    </w:p>
    <w:p>
      <w:pPr>
        <w:ind w:left="1360" w:right="3339" w:hanging="1110"/>
        <w:spacing w:after="0" w:line="250" w:lineRule="auto"/>
        <w:tabs>
          <w:tab w:leader="none" w:pos="13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December 1, 1998 among Mobil Corporation, Exxon Corporation and Lion Acquisition Subsidiary Corporation (with Exhibits</w:t>
      </w:r>
    </w:p>
    <w:p>
      <w:pPr>
        <w:spacing w:after="0" w:line="1" w:lineRule="exact"/>
        <w:rPr>
          <w:rFonts w:ascii="Courier New" w:cs="Courier New" w:eastAsia="Courier New" w:hAnsi="Courier New"/>
          <w:sz w:val="14"/>
          <w:szCs w:val="14"/>
          <w:color w:val="auto"/>
        </w:rPr>
      </w:pPr>
    </w:p>
    <w:p>
      <w:pPr>
        <w:ind w:left="1360" w:right="38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C-1 and C-2 thereto amended April 2, 1999) (included as Annex A to the Joint Proxy Statement/Prospectus contained in this Registration Statement).</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Form of Restated Certificate of Incorporation of Exxon</w:t>
            </w:r>
          </w:p>
        </w:tc>
      </w:tr>
      <w:tr>
        <w:trPr>
          <w:trHeight w:val="166"/>
        </w:trPr>
        <w:tc>
          <w:tcPr>
            <w:tcW w:w="820" w:type="dxa"/>
            <w:vAlign w:val="bottom"/>
          </w:tcPr>
          <w:p>
            <w:pPr>
              <w:spacing w:after="0"/>
              <w:rPr>
                <w:sz w:val="14"/>
                <w:szCs w:val="14"/>
                <w:color w:val="auto"/>
              </w:rPr>
            </w:pP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(incorporated herein by reference to Exhibit 3(i) to the</w:t>
            </w:r>
          </w:p>
        </w:tc>
      </w:tr>
      <w:tr>
        <w:trPr>
          <w:trHeight w:val="166"/>
        </w:trPr>
        <w:tc>
          <w:tcPr>
            <w:tcW w:w="820" w:type="dxa"/>
            <w:vAlign w:val="bottom"/>
          </w:tcPr>
          <w:p>
            <w:pPr>
              <w:spacing w:after="0"/>
              <w:rPr>
                <w:sz w:val="14"/>
                <w:szCs w:val="14"/>
                <w:color w:val="auto"/>
              </w:rPr>
            </w:pP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Registrant's Quarterly Report on Form 10-Q for the</w:t>
            </w:r>
          </w:p>
        </w:tc>
      </w:tr>
      <w:tr>
        <w:trPr>
          <w:trHeight w:val="166"/>
        </w:trPr>
        <w:tc>
          <w:tcPr>
            <w:tcW w:w="820" w:type="dxa"/>
            <w:vAlign w:val="bottom"/>
          </w:tcPr>
          <w:p>
            <w:pPr>
              <w:spacing w:after="0"/>
              <w:rPr>
                <w:sz w:val="14"/>
                <w:szCs w:val="14"/>
                <w:color w:val="auto"/>
              </w:rPr>
            </w:pP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quarter ended March 31, 1997).</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3(b)</w:t>
            </w: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Bylaws of Exxon (incorporated herein by reference to</w:t>
            </w:r>
          </w:p>
        </w:tc>
      </w:tr>
      <w:tr>
        <w:trPr>
          <w:trHeight w:val="166"/>
        </w:trPr>
        <w:tc>
          <w:tcPr>
            <w:tcW w:w="820" w:type="dxa"/>
            <w:vAlign w:val="bottom"/>
          </w:tcPr>
          <w:p>
            <w:pPr>
              <w:spacing w:after="0"/>
              <w:rPr>
                <w:sz w:val="14"/>
                <w:szCs w:val="14"/>
                <w:color w:val="auto"/>
              </w:rPr>
            </w:pP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Exhibit 3(ii) to the Registrant's Annual Report on Form</w:t>
            </w:r>
          </w:p>
        </w:tc>
      </w:tr>
      <w:tr>
        <w:trPr>
          <w:trHeight w:val="166"/>
        </w:trPr>
        <w:tc>
          <w:tcPr>
            <w:tcW w:w="820" w:type="dxa"/>
            <w:vAlign w:val="bottom"/>
          </w:tcPr>
          <w:p>
            <w:pPr>
              <w:spacing w:after="0"/>
              <w:rPr>
                <w:sz w:val="14"/>
                <w:szCs w:val="14"/>
                <w:color w:val="auto"/>
              </w:rPr>
            </w:pPr>
          </w:p>
        </w:tc>
        <w:tc>
          <w:tcPr>
            <w:tcW w:w="5300" w:type="dxa"/>
            <w:vAlign w:val="bottom"/>
          </w:tcPr>
          <w:p>
            <w:pPr>
              <w:ind w:left="460"/>
              <w:spacing w:after="0"/>
              <w:rPr>
                <w:sz w:val="20"/>
                <w:szCs w:val="20"/>
                <w:color w:val="auto"/>
              </w:rPr>
            </w:pPr>
            <w:r>
              <w:rPr>
                <w:rFonts w:ascii="Courier New" w:cs="Courier New" w:eastAsia="Courier New" w:hAnsi="Courier New"/>
                <w:sz w:val="14"/>
                <w:szCs w:val="14"/>
                <w:color w:val="auto"/>
              </w:rPr>
              <w:t>10-K for 1995).</w:t>
            </w:r>
          </w:p>
        </w:tc>
      </w:tr>
    </w:tbl>
    <w:p>
      <w:pPr>
        <w:spacing w:after="0" w:line="170" w:lineRule="exact"/>
        <w:rPr>
          <w:sz w:val="20"/>
          <w:szCs w:val="20"/>
          <w:color w:val="auto"/>
        </w:rPr>
      </w:pPr>
    </w:p>
    <w:p>
      <w:pPr>
        <w:ind w:left="1360" w:right="3419" w:hanging="1110"/>
        <w:spacing w:after="0" w:line="252" w:lineRule="auto"/>
        <w:tabs>
          <w:tab w:leader="none" w:pos="13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Charles W. Matthews, General Counsel of Exxon Corporation, regarding the validity of the securities being registered.</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8(a)</w:t>
            </w:r>
          </w:p>
        </w:tc>
        <w:tc>
          <w:tcPr>
            <w:tcW w:w="3260" w:type="dxa"/>
            <w:vAlign w:val="bottom"/>
          </w:tcPr>
          <w:p>
            <w:pPr>
              <w:ind w:left="460"/>
              <w:spacing w:after="0"/>
              <w:rPr>
                <w:sz w:val="20"/>
                <w:szCs w:val="20"/>
                <w:color w:val="auto"/>
              </w:rPr>
            </w:pPr>
            <w:r>
              <w:rPr>
                <w:rFonts w:ascii="Courier New" w:cs="Courier New" w:eastAsia="Courier New" w:hAnsi="Courier New"/>
                <w:sz w:val="14"/>
                <w:szCs w:val="14"/>
                <w:color w:val="auto"/>
              </w:rPr>
              <w:t>Opinion of Davis Polk &amp; Wardwell</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regarding</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certain</w:t>
            </w:r>
          </w:p>
        </w:tc>
      </w:tr>
      <w:tr>
        <w:trPr>
          <w:trHeight w:val="166"/>
        </w:trPr>
        <w:tc>
          <w:tcPr>
            <w:tcW w:w="820" w:type="dxa"/>
            <w:vAlign w:val="bottom"/>
          </w:tcPr>
          <w:p>
            <w:pPr>
              <w:spacing w:after="0"/>
              <w:rPr>
                <w:sz w:val="14"/>
                <w:szCs w:val="14"/>
                <w:color w:val="auto"/>
              </w:rPr>
            </w:pPr>
          </w:p>
        </w:tc>
        <w:tc>
          <w:tcPr>
            <w:tcW w:w="456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federal income tax consequences relating to the</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merger.</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8(b)</w:t>
            </w:r>
          </w:p>
        </w:tc>
        <w:tc>
          <w:tcPr>
            <w:tcW w:w="3260" w:type="dxa"/>
            <w:vAlign w:val="bottom"/>
          </w:tcPr>
          <w:p>
            <w:pPr>
              <w:ind w:left="460"/>
              <w:spacing w:after="0"/>
              <w:rPr>
                <w:sz w:val="20"/>
                <w:szCs w:val="20"/>
                <w:color w:val="auto"/>
              </w:rPr>
            </w:pPr>
            <w:r>
              <w:rPr>
                <w:rFonts w:ascii="Courier New" w:cs="Courier New" w:eastAsia="Courier New" w:hAnsi="Courier New"/>
                <w:sz w:val="14"/>
                <w:szCs w:val="14"/>
                <w:color w:val="auto"/>
              </w:rPr>
              <w:t>Opinion of Skadden, Arps, Slate,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Meagher &amp;</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Flom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r>
      <w:tr>
        <w:trPr>
          <w:trHeight w:val="166"/>
        </w:trPr>
        <w:tc>
          <w:tcPr>
            <w:tcW w:w="820" w:type="dxa"/>
            <w:vAlign w:val="bottom"/>
          </w:tcPr>
          <w:p>
            <w:pPr>
              <w:spacing w:after="0"/>
              <w:rPr>
                <w:sz w:val="14"/>
                <w:szCs w:val="14"/>
                <w:color w:val="auto"/>
              </w:rPr>
            </w:pPr>
          </w:p>
        </w:tc>
        <w:tc>
          <w:tcPr>
            <w:tcW w:w="3260" w:type="dxa"/>
            <w:vAlign w:val="bottom"/>
          </w:tcPr>
          <w:p>
            <w:pPr>
              <w:ind w:left="460"/>
              <w:spacing w:after="0"/>
              <w:rPr>
                <w:sz w:val="20"/>
                <w:szCs w:val="20"/>
                <w:color w:val="auto"/>
              </w:rPr>
            </w:pPr>
            <w:r>
              <w:rPr>
                <w:rFonts w:ascii="Courier New" w:cs="Courier New" w:eastAsia="Courier New" w:hAnsi="Courier New"/>
                <w:sz w:val="14"/>
                <w:szCs w:val="14"/>
                <w:color w:val="auto"/>
              </w:rPr>
              <w:t>regarding certain federal income</w:t>
            </w:r>
          </w:p>
        </w:tc>
        <w:tc>
          <w:tcPr>
            <w:tcW w:w="19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tax consequences</w:t>
            </w:r>
          </w:p>
        </w:tc>
      </w:tr>
      <w:tr>
        <w:trPr>
          <w:trHeight w:val="166"/>
        </w:trPr>
        <w:tc>
          <w:tcPr>
            <w:tcW w:w="820" w:type="dxa"/>
            <w:vAlign w:val="bottom"/>
          </w:tcPr>
          <w:p>
            <w:pPr>
              <w:spacing w:after="0"/>
              <w:rPr>
                <w:sz w:val="14"/>
                <w:szCs w:val="14"/>
                <w:color w:val="auto"/>
              </w:rPr>
            </w:pPr>
          </w:p>
        </w:tc>
        <w:tc>
          <w:tcPr>
            <w:tcW w:w="3260" w:type="dxa"/>
            <w:vAlign w:val="bottom"/>
          </w:tcPr>
          <w:p>
            <w:pPr>
              <w:ind w:left="460"/>
              <w:spacing w:after="0"/>
              <w:rPr>
                <w:sz w:val="20"/>
                <w:szCs w:val="20"/>
                <w:color w:val="auto"/>
              </w:rPr>
            </w:pPr>
            <w:r>
              <w:rPr>
                <w:rFonts w:ascii="Courier New" w:cs="Courier New" w:eastAsia="Courier New" w:hAnsi="Courier New"/>
                <w:sz w:val="14"/>
                <w:szCs w:val="14"/>
                <w:color w:val="auto"/>
              </w:rPr>
              <w:t>relating to the merger.</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70" w:lineRule="exact"/>
        <w:rPr>
          <w:sz w:val="20"/>
          <w:szCs w:val="20"/>
          <w:color w:val="auto"/>
        </w:rPr>
      </w:pPr>
    </w:p>
    <w:p>
      <w:pPr>
        <w:ind w:left="1360" w:right="3339" w:hanging="1196"/>
        <w:spacing w:after="0" w:line="252" w:lineRule="auto"/>
        <w:tabs>
          <w:tab w:leader="none" w:pos="13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Agreement dated as of December 1, 1998 between Exxon Corporation and Mobil Corporation (included as Annex B to the Joint Proxy Statement/Prospectus contained in this Registration Statement).</w:t>
      </w:r>
    </w:p>
    <w:p>
      <w:pPr>
        <w:spacing w:after="0" w:line="162" w:lineRule="exact"/>
        <w:rPr>
          <w:sz w:val="20"/>
          <w:szCs w:val="20"/>
          <w:color w:val="auto"/>
        </w:rPr>
      </w:pPr>
    </w:p>
    <w:p>
      <w:pPr>
        <w:ind w:left="1360" w:right="3339" w:hanging="1196"/>
        <w:spacing w:after="0" w:line="252" w:lineRule="auto"/>
        <w:tabs>
          <w:tab w:leader="none" w:pos="13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 (incorporated by reference to the Registrant's Annual Report on 10-K for the fiscal year ended December 31, 1998).</w:t>
      </w:r>
    </w:p>
    <w:p>
      <w:pPr>
        <w:spacing w:after="0" w:line="163"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4"/>
          <w:szCs w:val="14"/>
          <w:color w:val="auto"/>
        </w:rPr>
        <w:t>23(a)</w:t>
      </w:r>
      <w:r>
        <w:rPr>
          <w:sz w:val="20"/>
          <w:szCs w:val="20"/>
          <w:color w:val="auto"/>
        </w:rPr>
        <w:tab/>
      </w:r>
      <w:r>
        <w:rPr>
          <w:rFonts w:ascii="Courier New" w:cs="Courier New" w:eastAsia="Courier New" w:hAnsi="Courier New"/>
          <w:sz w:val="14"/>
          <w:szCs w:val="14"/>
          <w:color w:val="auto"/>
        </w:rPr>
        <w:t>Consent of PricewaterhouseCoopers LLP.</w:t>
      </w:r>
    </w:p>
    <w:p>
      <w:pPr>
        <w:spacing w:after="0" w:line="173"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4"/>
          <w:szCs w:val="14"/>
          <w:color w:val="auto"/>
        </w:rPr>
        <w:t>23(b)</w:t>
      </w:r>
      <w:r>
        <w:rPr>
          <w:sz w:val="20"/>
          <w:szCs w:val="20"/>
          <w:color w:val="auto"/>
        </w:rPr>
        <w:tab/>
      </w:r>
      <w:r>
        <w:rPr>
          <w:rFonts w:ascii="Courier New" w:cs="Courier New" w:eastAsia="Courier New" w:hAnsi="Courier New"/>
          <w:sz w:val="14"/>
          <w:szCs w:val="14"/>
          <w:color w:val="auto"/>
        </w:rPr>
        <w:t>Consent of Ernst &amp; Young LLP.</w:t>
      </w:r>
    </w:p>
    <w:p>
      <w:pPr>
        <w:spacing w:after="0" w:line="173" w:lineRule="exact"/>
        <w:rPr>
          <w:sz w:val="20"/>
          <w:szCs w:val="20"/>
          <w:color w:val="auto"/>
        </w:rPr>
      </w:pPr>
    </w:p>
    <w:p>
      <w:pPr>
        <w:ind w:left="1360" w:right="3519" w:hanging="1279"/>
        <w:spacing w:after="0" w:line="255" w:lineRule="auto"/>
        <w:tabs>
          <w:tab w:leader="none" w:pos="1340" w:val="left"/>
        </w:tabs>
        <w:rPr>
          <w:sz w:val="20"/>
          <w:szCs w:val="20"/>
          <w:color w:val="auto"/>
        </w:rPr>
      </w:pPr>
      <w:r>
        <w:rPr>
          <w:rFonts w:ascii="Courier New" w:cs="Courier New" w:eastAsia="Courier New" w:hAnsi="Courier New"/>
          <w:sz w:val="14"/>
          <w:szCs w:val="14"/>
          <w:color w:val="auto"/>
        </w:rPr>
        <w:t>23(c)</w:t>
      </w:r>
      <w:r>
        <w:rPr>
          <w:sz w:val="20"/>
          <w:szCs w:val="20"/>
          <w:color w:val="auto"/>
        </w:rPr>
        <w:tab/>
      </w:r>
      <w:r>
        <w:rPr>
          <w:rFonts w:ascii="Courier New" w:cs="Courier New" w:eastAsia="Courier New" w:hAnsi="Courier New"/>
          <w:sz w:val="14"/>
          <w:szCs w:val="14"/>
          <w:color w:val="auto"/>
        </w:rPr>
        <w:t>Consent of Charles W. Matthews (included in the opinion filed as Exhibit 5 to this Registration Statement).</w:t>
      </w:r>
    </w:p>
    <w:p>
      <w:pPr>
        <w:spacing w:after="0" w:line="160" w:lineRule="exact"/>
        <w:rPr>
          <w:sz w:val="20"/>
          <w:szCs w:val="20"/>
          <w:color w:val="auto"/>
        </w:rPr>
      </w:pPr>
    </w:p>
    <w:p>
      <w:pPr>
        <w:ind w:left="1360" w:right="3339" w:hanging="1279"/>
        <w:spacing w:after="0" w:line="255" w:lineRule="auto"/>
        <w:tabs>
          <w:tab w:leader="none" w:pos="1340" w:val="left"/>
        </w:tabs>
        <w:rPr>
          <w:sz w:val="20"/>
          <w:szCs w:val="20"/>
          <w:color w:val="auto"/>
        </w:rPr>
      </w:pPr>
      <w:r>
        <w:rPr>
          <w:rFonts w:ascii="Courier New" w:cs="Courier New" w:eastAsia="Courier New" w:hAnsi="Courier New"/>
          <w:sz w:val="14"/>
          <w:szCs w:val="14"/>
          <w:color w:val="auto"/>
        </w:rPr>
        <w:t>23(d)</w:t>
      </w:r>
      <w:r>
        <w:rPr>
          <w:sz w:val="20"/>
          <w:szCs w:val="20"/>
          <w:color w:val="auto"/>
        </w:rPr>
        <w:tab/>
      </w:r>
      <w:r>
        <w:rPr>
          <w:rFonts w:ascii="Courier New" w:cs="Courier New" w:eastAsia="Courier New" w:hAnsi="Courier New"/>
          <w:sz w:val="14"/>
          <w:szCs w:val="14"/>
          <w:color w:val="auto"/>
        </w:rPr>
        <w:t>Consent of Davis Polk &amp; Wardwell (included in the opinion filed as Exhibit 8(a) to this Registration Statement).</w:t>
      </w:r>
    </w:p>
    <w:p>
      <w:pPr>
        <w:spacing w:after="0" w:line="160" w:lineRule="exact"/>
        <w:rPr>
          <w:sz w:val="20"/>
          <w:szCs w:val="20"/>
          <w:color w:val="auto"/>
        </w:rPr>
      </w:pPr>
    </w:p>
    <w:p>
      <w:pPr>
        <w:ind w:left="1360" w:right="3599" w:hanging="1279"/>
        <w:spacing w:after="0" w:line="252" w:lineRule="auto"/>
        <w:tabs>
          <w:tab w:leader="none" w:pos="1340" w:val="left"/>
        </w:tabs>
        <w:rPr>
          <w:sz w:val="20"/>
          <w:szCs w:val="20"/>
          <w:color w:val="auto"/>
        </w:rPr>
      </w:pPr>
      <w:r>
        <w:rPr>
          <w:rFonts w:ascii="Courier New" w:cs="Courier New" w:eastAsia="Courier New" w:hAnsi="Courier New"/>
          <w:sz w:val="14"/>
          <w:szCs w:val="14"/>
          <w:color w:val="auto"/>
        </w:rPr>
        <w:t>23(e)</w:t>
      </w:r>
      <w:r>
        <w:rPr>
          <w:sz w:val="20"/>
          <w:szCs w:val="20"/>
          <w:color w:val="auto"/>
        </w:rPr>
        <w:tab/>
      </w:r>
      <w:r>
        <w:rPr>
          <w:rFonts w:ascii="Courier New" w:cs="Courier New" w:eastAsia="Courier New" w:hAnsi="Courier New"/>
          <w:sz w:val="14"/>
          <w:szCs w:val="14"/>
          <w:color w:val="auto"/>
        </w:rPr>
        <w:t>Consent of Skadden, Arps, Slate, Meagher &amp; Flom LLP (included in the opinion filed as Exhibit 8(b) to this Registration Statement).</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23(f)</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J.P. Morgan Securities Inc.</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23(g)</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Goldman, Sachs &amp; Co.</w:t>
            </w:r>
          </w:p>
        </w:tc>
      </w:tr>
      <w:tr>
        <w:trPr>
          <w:trHeight w:val="331"/>
        </w:trPr>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24</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Power of Attorney.</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Form of Exxon Proxy Card.</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99(b)</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Form of Mobil Proxy Card.</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99(c)</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Lucio A. Noto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99(d)</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Consent of Eugene</w:t>
            </w: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 Renna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99(e)</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Consent of Donald</w:t>
            </w: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V. Fites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99(f)</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Charles A. Heimbold, Jr. to be named as a</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nominee for</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Exxon Mobil 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99(g)</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Consent of Helene</w:t>
            </w: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L. Kaplan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99(h)</w:t>
            </w:r>
          </w:p>
        </w:tc>
        <w:tc>
          <w:tcPr>
            <w:tcW w:w="5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Consent of J. Richard Munro to be named as a nominee for</w:t>
            </w:r>
          </w:p>
        </w:tc>
      </w:tr>
      <w:tr>
        <w:trPr>
          <w:trHeight w:val="166"/>
        </w:trPr>
        <w:tc>
          <w:tcPr>
            <w:tcW w:w="8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director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bl>
    <w:p>
      <w:pPr>
        <w:sectPr>
          <w:pgSz w:w="11900" w:h="16838" w:orient="portrait"/>
          <w:cols w:equalWidth="0" w:num="1">
            <w:col w:w="9619"/>
          </w:cols>
          <w:pgMar w:left="840" w:top="947" w:right="1440" w:bottom="1440" w:gutter="0" w:footer="0" w:header="0"/>
          <w:type w:val="continuous"/>
        </w:sectPr>
      </w:pPr>
    </w:p>
    <w:bookmarkStart w:id="224" w:name="page225"/>
    <w:bookmarkEnd w:id="2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5" w:name="page226"/>
    <w:bookmarkEnd w:id="225"/>
    <w:p>
      <w:pPr>
        <w:ind w:left="5960"/>
        <w:spacing w:after="0"/>
        <w:rPr>
          <w:sz w:val="20"/>
          <w:szCs w:val="20"/>
          <w:color w:val="auto"/>
        </w:rPr>
      </w:pPr>
      <w:r>
        <w:rPr>
          <w:rFonts w:ascii="Courier New" w:cs="Courier New" w:eastAsia="Courier New" w:hAnsi="Courier New"/>
          <w:sz w:val="14"/>
          <w:szCs w:val="14"/>
          <w:color w:val="auto"/>
        </w:rPr>
        <w:t>EXHIBIT 5</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[Exxon Letterhead]</w:t>
      </w:r>
    </w:p>
    <w:p>
      <w:pPr>
        <w:spacing w:after="0" w:line="3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April 5,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 W.</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Washington, D. C.</w:t>
        <w:tab/>
        <w:t>20549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General Counsel of Exxon Corporation, a New Jersey corporation ("Exxon"), I am familiar with its Restated Certificate of Incorporation and By-laws, as amended to date. I have examined its corporate proceedings in connection with the preparation and filing under the Securities Act of 1933, as amended (the "Securities Act"), of a registration statement on Form S-4 of even date herewith (the "Registration Statement"), covering shares (the "Shares") of Exxon's common stock, no par value, to be issued in connection with the merger of Mobil Corporation ("Mobil") and Lion Acquisition Subsidiary Corporation, a wholly-owned subsidiary of Exxon, pursuant to the terms of the Agreement and Plan of Merger dated as of December 1, 1998, among Exxon, Mobil, and Lion Acquisition Subsidiary Corporation (the "Merger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have also examined originals or copies, certified or otherwise authenticated to my satisfaction, of all such documents and records and conducted such other investigations of fact and law as I have deemed necessary as a basis for this opinion. As to certain questions of fact, I have relied upon statements of officers of Exxon and others.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rendering this opinion I have assumed that prior to the issuance of any of the Shares (i) the Registration Statement, as then amended, will have become effective under the Securities Act, (ii) the shareholders of Exxon will have approved the Merger Agreement and the issuance of the Shares, (iii) the shareholders of Mobil will have approved and adopted the Merger Agreement, and (iv) the transactions contemplated by the Merger Agreement are consummated.</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the basis of the foregoing, I am of the opinion that the Shares, when issued and delivered in accordance with the terms and conditions of the Merger Agreement, will be duly authorized, validly issued, fully paid, and non-assessable.</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This opinion relates solely to the federal laws of the United States and the corporate law of the State of New Jersey.</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 consent to the filing of this opinion as an exhibit to the Registration Statement. In addition, I consent to the reference to me under the caption "Legal Matters" in the Joint Proxy Statement/Prospectus constituting a part of the Registration Statement. In giving this consent, I do not admit that I am in the category of persons whose consent is required under Section 7 of the Securities Act.</w:t>
      </w:r>
    </w:p>
    <w:p>
      <w:pPr>
        <w:spacing w:after="0" w:line="16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 Charles W. Matthews</w:t>
      </w:r>
    </w:p>
    <w:p>
      <w:pPr>
        <w:sectPr>
          <w:pgSz w:w="11900" w:h="16838" w:orient="portrait"/>
          <w:cols w:equalWidth="0" w:num="1">
            <w:col w:w="10239"/>
          </w:cols>
          <w:pgMar w:left="220" w:top="141" w:right="1440" w:bottom="1440" w:gutter="0" w:footer="0" w:header="0"/>
        </w:sectPr>
      </w:pPr>
    </w:p>
    <w:bookmarkStart w:id="226" w:name="page227"/>
    <w:bookmarkEnd w:id="226"/>
    <w:p>
      <w:pPr>
        <w:jc w:val="right"/>
        <w:ind w:right="3519"/>
        <w:spacing w:after="0"/>
        <w:rPr>
          <w:sz w:val="20"/>
          <w:szCs w:val="20"/>
          <w:color w:val="auto"/>
        </w:rPr>
      </w:pPr>
      <w:r>
        <w:rPr>
          <w:rFonts w:ascii="Courier New" w:cs="Courier New" w:eastAsia="Courier New" w:hAnsi="Courier New"/>
          <w:sz w:val="14"/>
          <w:szCs w:val="14"/>
          <w:color w:val="auto"/>
        </w:rPr>
        <w:t>EXHIBIT 8(a)</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[Davis Polk &amp; Wardwell letterhead]</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April 2, 1999</w:t>
      </w:r>
    </w:p>
    <w:p>
      <w:pPr>
        <w:spacing w:after="0" w:line="200" w:lineRule="exact"/>
        <w:rPr>
          <w:sz w:val="20"/>
          <w:szCs w:val="20"/>
          <w:color w:val="auto"/>
        </w:rPr>
      </w:pPr>
    </w:p>
    <w:p>
      <w:pPr>
        <w:spacing w:after="0" w:line="3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Registration Statement on Form S-4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Blvd.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We have acted as counsel for Exxon Corporation ("Exxon"), a New Jersey corporation, in connection with (i) the Merger, as defined and described in the Agreement and Plan of Merger dated as of December 1, 1998 (the "Merger Agreement") among Mobil Corporation ("Mobil"), a Delaware corporation, Lion Acquisition Subsidiary Corporation ("Merger Subsidiary"), a Delaware corporation and newly formed, wholly owned subsidiary of Exxon, and Exxon and (ii) the preparation and filing of the related Registration Statement on Form S-4 (the "Registration Statement"), which includes the Proxy Statement/Prospectus (the "Proxy Statement/Prospectus"), filed with the Securities and Exchange Commission (the "Commission") under the Securities Act of 1933, as amended (the "Securities Act") and the Securities Exchange Act of 1934, as amended. Unless otherwise indicated, each capitalized term used herein has the meaning ascribed to it in the Merger Agreement.</w:t>
      </w:r>
    </w:p>
    <w:p>
      <w:pPr>
        <w:spacing w:after="0" w:line="162"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In connection with this opinion, we have examined the Merger Agreement, the Proxy Statement/Prospectus and such other documents as we have deemed necessary or appropriate in order to enable us to render our opinion. For purposes of this opinion, we have assumed (i) the validity and accuracy of the documents that we have examined, (ii) that the Merger would be consummated in the manner described in Merger Agreement and the Proxy Statement/Prospectus, and that the representations made and the representations to be made by Exxon (together with Merger Subsidiary) and Mobil pursuant to Section 8.02(e) of the Merger Agreement are and will be accurate and complete. In rendering our opinion, we have considered the applicable provisions of the Internal Revenue Code of 1986, as amended (the "Code"), Treasury Department regulations promulgated thereunder, pertinent judicial authorities, interpretive rulings of the IRS and such other authorities as we have considered relevant. It should be noted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440" w:val="left"/>
          <w:tab w:leader="none" w:pos="5580" w:val="left"/>
        </w:tabs>
        <w:rPr>
          <w:sz w:val="20"/>
          <w:szCs w:val="20"/>
          <w:color w:val="auto"/>
        </w:rPr>
      </w:pPr>
      <w:r>
        <w:rPr>
          <w:rFonts w:ascii="Courier New" w:cs="Courier New" w:eastAsia="Courier New" w:hAnsi="Courier New"/>
          <w:sz w:val="14"/>
          <w:szCs w:val="14"/>
          <w:color w:val="auto"/>
        </w:rPr>
        <w:t>Exxon Corporation</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April 2, 1999</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statutes, regulations, judicial decisions and administrative interpretations are subject to change at any time (possibly with retroactive effect). A change in the authorities or the inaccuracy of any of the documents or assumptions on which our opinion is based could affect our conclusions.</w:t>
      </w:r>
    </w:p>
    <w:p>
      <w:pPr>
        <w:spacing w:after="0" w:line="165"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Based upon the foregoing, in our opinion, the Merger will be treated for Federal income tax purposes as a reorganization within the meaning of Section 368(a) of the Code and Exxon, Mobil and Merger Subsidiary will each be a party to that reorganization within the meaning of Section 368(b) of the Code, and accordingly, for U.S. federal income tax purposes:</w:t>
      </w:r>
    </w:p>
    <w:p>
      <w:pPr>
        <w:spacing w:after="0" w:line="327" w:lineRule="exact"/>
        <w:rPr>
          <w:sz w:val="20"/>
          <w:szCs w:val="20"/>
          <w:color w:val="auto"/>
        </w:rPr>
      </w:pPr>
    </w:p>
    <w:p>
      <w:pPr>
        <w:ind w:left="1300" w:right="3679" w:hanging="516"/>
        <w:spacing w:after="0" w:line="255" w:lineRule="auto"/>
        <w:tabs>
          <w:tab w:leader="none" w:pos="130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Exxon stock will not recognize any gain or loss as a result of the Merger;</w:t>
      </w:r>
    </w:p>
    <w:p>
      <w:pPr>
        <w:spacing w:after="0" w:line="159" w:lineRule="exact"/>
        <w:rPr>
          <w:rFonts w:ascii="Courier New" w:cs="Courier New" w:eastAsia="Courier New" w:hAnsi="Courier New"/>
          <w:sz w:val="14"/>
          <w:szCs w:val="14"/>
          <w:color w:val="auto"/>
        </w:rPr>
      </w:pPr>
    </w:p>
    <w:p>
      <w:pPr>
        <w:ind w:left="1300" w:right="3939" w:hanging="516"/>
        <w:spacing w:after="0" w:line="251" w:lineRule="auto"/>
        <w:tabs>
          <w:tab w:leader="none" w:pos="130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respect of cash received instead of fractional shares of Exxon Mobil common stock, holders of shares of Mobil stock will (1) not recognize any gain or loss as a result of the exchange of their shares of Mobil stock for Exxon Mobil stock, (2) have a tax basis in the Exxon Mobil stock received in the merger equal to the tax basis of the Mobil stock surrendered in the Merger, and (3) have a holding period with respect to the Exxon Mobil stock received in the Merger that includes the holding period of the Mobil stock surrendered in the Merger;</w:t>
      </w:r>
    </w:p>
    <w:p>
      <w:pPr>
        <w:spacing w:after="0" w:line="163" w:lineRule="exact"/>
        <w:rPr>
          <w:rFonts w:ascii="Courier New" w:cs="Courier New" w:eastAsia="Courier New" w:hAnsi="Courier New"/>
          <w:sz w:val="14"/>
          <w:szCs w:val="14"/>
          <w:color w:val="auto"/>
        </w:rPr>
      </w:pPr>
    </w:p>
    <w:p>
      <w:pPr>
        <w:ind w:left="1300" w:right="3779" w:hanging="516"/>
        <w:spacing w:after="0" w:line="251" w:lineRule="auto"/>
        <w:tabs>
          <w:tab w:leader="none" w:pos="130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Mobil common stock will be required to recognize gain or loss with respect to cash received instead of a fractional share of Exxon Mobil common stock, measured by the difference between the amount of cash received and the portion of the tax basis of the holder's shares of Mobil common stock allocable to the fractional share, which gain or loss will be capital gain or loss if the holder of Mobil common stock holds such stock as a capital asset within the meaning of Section 1221 of the Code and will be long-term capital gain or loss if the share of Mobil common stock exchanged for the fractional share was held for more than one year at the Effective Time;</w:t>
      </w:r>
    </w:p>
    <w:p>
      <w:pPr>
        <w:spacing w:after="0" w:line="162" w:lineRule="exact"/>
        <w:rPr>
          <w:rFonts w:ascii="Courier New" w:cs="Courier New" w:eastAsia="Courier New" w:hAnsi="Courier New"/>
          <w:sz w:val="14"/>
          <w:szCs w:val="14"/>
          <w:color w:val="auto"/>
        </w:rPr>
      </w:pPr>
    </w:p>
    <w:p>
      <w:pPr>
        <w:ind w:left="1300" w:right="3779" w:hanging="516"/>
        <w:spacing w:after="0" w:line="251" w:lineRule="auto"/>
        <w:tabs>
          <w:tab w:leader="none" w:pos="130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matter is not free from doubt (because of the absence of legislative, judicial or other authority directly on point), Mobil's payment of transfer taxes for which the Mobil shareholders are primarily liable, if any, may be taxable as a dividend to the Mobil shareholders; and</w:t>
      </w:r>
    </w:p>
    <w:p>
      <w:pPr>
        <w:sectPr>
          <w:pgSz w:w="11900" w:h="16838" w:orient="portrait"/>
          <w:cols w:equalWidth="0" w:num="1">
            <w:col w:w="10239"/>
          </w:cols>
          <w:pgMar w:left="220" w:top="141" w:right="1440" w:bottom="0" w:gutter="0" w:footer="0" w:header="0"/>
        </w:sectPr>
      </w:pPr>
    </w:p>
    <w:bookmarkStart w:id="227" w:name="page228"/>
    <w:bookmarkEnd w:id="227"/>
    <w:p>
      <w:pPr>
        <w:spacing w:after="0"/>
        <w:tabs>
          <w:tab w:leader="none" w:pos="3440" w:val="left"/>
          <w:tab w:leader="none" w:pos="5580" w:val="left"/>
        </w:tabs>
        <w:rPr>
          <w:sz w:val="20"/>
          <w:szCs w:val="20"/>
          <w:color w:val="auto"/>
        </w:rPr>
      </w:pPr>
      <w:r>
        <w:rPr>
          <w:rFonts w:ascii="Courier New" w:cs="Courier New" w:eastAsia="Courier New" w:hAnsi="Courier New"/>
          <w:sz w:val="14"/>
          <w:szCs w:val="14"/>
          <w:color w:val="auto"/>
        </w:rPr>
        <w:t>Exxon Corporation</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April 2, 1999</w:t>
      </w:r>
    </w:p>
    <w:p>
      <w:pPr>
        <w:spacing w:after="0" w:line="338" w:lineRule="exact"/>
        <w:rPr>
          <w:sz w:val="20"/>
          <w:szCs w:val="20"/>
          <w:color w:val="auto"/>
        </w:rPr>
      </w:pPr>
    </w:p>
    <w:p>
      <w:pPr>
        <w:ind w:left="1300" w:right="3779" w:hanging="516"/>
        <w:spacing w:after="0" w:line="255" w:lineRule="auto"/>
        <w:tabs>
          <w:tab w:leader="none" w:pos="1214"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Exxon, Mobil or Merger Subsidiary will recognize gain or loss as a result of the Merger.</w:t>
      </w:r>
    </w:p>
    <w:p>
      <w:pPr>
        <w:spacing w:after="0" w:line="160"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The preceding are all of the material U.S. federal income tax consequences of the Merger. However, our opinion does not address U.S. federal income tax consequences which may vary with, or are contingent upon, a shareholder's individual circumstances. In addition, our opinion does not address any non-income tax or any foreign, state or local tax consequences of the Merger.</w:t>
      </w:r>
    </w:p>
    <w:p>
      <w:pPr>
        <w:spacing w:after="0" w:line="164"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In accordance with the requirements of Item 601(b)(23) of Regulation S-K under the Securities Act, we hereby consent to the discussion of this opinion in the Proxy Statement/Prospectus, to the filing of this opinion as an exhibit to the Proxy Statement/Prospectus and to the reference to our firm under the headings "THE MERGER TRANSACTION-Material Federal Income Tax Consequences of the Merger," "THE MERGER AGREEMENT-Conditions to the Completion of the Merger" and "LEGAL MATTERS" in the Proxy Statement/Prospectus. In giving such consent, we do not thereby admit that we are in the category of persons whose consent is required under Section 7 of the Securities Act or the rules and regulations of the Commission thereunder.</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Davis Polk &amp; Wardwell</w:t>
      </w:r>
    </w:p>
    <w:p>
      <w:pPr>
        <w:sectPr>
          <w:pgSz w:w="11900" w:h="16838" w:orient="portrait"/>
          <w:cols w:equalWidth="0" w:num="1">
            <w:col w:w="10239"/>
          </w:cols>
          <w:pgMar w:left="220" w:top="782" w:right="1440" w:bottom="1440" w:gutter="0" w:footer="0" w:header="0"/>
        </w:sectPr>
      </w:pPr>
    </w:p>
    <w:bookmarkStart w:id="228" w:name="page229"/>
    <w:bookmarkEnd w:id="2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spacing w:after="0" w:line="4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8(b)</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[Skadden, Arps, Slate, Meagher &amp; Flom LLP Letterhead]</w:t>
      </w:r>
    </w:p>
    <w:p>
      <w:pPr>
        <w:spacing w:after="0" w:line="173"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April 2,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Fairfax, Virginia</w:t>
        <w:tab/>
        <w:t>22307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acted as counsel to Mobil Corporation, a Delaware corporation ("Mobil"), in connection with (i) the Merger, as defined and described in the Agreement and Plan of Merger, dated as of December 1, 1998 (the "Merger Agreement"), among Mobil, Exxon Corporation, a New Jersey corporation ("Exxon") and Lion Acquisition Subsidiary Corporation, a Delaware corporation and a newly-formed, wholly-owned subsidiary of Exxon ("Merger Subsidiary"), and (ii) the preparation and filing of the Registration Statement on Form S-4 (the "Registration Statement"), which includes the Proxy Statement/Prospectus (the "Proxy Statement/Prospectus"), filed with the Securities and Exchange Commission (the "Commission") under the Securities Act of 1933, as amended (the "Securities Act") and the Securities Exchange Act of 1934, as amended. Unless otherwise indicated, each capitalized term used herein has the meaning ascribed to it in the Merger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this opinion, we have examined the Merger Agreement, the Proxy Statement/Prospectus and such other documents and corporate records as we have deemed necessary or appropriate in order to enable us to render the opinion below. For purposes of this opinion, we have assumed (i) the validity and accuracy of the documents and corporate records that we have examined, and the facts and representations concerning the Merger that have come to our attention during our engagement, and (ii) that the Merger will be consummated in the manner described in the Merger Agreement and the Proxy Statement/Prospectus.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assumptions set forth above, the representations made to us by Mobil, Exxon and Merger Subsidiary in their respective letters dated the date hereof and the assumptions and qualifications set forth in the discussion in the Proxy Statement/Prospectus under the heading "Material Federal Income Tax Consequences of the Merger", in our opinion, the Merger will be treated for federal income tax purposes as a reorganization qualifying under the provisions of Section 368(a) of the Code and each of Exxon, Merger Subsidiary and Mobil will be a party to the reorganization within the meaning of Section 368(b) of the Code, and accordingly, for U.S. federal income tax purposes:</w:t>
      </w:r>
    </w:p>
    <w:p>
      <w:pPr>
        <w:spacing w:after="0" w:line="164" w:lineRule="exact"/>
        <w:rPr>
          <w:sz w:val="20"/>
          <w:szCs w:val="20"/>
          <w:color w:val="auto"/>
        </w:rPr>
      </w:pPr>
    </w:p>
    <w:p>
      <w:pPr>
        <w:ind w:left="440" w:right="3779" w:firstLine="257"/>
        <w:spacing w:after="0" w:line="255" w:lineRule="auto"/>
        <w:tabs>
          <w:tab w:leader="none" w:pos="1043"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Exxon stock will not recognize any gain or loss as a result of the Merger;</w:t>
      </w:r>
    </w:p>
    <w:p>
      <w:pPr>
        <w:spacing w:after="0" w:line="159" w:lineRule="exact"/>
        <w:rPr>
          <w:rFonts w:ascii="Courier New" w:cs="Courier New" w:eastAsia="Courier New" w:hAnsi="Courier New"/>
          <w:sz w:val="14"/>
          <w:szCs w:val="14"/>
          <w:color w:val="auto"/>
        </w:rPr>
      </w:pPr>
    </w:p>
    <w:p>
      <w:pPr>
        <w:ind w:left="440" w:right="3419" w:firstLine="257"/>
        <w:spacing w:after="0" w:line="251" w:lineRule="auto"/>
        <w:tabs>
          <w:tab w:leader="none" w:pos="1129"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respect of cash received instead of fractional shares of Exxon Mobil common stock, holders of shares of Mobil stock will (1) not recognize any gain or loss as a result of the exchange of their shares of Mobil stock for Exxon Mobil stock, (2) have a tax basis in the Exxon Mobil stock received in the Merger equal to the tax basis of the Mobil stock surrendered in the Merger, and (3) have a holding period with respect to the Exxon Mobil stock received in the Merger that includes the holding period of the Mobil stock surrendered in the Merger;</w:t>
      </w:r>
    </w:p>
    <w:p>
      <w:pPr>
        <w:spacing w:after="0" w:line="163" w:lineRule="exact"/>
        <w:rPr>
          <w:rFonts w:ascii="Courier New" w:cs="Courier New" w:eastAsia="Courier New" w:hAnsi="Courier New"/>
          <w:sz w:val="14"/>
          <w:szCs w:val="14"/>
          <w:color w:val="auto"/>
        </w:rPr>
      </w:pPr>
    </w:p>
    <w:p>
      <w:pPr>
        <w:ind w:left="440" w:right="3339" w:firstLine="257"/>
        <w:spacing w:after="0" w:line="251" w:lineRule="auto"/>
        <w:tabs>
          <w:tab w:leader="none" w:pos="121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Mobil common stock will be required to recognize gain or loss with respect to cash received instead of a fractional share of Exxon Mobil common stock, measured by the difference between the amount of cash received and the portion of the tax basis of the holder's shares of Mobil common stock allocable to the fractional share, which gain or loss will be capital gain or loss if the holder of Mobil common stock holds such stock as a capital asset within the meaning of Section 1221 of the Code and will be long-term capital gain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if the share of Mobil common stock exchanged for the fractional share was held for more than one year at the Effective Time;</w:t>
      </w:r>
    </w:p>
    <w:p>
      <w:pPr>
        <w:spacing w:after="0" w:line="160" w:lineRule="exact"/>
        <w:rPr>
          <w:sz w:val="20"/>
          <w:szCs w:val="20"/>
          <w:color w:val="auto"/>
        </w:rPr>
      </w:pPr>
    </w:p>
    <w:p>
      <w:pPr>
        <w:ind w:left="440" w:right="4119" w:firstLine="257"/>
        <w:spacing w:after="0" w:line="251" w:lineRule="auto"/>
        <w:tabs>
          <w:tab w:leader="none" w:pos="1129"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matter is not free from doubt (because of the absence of legislative, judicial or other authority directly on point), Mobil's payment of transfer taxes for which the Mobil shareholders are primarily liable, if any, may be taxable as a dividend to the Mobil shareholders; and</w:t>
      </w:r>
    </w:p>
    <w:p>
      <w:pPr>
        <w:spacing w:after="0" w:line="164" w:lineRule="exact"/>
        <w:rPr>
          <w:rFonts w:ascii="Courier New" w:cs="Courier New" w:eastAsia="Courier New" w:hAnsi="Courier New"/>
          <w:sz w:val="14"/>
          <w:szCs w:val="14"/>
          <w:color w:val="auto"/>
        </w:rPr>
      </w:pPr>
    </w:p>
    <w:p>
      <w:pPr>
        <w:ind w:left="440" w:right="3679" w:firstLine="257"/>
        <w:spacing w:after="0" w:line="255" w:lineRule="auto"/>
        <w:tabs>
          <w:tab w:leader="none" w:pos="1043"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Exxon, Mobil or Merger Subsidiary will recognize gain or loss as a result of the Merger.</w:t>
      </w:r>
    </w:p>
    <w:p>
      <w:pPr>
        <w:spacing w:after="0" w:line="160" w:lineRule="exact"/>
        <w:rPr>
          <w:sz w:val="20"/>
          <w:szCs w:val="20"/>
          <w:color w:val="auto"/>
        </w:rPr>
      </w:pPr>
    </w:p>
    <w:p>
      <w:pPr>
        <w:ind w:right="3939" w:firstLine="431"/>
        <w:spacing w:after="0" w:line="251" w:lineRule="auto"/>
        <w:rPr>
          <w:sz w:val="20"/>
          <w:szCs w:val="20"/>
          <w:color w:val="auto"/>
        </w:rPr>
      </w:pPr>
      <w:r>
        <w:rPr>
          <w:rFonts w:ascii="Courier New" w:cs="Courier New" w:eastAsia="Courier New" w:hAnsi="Courier New"/>
          <w:sz w:val="14"/>
          <w:szCs w:val="14"/>
          <w:color w:val="auto"/>
        </w:rPr>
        <w:t>The preceding are all of the material U.S. federal income tax consequences of the Merger. However, our opinion does not address U.S. federal income tax consequences which may vary with, or are contingent upon, a shareholder's individual circumstances. In addition, our opinion does not address any non-income tax or any foreign, state or local tax consequences of the Merger.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opinion is delivered in accordance with the requirements of Item 601(b)(8) of Regulation S-K under the Securities Act. In rendering our opinion, we have considered the applicable provisions of the Code, Treasury Department regulations promulgated thereunder, pertinent judicial authorities, interpretive rulings of the IRS and such other authorities as we have considered relevant. It should be noted that statutes, regulations, judicial decisions and administrative interpretations are subject to change at any time (possibly with retroactive effect). A change in the authorities or the accuracy or completeness of any of the information, documents, corporate records, covenants, statements,</w:t>
      </w:r>
    </w:p>
    <w:p>
      <w:pPr>
        <w:sectPr>
          <w:pgSz w:w="11900" w:h="16886" w:orient="portrait"/>
          <w:cols w:equalWidth="0" w:num="1">
            <w:col w:w="10239"/>
          </w:cols>
          <w:pgMar w:left="220" w:top="141" w:right="1440" w:bottom="0" w:gutter="0" w:footer="0" w:header="0"/>
        </w:sectPr>
      </w:pPr>
    </w:p>
    <w:bookmarkStart w:id="230" w:name="page231"/>
    <w:bookmarkEnd w:id="230"/>
    <w:p>
      <w:pPr>
        <w:ind w:right="3519"/>
        <w:spacing w:after="0" w:line="251" w:lineRule="auto"/>
        <w:rPr>
          <w:sz w:val="20"/>
          <w:szCs w:val="20"/>
          <w:color w:val="auto"/>
        </w:rPr>
      </w:pPr>
      <w:r>
        <w:rPr>
          <w:rFonts w:ascii="Courier New" w:cs="Courier New" w:eastAsia="Courier New" w:hAnsi="Courier New"/>
          <w:sz w:val="14"/>
          <w:szCs w:val="14"/>
          <w:color w:val="auto"/>
        </w:rPr>
        <w:t>representations or assumptions on which our opinion is based could affect our conclusions. This opinion is expressed as of the date hereof, and we are under no obligation to supplement or revise our opinion to reflect any changes (including changes that have retroactive effect) (i) in applicable law or (ii) in any information, document, corporate record, covenant, statement, representation or assumption stated herein which becomes untrue or incorrect.</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This letter is furnished to you solely for use in connection with the Merger, as described in the Merger Agreement and the Proxy Statement/Prospectus, and is not to be used, circulated, quoted, or otherwise referred to for any other purpose without our express written permission. In accordance with the requirements of Item 601(b)(23) of Regulation S-K under the Securities Act, we hereby consent to the discussion of this opinion in the Proxy Statement/Prospectus, to the filing of this opinion as an exhibit to the Proxy Statement/Prospectus and to the reference to our firm under the headings "THE MERGER TRANSACTION--Material Federal Income Tax Consequences of the Merger," "THE MERGER AGREEMENT-- Conditions to the Completion of the Merger" and "LEGAL MATTERS" in the Proxy Statement. In giving such consent, we do not thereby admit that we are in the category of persons whose consent is required under Section 7 of the Securities Act or the rules and regulations of the Commission thereunder.</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/s/ SKADDEN, ARPS, SLATE, MEAGHER &amp; FLOM LLP</w:t>
      </w:r>
    </w:p>
    <w:p>
      <w:pPr>
        <w:sectPr>
          <w:pgSz w:w="11900" w:h="16838" w:orient="portrait"/>
          <w:cols w:equalWidth="0" w:num="1">
            <w:col w:w="10239"/>
          </w:cols>
          <w:pgMar w:left="220" w:top="141" w:right="1440" w:bottom="1440" w:gutter="0" w:footer="0" w:header="0"/>
        </w:sectPr>
      </w:pPr>
    </w:p>
    <w:bookmarkStart w:id="231" w:name="page232"/>
    <w:bookmarkEnd w:id="23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32" w:name="page233"/>
    <w:bookmarkEnd w:id="232"/>
    <w:p>
      <w:pPr>
        <w:ind w:left="5600"/>
        <w:spacing w:after="0"/>
        <w:rPr>
          <w:sz w:val="20"/>
          <w:szCs w:val="20"/>
          <w:color w:val="auto"/>
        </w:rPr>
      </w:pPr>
      <w:r>
        <w:rPr>
          <w:rFonts w:ascii="Courier New" w:cs="Courier New" w:eastAsia="Courier New" w:hAnsi="Courier New"/>
          <w:sz w:val="14"/>
          <w:szCs w:val="14"/>
          <w:color w:val="auto"/>
        </w:rPr>
        <w:t>EXHIBIT 23(a)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[Pricewaterhouse Coopers LLP Letterhead]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this Registration Statement on Form S-4 of Exxon Corporation of our report dated February 24, 1999, which appears on page F9 of Exxon Corporation's 1998 Annual Report to shareholders, which is incorporated by reference in its Annual Report on Form 10-K for the year ended December 31, 1998. We also consent to the reference to us under the heading "Experts" in such Prospectus.</w:t>
      </w:r>
    </w:p>
    <w:p>
      <w:pPr>
        <w:spacing w:after="0" w:line="16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/s/ PRICEWATERHOUSECOOPERS LLP</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1999</w:t>
      </w:r>
    </w:p>
    <w:p>
      <w:pPr>
        <w:sectPr>
          <w:pgSz w:w="11900" w:h="16838" w:orient="portrait"/>
          <w:cols w:equalWidth="0" w:num="1">
            <w:col w:w="10239"/>
          </w:cols>
          <w:pgMar w:left="220" w:top="141" w:right="1440" w:bottom="1440" w:gutter="0" w:footer="0" w:header="0"/>
        </w:sectPr>
      </w:pPr>
    </w:p>
    <w:bookmarkStart w:id="233" w:name="page234"/>
    <w:bookmarkEnd w:id="233"/>
    <w:p>
      <w:pPr>
        <w:ind w:left="5600"/>
        <w:spacing w:after="0"/>
        <w:rPr>
          <w:sz w:val="20"/>
          <w:szCs w:val="20"/>
          <w:color w:val="auto"/>
        </w:rPr>
      </w:pPr>
      <w:r>
        <w:rPr>
          <w:rFonts w:ascii="Courier New" w:cs="Courier New" w:eastAsia="Courier New" w:hAnsi="Courier New"/>
          <w:sz w:val="14"/>
          <w:szCs w:val="14"/>
          <w:color w:val="auto"/>
        </w:rPr>
        <w:t>EXHIBIT 23(b)</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February 26, 1999 on the Mobil Corporation consolidated financial statements as of December 31, 1998 and 1997 and for each of the three years then ended, incorporated by reference in the Joint Proxy Statement/Prospectus of Exxon Corporation and Mobil Corporation that is made a part of the Registration Statement (Form S-4) and Prospectus of Exxon Mobil Corporation for the registration of shares of its common stock.</w:t>
      </w:r>
    </w:p>
    <w:p>
      <w:pPr>
        <w:spacing w:after="0" w:line="164"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/s/ ERNST &amp; YOUNG LLP</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1999</w:t>
      </w:r>
    </w:p>
    <w:p>
      <w:pPr>
        <w:sectPr>
          <w:pgSz w:w="11900" w:h="16838" w:orient="portrait"/>
          <w:cols w:equalWidth="0" w:num="1">
            <w:col w:w="10239"/>
          </w:cols>
          <w:pgMar w:left="220" w:top="141" w:right="1440" w:bottom="1440" w:gutter="0" w:footer="0" w:header="0"/>
        </w:sectPr>
      </w:pPr>
    </w:p>
    <w:bookmarkStart w:id="234" w:name="page235"/>
    <w:bookmarkEnd w:id="234"/>
    <w:p>
      <w:pPr>
        <w:ind w:left="5600"/>
        <w:spacing w:after="0"/>
        <w:rPr>
          <w:sz w:val="20"/>
          <w:szCs w:val="20"/>
          <w:color w:val="auto"/>
        </w:rPr>
      </w:pPr>
      <w:r>
        <w:rPr>
          <w:rFonts w:ascii="Courier New" w:cs="Courier New" w:eastAsia="Courier New" w:hAnsi="Courier New"/>
          <w:sz w:val="14"/>
          <w:szCs w:val="14"/>
          <w:color w:val="auto"/>
        </w:rPr>
        <w:t>EXHIBIT 23(f)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[J.P. Morgan Securities Inc. Letterhead]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J.P. MORGAN SECURITIES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hereby consent to (i) the use of our opinion letter to the Board of Directors of Exxon Corporation (the "Company") included as Annex C to the Joint Proxy Statement/Prospectus which forms a part of the Registration Statement on Form S-4 relating to the proposed merger of the Company and Mobil Corporation,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329"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J.P. MORGAN SECURITIES INC.</w:t>
      </w:r>
    </w:p>
    <w:p>
      <w:pPr>
        <w:spacing w:after="0" w:line="173" w:lineRule="exact"/>
        <w:rPr>
          <w:sz w:val="20"/>
          <w:szCs w:val="20"/>
          <w:color w:val="auto"/>
        </w:rPr>
      </w:pPr>
    </w:p>
    <w:p>
      <w:pPr>
        <w:ind w:left="4140"/>
        <w:spacing w:after="0"/>
        <w:tabs>
          <w:tab w:leader="none" w:pos="4560" w:val="left"/>
        </w:tabs>
        <w:rPr>
          <w:sz w:val="20"/>
          <w:szCs w:val="20"/>
          <w:color w:val="auto"/>
        </w:rPr>
      </w:pPr>
      <w:r>
        <w:rPr>
          <w:rFonts w:ascii="Courier New" w:cs="Courier New" w:eastAsia="Courier New" w:hAnsi="Courier New"/>
          <w:sz w:val="14"/>
          <w:szCs w:val="14"/>
          <w:color w:val="auto"/>
        </w:rPr>
        <w:t>By:</w:t>
        <w:tab/>
        <w:t>/s/ James R. Elliott III</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James R. Elliott III</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Managing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1999</w:t>
      </w:r>
    </w:p>
    <w:p>
      <w:pPr>
        <w:sectPr>
          <w:pgSz w:w="11900" w:h="16838" w:orient="portrait"/>
          <w:cols w:equalWidth="0" w:num="1">
            <w:col w:w="10239"/>
          </w:cols>
          <w:pgMar w:left="220" w:top="141" w:right="1440" w:bottom="1440" w:gutter="0" w:footer="0" w:header="0"/>
        </w:sectPr>
      </w:pPr>
    </w:p>
    <w:bookmarkStart w:id="235" w:name="page236"/>
    <w:bookmarkEnd w:id="235"/>
    <w:p>
      <w:pPr>
        <w:ind w:left="5600"/>
        <w:spacing w:after="0"/>
        <w:rPr>
          <w:sz w:val="20"/>
          <w:szCs w:val="20"/>
          <w:color w:val="auto"/>
        </w:rPr>
      </w:pPr>
      <w:r>
        <w:rPr>
          <w:rFonts w:ascii="Courier New" w:cs="Courier New" w:eastAsia="Courier New" w:hAnsi="Courier New"/>
          <w:sz w:val="14"/>
          <w:szCs w:val="14"/>
          <w:color w:val="auto"/>
        </w:rPr>
        <w:t>EXHIBIT 23(g)</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Goldman, Sachs &amp; Co. Letterhead</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CONSENT OF GOLDMAN, SACHS &amp; CO.</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April 2,</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r>
      <w:tr>
        <w:trPr>
          <w:trHeight w:val="331"/>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Board of</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Directors</w:t>
            </w:r>
          </w:p>
        </w:tc>
        <w:tc>
          <w:tcPr>
            <w:tcW w:w="480" w:type="dxa"/>
            <w:vAlign w:val="bottom"/>
          </w:tcPr>
          <w:p>
            <w:pPr>
              <w:spacing w:after="0"/>
              <w:rPr>
                <w:sz w:val="24"/>
                <w:szCs w:val="24"/>
                <w:color w:val="auto"/>
              </w:rPr>
            </w:pP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Mobil Corporation</w:t>
            </w:r>
          </w:p>
        </w:tc>
        <w:tc>
          <w:tcPr>
            <w:tcW w:w="48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3225</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Gallows Road</w:t>
            </w:r>
          </w:p>
        </w:tc>
        <w:tc>
          <w:tcPr>
            <w:tcW w:w="480" w:type="dxa"/>
            <w:vAlign w:val="bottom"/>
          </w:tcPr>
          <w:p>
            <w:pPr>
              <w:spacing w:after="0"/>
              <w:rPr>
                <w:sz w:val="14"/>
                <w:szCs w:val="14"/>
                <w:color w:val="auto"/>
              </w:rPr>
            </w:pP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Fairfax,</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Virginia  22037-0001</w:t>
            </w:r>
          </w:p>
        </w:tc>
        <w:tc>
          <w:tcPr>
            <w:tcW w:w="48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Re:</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Registration Statement (File No. 333-</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 of</w:t>
            </w:r>
          </w:p>
        </w:tc>
      </w:tr>
      <w:tr>
        <w:trPr>
          <w:trHeight w:val="166"/>
        </w:trPr>
        <w:tc>
          <w:tcPr>
            <w:tcW w:w="400" w:type="dxa"/>
            <w:vAlign w:val="bottom"/>
          </w:tcPr>
          <w:p>
            <w:pPr>
              <w:spacing w:after="0"/>
              <w:rPr>
                <w:sz w:val="14"/>
                <w:szCs w:val="14"/>
                <w:color w:val="auto"/>
              </w:rPr>
            </w:pP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Mobil Corporation and Exxon Corporation</w:t>
            </w:r>
          </w:p>
        </w:tc>
        <w:tc>
          <w:tcPr>
            <w:tcW w:w="4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Reference is made to our opinion letter dated April 2, 1999 with respect to the fairness from a financial point of view to the holders (other than Exxon Corporation ("Exxon") or any of its subsidiaries or affiliates (the "Holders")) of the outstanding shares of Common Stock, par value $1.00 per share (the "Shares"), of Mobil Corporation ("Mobil") of the exchange ratio of 1.32015 shares of Common Stock, without par value ("Exxon Shares"), of Exxon to be received for each Share (the "Exchange Ratio") pursuant to the Agreement and Plan of Merger, dated as of December 1, 1998, among Exxon, Lion Acquisition Subsidiary Corporation, a wholly-owned subsidiary of Exxon, and Mobil.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opinion letter is provided for the information and assistance of the Board of Directors of Mobil in connection with its consideration of the transaction contemplated therein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the Company has determined to include our opinion in the above-referenced Registration Statement.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that regard, we hereby consent to the reference to the opinion of our Firm under the caption(s) "Summary", "The Merger Transaction" and "Opinions of Financial Advisors" and to the inclusion of the foregoing opinion in the Joint Proxy Statement/Prospectus included in the above-mentioned Registration Statement, as amended.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Goldman, Sachs &amp; Co.</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36" w:name="page237"/>
    <w:bookmarkEnd w:id="236"/>
    <w:p>
      <w:pPr>
        <w:ind w:left="5860"/>
        <w:spacing w:after="0"/>
        <w:rPr>
          <w:sz w:val="20"/>
          <w:szCs w:val="20"/>
          <w:color w:val="auto"/>
        </w:rPr>
      </w:pPr>
      <w:r>
        <w:rPr>
          <w:rFonts w:ascii="Courier New" w:cs="Courier New" w:eastAsia="Courier New" w:hAnsi="Courier New"/>
          <w:sz w:val="14"/>
          <w:szCs w:val="14"/>
          <w:color w:val="auto"/>
        </w:rPr>
        <w:t>EXHIBIT 24</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EXXON CORPORATION POWER OF ATTORNEY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person whose signature appears below hereby constitutes and appoints Frank A. Risch, Richard E. Gutman and Millie P. Bradley, and each of them, with full power to act without the other, his or her true and lawful attorneys-in-fact and agents, with full power of substitution and resubstitution, for him or her and in his or her own name, place and stead, in any and all capacities, to sign a Registration Statement on Form S-4 relating to the issuance of the registrant's common stock in connection with the merger of Mobil Corporation with and into a wholly-owned subsidiary of the registrant and any and all amendments (including post-effective amendments and other amendments thereto)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as he or she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0239"/>
          </w:cols>
          <w:pgMar w:left="220" w:top="141" w:right="1440" w:bottom="757" w:gutter="0" w:footer="0" w:header="0"/>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00" w:space="720"/>
            <w:col w:w="1680" w:space="720"/>
            <w:col w:w="4119"/>
          </w:cols>
          <w:pgMar w:left="220" w:top="141" w:right="1440" w:bottom="75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Lee R. 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24, 1999</w:t>
      </w:r>
    </w:p>
    <w:p>
      <w:pPr>
        <w:spacing w:after="0" w:line="7" w:lineRule="exact"/>
        <w:rPr>
          <w:sz w:val="20"/>
          <w:szCs w:val="20"/>
          <w:color w:val="auto"/>
        </w:rPr>
      </w:pPr>
    </w:p>
    <w:p>
      <w:pPr>
        <w:sectPr>
          <w:pgSz w:w="11900" w:h="16838" w:orient="portrait"/>
          <w:cols w:equalWidth="0" w:num="3">
            <w:col w:w="2740" w:space="720"/>
            <w:col w:w="1800" w:space="180"/>
            <w:col w:w="4799"/>
          </w:cols>
          <w:pgMar w:left="220" w:top="141" w:right="1440" w:bottom="757" w:gutter="0" w:footer="0" w:header="0"/>
          <w:type w:val="continuous"/>
        </w:sectPr>
      </w:pPr>
    </w:p>
    <w:p>
      <w:pPr>
        <w:ind w:left="180" w:hanging="172"/>
        <w:spacing w:after="0"/>
        <w:tabs>
          <w:tab w:leader="none" w:pos="1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(Lee R. Raymond)</w:t>
      </w:r>
    </w:p>
    <w:p>
      <w:pPr>
        <w:spacing w:after="0" w:line="173" w:lineRule="exact"/>
        <w:rPr>
          <w:sz w:val="20"/>
          <w:szCs w:val="20"/>
          <w:color w:val="auto"/>
        </w:rPr>
      </w:pPr>
    </w:p>
    <w:p>
      <w:pPr>
        <w:spacing w:after="0"/>
        <w:tabs>
          <w:tab w:leader="none" w:pos="3440" w:val="left"/>
          <w:tab w:leader="none" w:pos="5580" w:val="left"/>
        </w:tabs>
        <w:rPr>
          <w:sz w:val="20"/>
          <w:szCs w:val="20"/>
          <w:color w:val="auto"/>
        </w:rPr>
      </w:pPr>
      <w:r>
        <w:rPr>
          <w:rFonts w:ascii="Courier New" w:cs="Courier New" w:eastAsia="Courier New" w:hAnsi="Courier New"/>
          <w:sz w:val="14"/>
          <w:szCs w:val="14"/>
          <w:color w:val="auto"/>
        </w:rPr>
        <w:t>/s/ Michael J. Boskin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10, 1999</w:t>
      </w:r>
    </w:p>
    <w:p>
      <w:pPr>
        <w:spacing w:after="0" w:line="7" w:lineRule="exact"/>
        <w:rPr>
          <w:sz w:val="20"/>
          <w:szCs w:val="20"/>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J. Boskin)</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Rene Dahan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(Rene Dahan)</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William T. Esrey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T. Esrey)</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Jess Hay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(Jess Hay)</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James R. Houghton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R. Houghton)</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William R. Howell</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R. Howell)</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Reatha Clark King</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(Reatha Clark King)</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Philip E. Lippincott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(Philip E. Lippincott)</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Harry J. Longwell</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(Harry J. Longwell)</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Marilyn Carlson Nelson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26, 1999</w:t>
      </w:r>
    </w:p>
    <w:p>
      <w:pPr>
        <w:spacing w:after="0" w:line="7" w:lineRule="exact"/>
        <w:rPr>
          <w:sz w:val="20"/>
          <w:szCs w:val="20"/>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(Marilyn Carlson Nelson)</w:t>
      </w:r>
    </w:p>
    <w:p>
      <w:pPr>
        <w:spacing w:after="0" w:line="173" w:lineRule="exact"/>
        <w:rPr>
          <w:sz w:val="20"/>
          <w:szCs w:val="20"/>
          <w:color w:val="auto"/>
        </w:rPr>
      </w:pPr>
    </w:p>
    <w:p>
      <w:pPr>
        <w:spacing w:after="0"/>
        <w:tabs>
          <w:tab w:leader="none" w:pos="3440" w:val="left"/>
          <w:tab w:leader="none" w:pos="5420" w:val="left"/>
        </w:tabs>
        <w:rPr>
          <w:sz w:val="20"/>
          <w:szCs w:val="20"/>
          <w:color w:val="auto"/>
        </w:rPr>
      </w:pPr>
      <w:r>
        <w:rPr>
          <w:rFonts w:ascii="Courier New" w:cs="Courier New" w:eastAsia="Courier New" w:hAnsi="Courier New"/>
          <w:sz w:val="14"/>
          <w:szCs w:val="14"/>
          <w:color w:val="auto"/>
        </w:rPr>
        <w:t>/s/ Walter V. Shipley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February 24, 1999</w:t>
      </w:r>
    </w:p>
    <w:p>
      <w:pPr>
        <w:spacing w:after="0" w:line="7" w:lineRule="exact"/>
        <w:rPr>
          <w:sz w:val="20"/>
          <w:szCs w:val="20"/>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(Walter V. Shipley)</w:t>
      </w:r>
    </w:p>
    <w:p>
      <w:pPr>
        <w:sectPr>
          <w:pgSz w:w="11900" w:h="16838" w:orient="portrait"/>
          <w:cols w:equalWidth="0" w:num="1">
            <w:col w:w="10239"/>
          </w:cols>
          <w:pgMar w:left="220" w:top="141" w:right="1440" w:bottom="7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000" w:space="720"/>
            <w:col w:w="1680" w:space="720"/>
            <w:col w:w="4119"/>
          </w:cols>
          <w:pgMar w:left="220" w:top="141" w:right="1440" w:bottom="757"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E. Wilhelm</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1999</w:t>
      </w:r>
    </w:p>
    <w:p>
      <w:pPr>
        <w:spacing w:after="0" w:line="7" w:lineRule="exact"/>
        <w:rPr>
          <w:sz w:val="20"/>
          <w:szCs w:val="20"/>
          <w:color w:val="auto"/>
        </w:rPr>
      </w:pPr>
    </w:p>
    <w:p>
      <w:pPr>
        <w:sectPr>
          <w:pgSz w:w="11900" w:h="16838" w:orient="portrait"/>
          <w:cols w:equalWidth="0" w:num="3">
            <w:col w:w="2740" w:space="720"/>
            <w:col w:w="1260" w:space="720"/>
            <w:col w:w="4799"/>
          </w:cols>
          <w:pgMar w:left="220" w:top="141" w:right="1440" w:bottom="757" w:gutter="0" w:footer="0" w:header="0"/>
          <w:type w:val="continuous"/>
        </w:sect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E. Wilhelm)</w:t>
      </w:r>
    </w:p>
    <w:p>
      <w:pPr>
        <w:sectPr>
          <w:pgSz w:w="11900" w:h="16838" w:orient="portrait"/>
          <w:cols w:equalWidth="0" w:num="1">
            <w:col w:w="10239"/>
          </w:cols>
          <w:pgMar w:left="220" w:top="141" w:right="1440" w:bottom="757"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Frank A. Risch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A. Risch)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Financial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1999</w:t>
      </w:r>
    </w:p>
    <w:p>
      <w:pPr>
        <w:spacing w:after="0" w:line="504" w:lineRule="exact"/>
        <w:rPr>
          <w:sz w:val="20"/>
          <w:szCs w:val="20"/>
          <w:color w:val="auto"/>
        </w:rPr>
      </w:pPr>
    </w:p>
    <w:p>
      <w:pPr>
        <w:sectPr>
          <w:pgSz w:w="11900" w:h="16838" w:orient="portrait"/>
          <w:cols w:equalWidth="0" w:num="3">
            <w:col w:w="2860" w:space="600"/>
            <w:col w:w="1640" w:space="340"/>
            <w:col w:w="4799"/>
          </w:cols>
          <w:pgMar w:left="220" w:top="141" w:right="1440" w:bottom="75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Donald D. Humphreys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D. Humphreys)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Controller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24, 1999</w:t>
      </w:r>
    </w:p>
    <w:p>
      <w:pPr>
        <w:sectPr>
          <w:pgSz w:w="11900" w:h="16838" w:orient="portrait"/>
          <w:cols w:equalWidth="0" w:num="3">
            <w:col w:w="2860" w:space="600"/>
            <w:col w:w="1720" w:space="260"/>
            <w:col w:w="4799"/>
          </w:cols>
          <w:pgMar w:left="220" w:top="141" w:right="1440" w:bottom="757" w:gutter="0" w:footer="0" w:header="0"/>
          <w:type w:val="continuous"/>
        </w:sectPr>
      </w:pPr>
    </w:p>
    <w:bookmarkStart w:id="237" w:name="page238"/>
    <w:bookmarkEnd w:id="2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8" w:name="page239"/>
    <w:bookmarkEnd w:id="238"/>
    <w:p>
      <w:pPr>
        <w:ind w:left="5600"/>
        <w:spacing w:after="0"/>
        <w:rPr>
          <w:sz w:val="20"/>
          <w:szCs w:val="20"/>
          <w:color w:val="auto"/>
        </w:rPr>
      </w:pPr>
      <w:r>
        <w:rPr>
          <w:rFonts w:ascii="Courier New" w:cs="Courier New" w:eastAsia="Courier New" w:hAnsi="Courier New"/>
          <w:sz w:val="14"/>
          <w:szCs w:val="14"/>
          <w:color w:val="auto"/>
        </w:rPr>
        <w:t>EXHIBIT 99(a)</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EXXON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EXXON CORPORATION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MEETING</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ADMISSION TICKET</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of shareholders of Exxon Corporation on Thursday, May 27 at the Trinity Conference Center, Wyndham Anatole Hotel, 2201 Steemons Freeway, Dallas, Texas. The meeting will begin at 10:00 a.m., Central Time. Admission is limited to shareholders and guests of the Corporation. This ticket will admit you and an approved guest and should be presented at the meeting to expedite registration. Free parking is available. You should allow time for possible traffic delays and for walking to the conference center after arriving at the hotel.</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avoid delays, please arrive early and present this ticket.</w:t>
      </w:r>
    </w:p>
    <w:p>
      <w:pPr>
        <w:spacing w:after="0" w:line="7" w:lineRule="exact"/>
        <w:rPr>
          <w:sz w:val="20"/>
          <w:szCs w:val="20"/>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Exxon Corporation encourages all shareholders to vote their proxies. We now provide three convenient methods for voting:</w:t>
      </w:r>
    </w:p>
    <w:p>
      <w:pPr>
        <w:spacing w:after="0" w:line="160" w:lineRule="exact"/>
        <w:rPr>
          <w:sz w:val="20"/>
          <w:szCs w:val="20"/>
          <w:color w:val="auto"/>
        </w:rPr>
      </w:pPr>
    </w:p>
    <w:p>
      <w:pPr>
        <w:ind w:left="260" w:right="4820" w:hanging="252"/>
        <w:spacing w:after="0" w:line="255" w:lineRule="auto"/>
        <w:tabs>
          <w:tab w:leader="none" w:pos="26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CARD: Complete, sign, date, and return the proxy card attached below in the enclosed postage-paid envelope, or</w:t>
      </w:r>
    </w:p>
    <w:p>
      <w:pPr>
        <w:spacing w:after="0" w:line="159" w:lineRule="exact"/>
        <w:rPr>
          <w:rFonts w:ascii="Courier New" w:cs="Courier New" w:eastAsia="Courier New" w:hAnsi="Courier New"/>
          <w:sz w:val="14"/>
          <w:szCs w:val="14"/>
          <w:color w:val="auto"/>
        </w:rPr>
      </w:pPr>
    </w:p>
    <w:p>
      <w:pPr>
        <w:ind w:left="260" w:right="4980" w:hanging="252"/>
        <w:spacing w:after="0" w:line="255" w:lineRule="auto"/>
        <w:tabs>
          <w:tab w:leader="none" w:pos="26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Call toll-free on a touch-tone phone 1-877-779-8683, 7 days a week, 24 hours a day, or</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Log on to the Web site http://www.eproxyvote.com/xon</w:t>
      </w:r>
    </w:p>
    <w:p>
      <w:pPr>
        <w:spacing w:after="0" w:line="172" w:lineRule="exact"/>
        <w:rPr>
          <w:rFonts w:ascii="Courier New" w:cs="Courier New" w:eastAsia="Courier New" w:hAnsi="Courier New"/>
          <w:sz w:val="14"/>
          <w:szCs w:val="14"/>
          <w:color w:val="auto"/>
        </w:rPr>
      </w:pPr>
    </w:p>
    <w:p>
      <w:pPr>
        <w:ind w:left="260" w:right="532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you choose to vote by telephone or Internet, you will be given instructions and asked to enter the 14-digit voter control number located above your name on this proxy card. Choosing either of these options eliminates the need to return your proxy card.</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DETACH CARD BEFORE MAILING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4380" w:val="left"/>
          <w:tab w:leader="none" w:pos="8000" w:val="left"/>
        </w:tabs>
        <w:rPr>
          <w:sz w:val="20"/>
          <w:szCs w:val="20"/>
          <w:color w:val="auto"/>
        </w:rPr>
      </w:pP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p>
    <w:p>
      <w:pPr>
        <w:spacing w:after="0" w:line="7" w:lineRule="exact"/>
        <w:rPr>
          <w:sz w:val="20"/>
          <w:szCs w:val="20"/>
          <w:color w:val="auto"/>
        </w:rPr>
      </w:pPr>
    </w:p>
    <w:p>
      <w:pPr>
        <w:ind w:left="780"/>
        <w:spacing w:after="0"/>
        <w:tabs>
          <w:tab w:leader="none" w:pos="4820" w:val="left"/>
          <w:tab w:leader="none" w:pos="8000" w:val="left"/>
        </w:tabs>
        <w:rPr>
          <w:sz w:val="20"/>
          <w:szCs w:val="20"/>
          <w:color w:val="auto"/>
        </w:rPr>
      </w:pPr>
      <w:r>
        <w:rPr>
          <w:rFonts w:ascii="Courier New" w:cs="Courier New" w:eastAsia="Courier New" w:hAnsi="Courier New"/>
          <w:sz w:val="14"/>
          <w:szCs w:val="14"/>
          <w:color w:val="auto"/>
        </w:rPr>
        <w:t>a vote FOR items 1 and 2.</w:t>
      </w:r>
      <w:r>
        <w:rPr>
          <w:sz w:val="20"/>
          <w:szCs w:val="20"/>
          <w:color w:val="auto"/>
        </w:rPr>
        <w:tab/>
      </w:r>
      <w:r>
        <w:rPr>
          <w:rFonts w:ascii="Courier New" w:cs="Courier New" w:eastAsia="Courier New" w:hAnsi="Courier New"/>
          <w:sz w:val="14"/>
          <w:szCs w:val="14"/>
          <w:color w:val="auto"/>
        </w:rPr>
        <w:t>a vote FOR items 3 and 4.</w:t>
      </w:r>
      <w:r>
        <w:rPr>
          <w:sz w:val="20"/>
          <w:szCs w:val="20"/>
          <w:color w:val="auto"/>
        </w:rPr>
        <w:tab/>
      </w:r>
      <w:r>
        <w:rPr>
          <w:rFonts w:ascii="Courier New" w:cs="Courier New" w:eastAsia="Courier New" w:hAnsi="Courier New"/>
          <w:sz w:val="14"/>
          <w:szCs w:val="14"/>
          <w:color w:val="auto"/>
        </w:rPr>
        <w:t>a vote AGAINST items 5 through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41"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in favor of the merger, you must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both merger proposals: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Approve merger and</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related issuance of</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Exxon stock (p. I-14)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Amendment of Exxon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charter (p. III-10)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Other annual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meeting proposals: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Term limit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nonemployee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ALL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ALL</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directors (p. IV-19)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 Election of</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Limitation</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300" w:type="dxa"/>
            <w:vAlign w:val="bottom"/>
          </w:tcPr>
          <w:p>
            <w:pPr>
              <w:spacing w:after="0"/>
              <w:rPr>
                <w:sz w:val="14"/>
                <w:szCs w:val="14"/>
                <w:color w:val="auto"/>
              </w:rPr>
            </w:pP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voting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IV-20)</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on climate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IV-21)</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rPr>
              <w:t>For all nominees except as noted above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Sexual orientation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AGAINST  ABSTAIN</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 IV-24)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4. Ratify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accountants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IV-19)</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A. I have made comments on this card</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or an attachment.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 Discontinue duplicate annual report. [ ]</w:t>
      </w:r>
    </w:p>
    <w:p>
      <w:pPr>
        <w:spacing w:after="0" w:line="200" w:lineRule="exact"/>
        <w:rPr>
          <w:sz w:val="20"/>
          <w:szCs w:val="20"/>
          <w:color w:val="auto"/>
        </w:rPr>
      </w:pPr>
    </w:p>
    <w:p>
      <w:pPr>
        <w:sectPr>
          <w:pgSz w:w="11900" w:h="16838" w:orient="portrait"/>
          <w:cols w:equalWidth="0" w:num="2">
            <w:col w:w="4060" w:space="160"/>
            <w:col w:w="732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480" w:val="left"/>
          <w:tab w:leader="none" w:pos="4640" w:val="left"/>
          <w:tab w:leader="none" w:pos="7140" w:val="left"/>
        </w:tabs>
        <w:rPr>
          <w:sz w:val="20"/>
          <w:szCs w:val="20"/>
          <w:color w:val="auto"/>
        </w:rPr>
      </w:pPr>
      <w:r>
        <w:rPr>
          <w:rFonts w:ascii="Courier New" w:cs="Courier New" w:eastAsia="Courier New" w:hAnsi="Courier New"/>
          <w:sz w:val="14"/>
          <w:szCs w:val="14"/>
          <w:color w:val="auto"/>
        </w:rPr>
        <w:t>Signature: ________________</w:t>
        <w:tab/>
        <w:t>Date: ________ 1999</w:t>
      </w:r>
      <w:r>
        <w:rPr>
          <w:sz w:val="20"/>
          <w:szCs w:val="20"/>
          <w:color w:val="auto"/>
        </w:rPr>
        <w:tab/>
      </w:r>
      <w:r>
        <w:rPr>
          <w:rFonts w:ascii="Courier New" w:cs="Courier New" w:eastAsia="Courier New" w:hAnsi="Courier New"/>
          <w:sz w:val="14"/>
          <w:szCs w:val="14"/>
          <w:color w:val="auto"/>
        </w:rPr>
        <w:t>Signature: ________________</w:t>
        <w:tab/>
        <w:t>Date: ________ 1999</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NOTE: Please sign exactly as name appears hereon. When signing as attorney, executor, administrator, trustee, or guardian, please give full name as such.</w:t>
      </w:r>
    </w:p>
    <w:p>
      <w:pPr>
        <w:sectPr>
          <w:pgSz w:w="11900" w:h="16838" w:orient="portrait"/>
          <w:cols w:equalWidth="0" w:num="1">
            <w:col w:w="11540"/>
          </w:cols>
          <w:pgMar w:left="220" w:top="141" w:right="139" w:bottom="1440" w:gutter="0" w:footer="0" w:header="0"/>
          <w:type w:val="continuous"/>
        </w:sectPr>
      </w:pPr>
    </w:p>
    <w:bookmarkStart w:id="239" w:name="page240"/>
    <w:bookmarkEnd w:id="239"/>
    <w:p>
      <w:pPr>
        <w:ind w:left="2340"/>
        <w:spacing w:after="0"/>
        <w:rPr>
          <w:sz w:val="20"/>
          <w:szCs w:val="20"/>
          <w:color w:val="auto"/>
        </w:rPr>
      </w:pPr>
      <w:r>
        <w:rPr>
          <w:rFonts w:ascii="Courier New" w:cs="Courier New" w:eastAsia="Courier New" w:hAnsi="Courier New"/>
          <w:sz w:val="14"/>
          <w:szCs w:val="14"/>
          <w:color w:val="auto"/>
        </w:rPr>
        <w:t>(MAP AND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w w:val="99"/>
              </w:rPr>
              <w:t>PROXY</w:t>
            </w:r>
          </w:p>
        </w:tc>
      </w:tr>
      <w:tr>
        <w:trPr>
          <w:trHeight w:val="166"/>
        </w:trPr>
        <w:tc>
          <w:tcPr>
            <w:tcW w:w="2940" w:type="dxa"/>
            <w:vAlign w:val="bottom"/>
          </w:tcPr>
          <w:p>
            <w:pPr>
              <w:spacing w:after="0"/>
              <w:rPr>
                <w:sz w:val="14"/>
                <w:szCs w:val="14"/>
                <w:color w:val="auto"/>
              </w:rPr>
            </w:pP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SOLICITED BY BOARD OF DIRECTORS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 Proxy Services</w:t>
            </w:r>
          </w:p>
        </w:tc>
        <w:tc>
          <w:tcPr>
            <w:tcW w:w="3780" w:type="dxa"/>
            <w:vAlign w:val="bottom"/>
          </w:tcPr>
          <w:p>
            <w:pPr>
              <w:ind w:left="1200"/>
              <w:spacing w:after="0"/>
              <w:rPr>
                <w:sz w:val="20"/>
                <w:szCs w:val="20"/>
                <w:color w:val="auto"/>
              </w:rPr>
            </w:pPr>
            <w:r>
              <w:rPr>
                <w:rFonts w:ascii="Courier New" w:cs="Courier New" w:eastAsia="Courier New" w:hAnsi="Courier New"/>
                <w:sz w:val="14"/>
                <w:szCs w:val="14"/>
                <w:color w:val="auto"/>
              </w:rPr>
              <w:t>ANNUAL MEETING, MAY 27, 1999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P.O. Box 8033</w:t>
            </w:r>
          </w:p>
        </w:tc>
        <w:tc>
          <w:tcPr>
            <w:tcW w:w="3780" w:type="dxa"/>
            <w:vAlign w:val="bottom"/>
          </w:tcPr>
          <w:p>
            <w:pPr>
              <w:ind w:left="1980"/>
              <w:spacing w:after="0"/>
              <w:rPr>
                <w:sz w:val="20"/>
                <w:szCs w:val="20"/>
                <w:color w:val="auto"/>
              </w:rPr>
            </w:pPr>
            <w:r>
              <w:rPr>
                <w:rFonts w:ascii="Courier New" w:cs="Courier New" w:eastAsia="Courier New" w:hAnsi="Courier New"/>
                <w:sz w:val="14"/>
                <w:szCs w:val="14"/>
                <w:color w:val="auto"/>
              </w:rPr>
              <w:t>DALLAS, TEXAS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Boston, MA 02266-8033</w:t>
            </w:r>
          </w:p>
        </w:tc>
        <w:tc>
          <w:tcPr>
            <w:tcW w:w="3780" w:type="dxa"/>
            <w:vAlign w:val="bottom"/>
          </w:tcPr>
          <w:p>
            <w:pPr>
              <w:spacing w:after="0"/>
              <w:rPr>
                <w:sz w:val="14"/>
                <w:szCs w:val="14"/>
                <w:color w:val="auto"/>
              </w:rPr>
            </w:pPr>
          </w:p>
        </w:tc>
      </w:tr>
    </w:tbl>
    <w:p>
      <w:pPr>
        <w:spacing w:after="0" w:line="33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undersigned hereby appoints J. Hay, W.R. Howell, P.E. Lippincott, M.C. Nelson, and L.R. Raymond, or each or any of them, with power of substitution, proxies for the undersigned to act and vote at the 1999 annual meeting of shareholders of Exxon Corporation and at any adjournments thereof, as indicated, upon all matters referred to on the reverse side and described in the proxy statement for the meeting and, at their discretion, upon any other matters that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 Election of Directors(1)</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Nominees: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M.J. Boskin,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 Dahan,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Esrey,</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J. Hay,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J.R. Houghton,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W.R. Howell,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R.C. King,</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P.E. Lippincott,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M.C. Nelson,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L.R. Raymond,</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W.V. Shipley,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4"/>
          <w:szCs w:val="14"/>
          <w:color w:val="auto"/>
        </w:rPr>
        <w:t>If no other indication is made, the proxies shall vote (a) for the election of the director nominees and (b) in accordance with the recommendations of the Board of Directors on the other matters referred to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right="3939" w:hanging="352"/>
        <w:spacing w:after="0" w:line="255" w:lineRule="auto"/>
        <w:tabs>
          <w:tab w:leader="none" w:pos="3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front of the nominees' names are provided to assist in telephone and Internet voting.</w:t>
      </w:r>
    </w:p>
    <w:p>
      <w:pPr>
        <w:spacing w:after="0" w:line="16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(OVER)</w:t>
      </w:r>
    </w:p>
    <w:p>
      <w:pPr>
        <w:sectPr>
          <w:pgSz w:w="11900" w:h="16838" w:orient="portrait"/>
          <w:cols w:equalWidth="0" w:num="1">
            <w:col w:w="10239"/>
          </w:cols>
          <w:pgMar w:left="220" w:top="1113" w:right="1440" w:bottom="1440" w:gutter="0" w:footer="0" w:header="0"/>
        </w:sectPr>
      </w:pPr>
    </w:p>
    <w:bookmarkStart w:id="240" w:name="page241"/>
    <w:bookmarkEnd w:id="240"/>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EXXON CORPORATION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MEETING</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ADMISSION TICKET</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of shareholders of Exxon Corporation on Thursday, May 27 at the Trinity Conference Center, Wyndham Anatole Hotel, 2201 Steemons Freeway, Dallas, Texas. The meeting will begin at 10:00 a.m., Central Time. Admission is limited to shareholders and guests of the Corporation. This ticket will admit you and an approved guest and should be presented at the meeting to expedite registration. Free parking is available. You should allow time for possible traffic delays and for walking to the conference center after arriving at the hotel.</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avoid delays, please arrive early and present this ticket.</w:t>
      </w:r>
    </w:p>
    <w:p>
      <w:pPr>
        <w:spacing w:after="0" w:line="7" w:lineRule="exact"/>
        <w:rPr>
          <w:sz w:val="20"/>
          <w:szCs w:val="20"/>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Exxon Corporation encourages all shareholders to vote their proxies. We now provide three convenient methods for voting:</w:t>
      </w:r>
    </w:p>
    <w:p>
      <w:pPr>
        <w:spacing w:after="0" w:line="160" w:lineRule="exact"/>
        <w:rPr>
          <w:sz w:val="20"/>
          <w:szCs w:val="20"/>
          <w:color w:val="auto"/>
        </w:rPr>
      </w:pPr>
    </w:p>
    <w:p>
      <w:pPr>
        <w:ind w:left="260" w:right="4820" w:hanging="252"/>
        <w:spacing w:after="0" w:line="255" w:lineRule="auto"/>
        <w:tabs>
          <w:tab w:leader="none" w:pos="2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CARD: Complete, sign, date, and return the proxy card attached below in the enclosed postage-paid envelope, or</w:t>
      </w:r>
    </w:p>
    <w:p>
      <w:pPr>
        <w:spacing w:after="0" w:line="159" w:lineRule="exact"/>
        <w:rPr>
          <w:rFonts w:ascii="Courier New" w:cs="Courier New" w:eastAsia="Courier New" w:hAnsi="Courier New"/>
          <w:sz w:val="14"/>
          <w:szCs w:val="14"/>
          <w:color w:val="auto"/>
        </w:rPr>
      </w:pPr>
    </w:p>
    <w:p>
      <w:pPr>
        <w:ind w:left="260" w:right="4980" w:hanging="252"/>
        <w:spacing w:after="0" w:line="255" w:lineRule="auto"/>
        <w:tabs>
          <w:tab w:leader="none" w:pos="2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Call toll-free on a touch-tone phone 1-877-779-8683, 7 days a week, 24 hours a day, or</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Log on to the Web site http://www.eproxyvote.com/xon</w:t>
      </w:r>
    </w:p>
    <w:p>
      <w:pPr>
        <w:spacing w:after="0" w:line="173" w:lineRule="exact"/>
        <w:rPr>
          <w:sz w:val="20"/>
          <w:szCs w:val="20"/>
          <w:color w:val="auto"/>
        </w:rPr>
      </w:pPr>
    </w:p>
    <w:p>
      <w:pPr>
        <w:ind w:left="260" w:right="5320"/>
        <w:spacing w:after="0" w:line="252" w:lineRule="auto"/>
        <w:rPr>
          <w:sz w:val="20"/>
          <w:szCs w:val="20"/>
          <w:color w:val="auto"/>
        </w:rPr>
      </w:pPr>
      <w:r>
        <w:rPr>
          <w:rFonts w:ascii="Courier New" w:cs="Courier New" w:eastAsia="Courier New" w:hAnsi="Courier New"/>
          <w:sz w:val="14"/>
          <w:szCs w:val="14"/>
          <w:color w:val="auto"/>
        </w:rPr>
        <w:t>If you choose to vote by telephone or Internet, you will be given instructions and asked to enter the 14-digit voter control number located above your name on this proxy card. Choosing either of these options eliminates the need to return your proxy card.</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DETACH CARD BEFORE MAILING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4380" w:val="left"/>
          <w:tab w:leader="none" w:pos="8000" w:val="left"/>
        </w:tabs>
        <w:rPr>
          <w:sz w:val="20"/>
          <w:szCs w:val="20"/>
          <w:color w:val="auto"/>
        </w:rPr>
      </w:pP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p>
    <w:p>
      <w:pPr>
        <w:spacing w:after="0" w:line="7" w:lineRule="exact"/>
        <w:rPr>
          <w:sz w:val="20"/>
          <w:szCs w:val="20"/>
          <w:color w:val="auto"/>
        </w:rPr>
      </w:pPr>
    </w:p>
    <w:p>
      <w:pPr>
        <w:ind w:left="780"/>
        <w:spacing w:after="0"/>
        <w:tabs>
          <w:tab w:leader="none" w:pos="4820" w:val="left"/>
          <w:tab w:leader="none" w:pos="8000" w:val="left"/>
        </w:tabs>
        <w:rPr>
          <w:sz w:val="20"/>
          <w:szCs w:val="20"/>
          <w:color w:val="auto"/>
        </w:rPr>
      </w:pPr>
      <w:r>
        <w:rPr>
          <w:rFonts w:ascii="Courier New" w:cs="Courier New" w:eastAsia="Courier New" w:hAnsi="Courier New"/>
          <w:sz w:val="14"/>
          <w:szCs w:val="14"/>
          <w:color w:val="auto"/>
        </w:rPr>
        <w:t>a vote FOR items 1 and 2.</w:t>
      </w:r>
      <w:r>
        <w:rPr>
          <w:sz w:val="20"/>
          <w:szCs w:val="20"/>
          <w:color w:val="auto"/>
        </w:rPr>
        <w:tab/>
      </w:r>
      <w:r>
        <w:rPr>
          <w:rFonts w:ascii="Courier New" w:cs="Courier New" w:eastAsia="Courier New" w:hAnsi="Courier New"/>
          <w:sz w:val="14"/>
          <w:szCs w:val="14"/>
          <w:color w:val="auto"/>
        </w:rPr>
        <w:t>a vote FOR items 3 and 4.</w:t>
      </w:r>
      <w:r>
        <w:rPr>
          <w:sz w:val="20"/>
          <w:szCs w:val="20"/>
          <w:color w:val="auto"/>
        </w:rPr>
        <w:tab/>
      </w:r>
      <w:r>
        <w:rPr>
          <w:rFonts w:ascii="Courier New" w:cs="Courier New" w:eastAsia="Courier New" w:hAnsi="Courier New"/>
          <w:sz w:val="14"/>
          <w:szCs w:val="14"/>
          <w:color w:val="auto"/>
        </w:rPr>
        <w:t>a vote AGAINST items 5 through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in favor of the merger, you must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both merger proposals: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Approve merger and</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related issuance of</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Exxon stock (p. I-14)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Amendment of Exxon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charter (p. III-10)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Other annual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meeting proposals: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Term limit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nonemployee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ALL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ALL</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directors (p. IV-19)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 Election of</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Limitation</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300" w:type="dxa"/>
            <w:vAlign w:val="bottom"/>
          </w:tcPr>
          <w:p>
            <w:pPr>
              <w:spacing w:after="0"/>
              <w:rPr>
                <w:sz w:val="14"/>
                <w:szCs w:val="14"/>
                <w:color w:val="auto"/>
              </w:rPr>
            </w:pP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voting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IV-20)</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on climate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IV-21)</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rPr>
              <w:t>For all nominees except as noted above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Sexual orientation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AGAINST  ABSTAIN</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 IV-24)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4. Ratify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accountants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IV-19)</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A. I have made comments on this card</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or an attachment.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4060" w:space="160"/>
            <w:col w:w="732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2480" w:val="left"/>
          <w:tab w:leader="none" w:pos="4640" w:val="left"/>
          <w:tab w:leader="none" w:pos="7140" w:val="left"/>
        </w:tabs>
        <w:rPr>
          <w:sz w:val="20"/>
          <w:szCs w:val="20"/>
          <w:color w:val="auto"/>
        </w:rPr>
      </w:pPr>
      <w:r>
        <w:rPr>
          <w:rFonts w:ascii="Courier New" w:cs="Courier New" w:eastAsia="Courier New" w:hAnsi="Courier New"/>
          <w:sz w:val="14"/>
          <w:szCs w:val="14"/>
          <w:color w:val="auto"/>
        </w:rPr>
        <w:t>Signature: ________________</w:t>
        <w:tab/>
        <w:t>Date: ________ 1999</w:t>
      </w:r>
      <w:r>
        <w:rPr>
          <w:sz w:val="20"/>
          <w:szCs w:val="20"/>
          <w:color w:val="auto"/>
        </w:rPr>
        <w:tab/>
      </w:r>
      <w:r>
        <w:rPr>
          <w:rFonts w:ascii="Courier New" w:cs="Courier New" w:eastAsia="Courier New" w:hAnsi="Courier New"/>
          <w:sz w:val="14"/>
          <w:szCs w:val="14"/>
          <w:color w:val="auto"/>
        </w:rPr>
        <w:t>Signature: ________________</w:t>
        <w:tab/>
        <w:t>Date: ________ 1999</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NOTE: Please sign exactly as name appears hereon. When signing as attorney, executor, administrator, trustee, or guardian, please give full name as such.</w:t>
      </w:r>
    </w:p>
    <w:p>
      <w:pPr>
        <w:sectPr>
          <w:pgSz w:w="11900" w:h="16838" w:orient="portrait"/>
          <w:cols w:equalWidth="0" w:num="1">
            <w:col w:w="11540"/>
          </w:cols>
          <w:pgMar w:left="220" w:top="616" w:right="139" w:bottom="1440" w:gutter="0" w:footer="0" w:header="0"/>
          <w:type w:val="continuous"/>
        </w:sectPr>
      </w:pPr>
    </w:p>
    <w:bookmarkStart w:id="241" w:name="page242"/>
    <w:bookmarkEnd w:id="241"/>
    <w:p>
      <w:pPr>
        <w:ind w:left="2340"/>
        <w:spacing w:after="0"/>
        <w:rPr>
          <w:sz w:val="20"/>
          <w:szCs w:val="20"/>
          <w:color w:val="auto"/>
        </w:rPr>
      </w:pPr>
      <w:r>
        <w:rPr>
          <w:rFonts w:ascii="Courier New" w:cs="Courier New" w:eastAsia="Courier New" w:hAnsi="Courier New"/>
          <w:sz w:val="14"/>
          <w:szCs w:val="14"/>
          <w:color w:val="auto"/>
        </w:rPr>
        <w:t>(MAP AND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VOTING INSTRUCTION CARD</w:t>
            </w:r>
          </w:p>
        </w:tc>
      </w:tr>
      <w:tr>
        <w:trPr>
          <w:trHeight w:val="166"/>
        </w:trPr>
        <w:tc>
          <w:tcPr>
            <w:tcW w:w="2940" w:type="dxa"/>
            <w:vAlign w:val="bottom"/>
          </w:tcPr>
          <w:p>
            <w:pPr>
              <w:spacing w:after="0"/>
              <w:rPr>
                <w:sz w:val="14"/>
                <w:szCs w:val="14"/>
                <w:color w:val="auto"/>
              </w:rPr>
            </w:pP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SOLICITED BY BOARD OF DIRECTORS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 Proxy Services</w:t>
            </w:r>
          </w:p>
        </w:tc>
        <w:tc>
          <w:tcPr>
            <w:tcW w:w="3780" w:type="dxa"/>
            <w:vAlign w:val="bottom"/>
          </w:tcPr>
          <w:p>
            <w:pPr>
              <w:ind w:left="1200"/>
              <w:spacing w:after="0"/>
              <w:rPr>
                <w:sz w:val="20"/>
                <w:szCs w:val="20"/>
                <w:color w:val="auto"/>
              </w:rPr>
            </w:pPr>
            <w:r>
              <w:rPr>
                <w:rFonts w:ascii="Courier New" w:cs="Courier New" w:eastAsia="Courier New" w:hAnsi="Courier New"/>
                <w:sz w:val="14"/>
                <w:szCs w:val="14"/>
                <w:color w:val="auto"/>
              </w:rPr>
              <w:t>ANNUAL MEETING, MAY 27, 1999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P.O. Box 8033</w:t>
            </w:r>
          </w:p>
        </w:tc>
        <w:tc>
          <w:tcPr>
            <w:tcW w:w="3780" w:type="dxa"/>
            <w:vAlign w:val="bottom"/>
          </w:tcPr>
          <w:p>
            <w:pPr>
              <w:ind w:left="1980"/>
              <w:spacing w:after="0"/>
              <w:rPr>
                <w:sz w:val="20"/>
                <w:szCs w:val="20"/>
                <w:color w:val="auto"/>
              </w:rPr>
            </w:pPr>
            <w:r>
              <w:rPr>
                <w:rFonts w:ascii="Courier New" w:cs="Courier New" w:eastAsia="Courier New" w:hAnsi="Courier New"/>
                <w:sz w:val="14"/>
                <w:szCs w:val="14"/>
                <w:color w:val="auto"/>
              </w:rPr>
              <w:t>DALLAS, TEXAS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Boston, MA 02266-8033</w:t>
            </w:r>
          </w:p>
        </w:tc>
        <w:tc>
          <w:tcPr>
            <w:tcW w:w="3780" w:type="dxa"/>
            <w:vAlign w:val="bottom"/>
          </w:tcPr>
          <w:p>
            <w:pPr>
              <w:spacing w:after="0"/>
              <w:rPr>
                <w:sz w:val="14"/>
                <w:szCs w:val="14"/>
                <w:color w:val="auto"/>
              </w:rPr>
            </w:pPr>
          </w:p>
        </w:tc>
      </w:tr>
    </w:tbl>
    <w:p>
      <w:pPr>
        <w:spacing w:after="0" w:line="33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 Trustee-Thrift Fund: You are hereby instructed to appoint J. Hay, W.R. Howell, P.E. Lippincott, M.C. Nelson, and L.R. Raymond, or each or any of them, with power of substitution, proxies to act and vote at the 1999 annual meeting of shareholders of Exxon Corporation and at any adjournments thereof, any shares of common stock of the Corporation in my account in the Thrift Fund (including all shares, if any, in my Thrift Account, E Account, K Account, and Direct Dividend Account), as indicated, upon all matters referred to on the reverse side and described in the proxy statement for the meeting and, at their discretion, upon any other matters that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 Election of Directors(1)</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Nominees: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M.J. Boskin,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 Dahan,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Esrey,</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J. Hay,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J.R. Houghton,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W.R. Howell,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R.C. King,</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P.E. Lippincott,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M.C. Nelson,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L.R. Raymond,</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W.V. Shipley,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4"/>
          <w:szCs w:val="14"/>
          <w:color w:val="auto"/>
        </w:rPr>
        <w:t>If no other indication is made, the proxies shall vote (a) for the election of the director nominees and (b) in accordance with the recommendations of the Board of Directors on the other matters referred to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right="3939" w:hanging="352"/>
        <w:spacing w:after="0" w:line="255" w:lineRule="auto"/>
        <w:tabs>
          <w:tab w:leader="none" w:pos="3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front of the nominees' names are provided to assist in telephone and Internet voting.</w:t>
      </w:r>
    </w:p>
    <w:p>
      <w:pPr>
        <w:spacing w:after="0" w:line="16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(OVER)</w:t>
      </w:r>
    </w:p>
    <w:p>
      <w:pPr>
        <w:sectPr>
          <w:pgSz w:w="11900" w:h="16838" w:orient="portrait"/>
          <w:cols w:equalWidth="0" w:num="1">
            <w:col w:w="10239"/>
          </w:cols>
          <w:pgMar w:left="220" w:top="1113" w:right="1440" w:bottom="1440" w:gutter="0" w:footer="0" w:header="0"/>
        </w:sectPr>
      </w:pPr>
    </w:p>
    <w:bookmarkStart w:id="242" w:name="page243"/>
    <w:bookmarkEnd w:id="242"/>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EXXON CORPORATION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MEETING</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ADMISSION TICKET</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of shareholders of Exxon Corporation on Thursday, May 27 at the Trinity Conference Center, Wyndham Anatole Hotel, 2201 Steemons Freeway, Dallas, Texas. The meeting will begin at 10:00 a.m., Central Time. Admission is limited to shareholders and guests of the Corporation. This ticket will admit you and an approved guest and should be presented at the meeting to expedite registration. Free parking is available. You should allow time for possible traffic delays and for walking to the conference center after arriving at the hotel.</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avoid delays, please arrive early and present this ticket.</w:t>
      </w:r>
    </w:p>
    <w:p>
      <w:pPr>
        <w:spacing w:after="0" w:line="7" w:lineRule="exact"/>
        <w:rPr>
          <w:sz w:val="20"/>
          <w:szCs w:val="20"/>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Exxon Corporation encourages all shareholders to vote their proxies. We now provide three convenient methods for voting:</w:t>
      </w:r>
    </w:p>
    <w:p>
      <w:pPr>
        <w:spacing w:after="0" w:line="160" w:lineRule="exact"/>
        <w:rPr>
          <w:sz w:val="20"/>
          <w:szCs w:val="20"/>
          <w:color w:val="auto"/>
        </w:rPr>
      </w:pPr>
    </w:p>
    <w:p>
      <w:pPr>
        <w:ind w:left="260" w:right="4820" w:hanging="252"/>
        <w:spacing w:after="0" w:line="255" w:lineRule="auto"/>
        <w:tabs>
          <w:tab w:leader="none" w:pos="2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CARD: Complete, sign, date, and return the proxy card attached below in the enclosed postage-paid envelope, or</w:t>
      </w:r>
    </w:p>
    <w:p>
      <w:pPr>
        <w:spacing w:after="0" w:line="159" w:lineRule="exact"/>
        <w:rPr>
          <w:rFonts w:ascii="Courier New" w:cs="Courier New" w:eastAsia="Courier New" w:hAnsi="Courier New"/>
          <w:sz w:val="14"/>
          <w:szCs w:val="14"/>
          <w:color w:val="auto"/>
        </w:rPr>
      </w:pPr>
    </w:p>
    <w:p>
      <w:pPr>
        <w:ind w:left="260" w:right="4980" w:hanging="252"/>
        <w:spacing w:after="0" w:line="255" w:lineRule="auto"/>
        <w:tabs>
          <w:tab w:leader="none" w:pos="2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Call toll-free on a touch-tone phone 1-877-779-8683, 7 days a week, 24 hours a day, or</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Log on to the Web site http://www.eproxyvote.com/xon</w:t>
      </w:r>
    </w:p>
    <w:p>
      <w:pPr>
        <w:spacing w:after="0" w:line="173" w:lineRule="exact"/>
        <w:rPr>
          <w:sz w:val="20"/>
          <w:szCs w:val="20"/>
          <w:color w:val="auto"/>
        </w:rPr>
      </w:pPr>
    </w:p>
    <w:p>
      <w:pPr>
        <w:ind w:left="260" w:right="5320"/>
        <w:spacing w:after="0" w:line="252" w:lineRule="auto"/>
        <w:rPr>
          <w:sz w:val="20"/>
          <w:szCs w:val="20"/>
          <w:color w:val="auto"/>
        </w:rPr>
      </w:pPr>
      <w:r>
        <w:rPr>
          <w:rFonts w:ascii="Courier New" w:cs="Courier New" w:eastAsia="Courier New" w:hAnsi="Courier New"/>
          <w:sz w:val="14"/>
          <w:szCs w:val="14"/>
          <w:color w:val="auto"/>
        </w:rPr>
        <w:t>If you choose to vote by telephone or Internet, you will be given instructions and asked to enter the 14-digit voter control number located above your name on this proxy card. Choosing either of these options eliminates the need to return your proxy card.</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DETACH CARD BEFORE MAILING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4380" w:val="left"/>
          <w:tab w:leader="none" w:pos="8000" w:val="left"/>
        </w:tabs>
        <w:rPr>
          <w:sz w:val="20"/>
          <w:szCs w:val="20"/>
          <w:color w:val="auto"/>
        </w:rPr>
      </w:pP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p>
    <w:p>
      <w:pPr>
        <w:spacing w:after="0" w:line="7" w:lineRule="exact"/>
        <w:rPr>
          <w:sz w:val="20"/>
          <w:szCs w:val="20"/>
          <w:color w:val="auto"/>
        </w:rPr>
      </w:pPr>
    </w:p>
    <w:p>
      <w:pPr>
        <w:ind w:left="780"/>
        <w:spacing w:after="0"/>
        <w:tabs>
          <w:tab w:leader="none" w:pos="4820" w:val="left"/>
          <w:tab w:leader="none" w:pos="8000" w:val="left"/>
        </w:tabs>
        <w:rPr>
          <w:sz w:val="20"/>
          <w:szCs w:val="20"/>
          <w:color w:val="auto"/>
        </w:rPr>
      </w:pPr>
      <w:r>
        <w:rPr>
          <w:rFonts w:ascii="Courier New" w:cs="Courier New" w:eastAsia="Courier New" w:hAnsi="Courier New"/>
          <w:sz w:val="14"/>
          <w:szCs w:val="14"/>
          <w:color w:val="auto"/>
        </w:rPr>
        <w:t>a vote FOR items 1 and 2.</w:t>
      </w:r>
      <w:r>
        <w:rPr>
          <w:sz w:val="20"/>
          <w:szCs w:val="20"/>
          <w:color w:val="auto"/>
        </w:rPr>
        <w:tab/>
      </w:r>
      <w:r>
        <w:rPr>
          <w:rFonts w:ascii="Courier New" w:cs="Courier New" w:eastAsia="Courier New" w:hAnsi="Courier New"/>
          <w:sz w:val="14"/>
          <w:szCs w:val="14"/>
          <w:color w:val="auto"/>
        </w:rPr>
        <w:t>a vote FOR items 3 and 4.</w:t>
      </w:r>
      <w:r>
        <w:rPr>
          <w:sz w:val="20"/>
          <w:szCs w:val="20"/>
          <w:color w:val="auto"/>
        </w:rPr>
        <w:tab/>
      </w:r>
      <w:r>
        <w:rPr>
          <w:rFonts w:ascii="Courier New" w:cs="Courier New" w:eastAsia="Courier New" w:hAnsi="Courier New"/>
          <w:sz w:val="14"/>
          <w:szCs w:val="14"/>
          <w:color w:val="auto"/>
        </w:rPr>
        <w:t>a vote AGAINST items 5 through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in favor of the merger, you must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both merger proposals: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Approve merger and</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related issuance of</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Exxon stock (p. I-14)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Amendment of Exxon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charter (p. III-10)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Other annual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meeting proposals: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Term limit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nonemployee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ALL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ALL</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directors (p. IV-19)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 Election of</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Limitation</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300" w:type="dxa"/>
            <w:vAlign w:val="bottom"/>
          </w:tcPr>
          <w:p>
            <w:pPr>
              <w:spacing w:after="0"/>
              <w:rPr>
                <w:sz w:val="14"/>
                <w:szCs w:val="14"/>
                <w:color w:val="auto"/>
              </w:rPr>
            </w:pP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voting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IV-20)</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on climate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IV-21)</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rPr>
              <w:t>For all nominees except as noted above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Sexual orientation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AGAINST  ABSTAIN</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 IV-24)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4. Ratify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accountants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IV-19)</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A. I have made comments on this card</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or an attachment.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4060" w:space="160"/>
            <w:col w:w="732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2480" w:val="left"/>
          <w:tab w:leader="none" w:pos="4640" w:val="left"/>
          <w:tab w:leader="none" w:pos="7140" w:val="left"/>
        </w:tabs>
        <w:rPr>
          <w:sz w:val="20"/>
          <w:szCs w:val="20"/>
          <w:color w:val="auto"/>
        </w:rPr>
      </w:pPr>
      <w:r>
        <w:rPr>
          <w:rFonts w:ascii="Courier New" w:cs="Courier New" w:eastAsia="Courier New" w:hAnsi="Courier New"/>
          <w:sz w:val="14"/>
          <w:szCs w:val="14"/>
          <w:color w:val="auto"/>
        </w:rPr>
        <w:t>Signature: ________________</w:t>
        <w:tab/>
        <w:t>Date: ________ 1999</w:t>
      </w:r>
      <w:r>
        <w:rPr>
          <w:sz w:val="20"/>
          <w:szCs w:val="20"/>
          <w:color w:val="auto"/>
        </w:rPr>
        <w:tab/>
      </w:r>
      <w:r>
        <w:rPr>
          <w:rFonts w:ascii="Courier New" w:cs="Courier New" w:eastAsia="Courier New" w:hAnsi="Courier New"/>
          <w:sz w:val="14"/>
          <w:szCs w:val="14"/>
          <w:color w:val="auto"/>
        </w:rPr>
        <w:t>Signature: ________________</w:t>
        <w:tab/>
        <w:t>Date: ________ 1999</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NOTE: Please sign exactly as name appears hereon. When signing as attorney, executor, administrator, trustee, or guardian, please give full name as such.</w:t>
      </w:r>
    </w:p>
    <w:p>
      <w:pPr>
        <w:sectPr>
          <w:pgSz w:w="11900" w:h="16838" w:orient="portrait"/>
          <w:cols w:equalWidth="0" w:num="1">
            <w:col w:w="11540"/>
          </w:cols>
          <w:pgMar w:left="220" w:top="616" w:right="139" w:bottom="1440" w:gutter="0" w:footer="0" w:header="0"/>
          <w:type w:val="continuous"/>
        </w:sectPr>
      </w:pPr>
    </w:p>
    <w:bookmarkStart w:id="243" w:name="page244"/>
    <w:bookmarkEnd w:id="243"/>
    <w:p>
      <w:pPr>
        <w:ind w:left="2340"/>
        <w:spacing w:after="0"/>
        <w:rPr>
          <w:sz w:val="20"/>
          <w:szCs w:val="20"/>
          <w:color w:val="auto"/>
        </w:rPr>
      </w:pPr>
      <w:r>
        <w:rPr>
          <w:rFonts w:ascii="Courier New" w:cs="Courier New" w:eastAsia="Courier New" w:hAnsi="Courier New"/>
          <w:sz w:val="14"/>
          <w:szCs w:val="14"/>
          <w:color w:val="auto"/>
        </w:rPr>
        <w:t>(MAP AND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EXXON CORPORATION</w:t>
      </w:r>
      <w:r>
        <w:rPr>
          <w:sz w:val="20"/>
          <w:szCs w:val="20"/>
          <w:color w:val="auto"/>
        </w:rPr>
        <w:tab/>
      </w:r>
      <w:r>
        <w:rPr>
          <w:rFonts w:ascii="Courier New" w:cs="Courier New" w:eastAsia="Courier New" w:hAnsi="Courier New"/>
          <w:sz w:val="14"/>
          <w:szCs w:val="14"/>
          <w:color w:val="auto"/>
        </w:rPr>
        <w:t>VOTING INSTRUCTION CARD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SOLICITED BY BOARD OF DIRECTORS</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c/o Proxy Services</w:t>
      </w:r>
      <w:r>
        <w:rPr>
          <w:sz w:val="20"/>
          <w:szCs w:val="20"/>
          <w:color w:val="auto"/>
        </w:rPr>
        <w:tab/>
      </w:r>
      <w:r>
        <w:rPr>
          <w:rFonts w:ascii="Courier New" w:cs="Courier New" w:eastAsia="Courier New" w:hAnsi="Courier New"/>
          <w:sz w:val="14"/>
          <w:szCs w:val="14"/>
          <w:color w:val="auto"/>
        </w:rPr>
        <w:t>ANNUAL MEETING, MAY 27, 1999</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P.O. Box 8033</w:t>
      </w:r>
      <w:r>
        <w:rPr>
          <w:sz w:val="20"/>
          <w:szCs w:val="20"/>
          <w:color w:val="auto"/>
        </w:rPr>
        <w:tab/>
      </w:r>
      <w:r>
        <w:rPr>
          <w:rFonts w:ascii="Courier New" w:cs="Courier New" w:eastAsia="Courier New" w:hAnsi="Courier New"/>
          <w:sz w:val="14"/>
          <w:szCs w:val="14"/>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 02266-8033</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 Trustee-Exxon Shareholder Investment Program IRA: You are hereby instructed to appoint J. Hay, W.R. Howell, P.E. Lippincott, M.C. Nelson, and L.R. Raymond, or each or any of them, with power of substitution, proxies to act and vote at the 1999 annual meeting of shareholders of Exxon Corporation and at any adjournments thereof, any shares of common stock of the Corporation in my Exxon Shareholder Investment Program IRA account, as indicated, upon all matters referred to on the reverse side and described in the proxy statement for the meeting and, at their discretion, upon any other matters that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 Election of Directors(1)</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Nominees: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M.J. Boskin,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 Dahan,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Esrey,</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J. Hay,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J.R. Houghton,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W.R. Howell,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R.C. King,</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P.E. Lippincott,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M.C. Nelson,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L.R. Raymond,</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W.V. Shipley,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4"/>
          <w:szCs w:val="14"/>
          <w:color w:val="auto"/>
        </w:rPr>
        <w:t>If no other indication is made, the proxies shall vote (a) for the election of the director nominees and (b) in accordance with the recommendations of the Board of Directors on the other matters referred to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right="3939" w:hanging="352"/>
        <w:spacing w:after="0" w:line="255" w:lineRule="auto"/>
        <w:tabs>
          <w:tab w:leader="none" w:pos="3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front of the nominees' names are provided to assist in telephone and Internet voting.</w:t>
      </w:r>
    </w:p>
    <w:p>
      <w:pPr>
        <w:spacing w:after="0" w:line="16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(OVER)</w:t>
      </w:r>
    </w:p>
    <w:p>
      <w:pPr>
        <w:sectPr>
          <w:pgSz w:w="11900" w:h="16838" w:orient="portrait"/>
          <w:cols w:equalWidth="0" w:num="1">
            <w:col w:w="10239"/>
          </w:cols>
          <w:pgMar w:left="220" w:top="1113" w:right="1440" w:bottom="1440" w:gutter="0" w:footer="0" w:header="0"/>
        </w:sectPr>
      </w:pPr>
    </w:p>
    <w:bookmarkStart w:id="244" w:name="page245"/>
    <w:bookmarkEnd w:id="2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ind w:left="5600"/>
        <w:spacing w:after="0"/>
        <w:rPr>
          <w:sz w:val="20"/>
          <w:szCs w:val="20"/>
          <w:color w:val="auto"/>
        </w:rPr>
      </w:pPr>
      <w:r>
        <w:rPr>
          <w:rFonts w:ascii="Courier New" w:cs="Courier New" w:eastAsia="Courier New" w:hAnsi="Courier New"/>
          <w:sz w:val="14"/>
          <w:szCs w:val="14"/>
          <w:color w:val="auto"/>
        </w:rPr>
        <w:t>EXHIBIT 99(b)</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MOBIL PROXY CARD]</w:t>
      </w:r>
    </w:p>
    <w:p>
      <w:pPr>
        <w:spacing w:after="0" w:line="200" w:lineRule="exact"/>
        <w:rPr>
          <w:sz w:val="20"/>
          <w:szCs w:val="20"/>
          <w:color w:val="auto"/>
        </w:rPr>
      </w:pPr>
    </w:p>
    <w:p>
      <w:pPr>
        <w:spacing w:after="0" w:line="282"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Mobil Corporation</w:t>
      </w:r>
      <w:r>
        <w:rPr>
          <w:sz w:val="20"/>
          <w:szCs w:val="20"/>
          <w:color w:val="auto"/>
        </w:rPr>
        <w:tab/>
      </w:r>
      <w:r>
        <w:rPr>
          <w:rFonts w:ascii="Courier New" w:cs="Courier New" w:eastAsia="Courier New" w:hAnsi="Courier New"/>
          <w:sz w:val="14"/>
          <w:szCs w:val="14"/>
          <w:color w:val="auto"/>
        </w:rPr>
        <w:t>proxy</w:t>
      </w:r>
    </w:p>
    <w:p>
      <w:pPr>
        <w:spacing w:after="0" w:line="173" w:lineRule="exact"/>
        <w:rPr>
          <w:sz w:val="20"/>
          <w:szCs w:val="20"/>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SOLICITED BY THE BOARD OF DIRECTORS for Annual Meeting of Stockholders</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REGENCY BALLROOM</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FAIRMONT HOTEL</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1717 NORTH AKARD STREET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DALLAS, TEXAS 75201</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THURSDAY, MAY 27, 1999</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AT 10:00 A.M. (CENTRAL TIME)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hereby appoints Lucio A. Noto, Eugene A. Renna and Carole J. Yaley or any one of them, each with power of substitution, the attorneys of the undersigned to vote all shares held of record on the record date by the undersigned, as directed and, in their discretion, on all other matters which may properly come before the 1999 Annual Meeting of Stockholders of Mobil Corporation, and any adjournment or postponement thereof. The undersigned directs said attorneys to vote as specified upon the items shown on the reverse side, which are referred to in the Notice of Annual Meeting and set forth in the Proxy Statement.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card also provides voting instructions for shares held in the Stock Purchase and Dividend Reinvestment Plan. For participants in the Mobile Oil Employees Savings Plan and the Mobil Employee Stock Ownership Plan, if you wish to provide voting instructions for the shares of Mobil stock credited to your accounts, please vote by telephone or by the Internet by noon on May 24, 1999 or fill in and sign this card and mail it in time to be received no later than noon on May 24, 1999.</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you use this card to vote, you are encouraged to specify your choices by marking the appropriate boxes, SEE REVERSE SIDE, but you need not mark any boxes if you wish to vote in accordance with the Board of Directors' recommendations.</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(Continued, and to be signed, on the reverse side)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Fold and Detach Here and Read the Reverse Side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Mobil Corporation</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YOUR VOTE IS IMPORTANT!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You can vote in one of three ways:</w:t>
      </w:r>
    </w:p>
    <w:p>
      <w:pPr>
        <w:spacing w:after="0" w:line="173" w:lineRule="exact"/>
        <w:rPr>
          <w:sz w:val="20"/>
          <w:szCs w:val="20"/>
          <w:color w:val="auto"/>
        </w:rPr>
      </w:pPr>
    </w:p>
    <w:p>
      <w:pPr>
        <w:ind w:left="360" w:right="3599" w:hanging="352"/>
        <w:spacing w:after="0" w:line="252" w:lineRule="auto"/>
        <w:tabs>
          <w:tab w:leader="none" w:pos="36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U.S. Stockholders only, call toll-free 1-800-840-1208 on a Touch-Tone telephone and follow the instructions on the reverse side. There is NO CHARGE to you for this call.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3360" w:right="4539" w:hanging="3352"/>
        <w:spacing w:after="0" w:line="255" w:lineRule="auto"/>
        <w:tabs>
          <w:tab w:leader="none" w:pos="345"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by Internet at our Internet Address: http://www.mobil.com or</w:t>
      </w:r>
    </w:p>
    <w:p>
      <w:pPr>
        <w:spacing w:after="0" w:line="159" w:lineRule="exact"/>
        <w:rPr>
          <w:rFonts w:ascii="Courier New" w:cs="Courier New" w:eastAsia="Courier New" w:hAnsi="Courier New"/>
          <w:sz w:val="14"/>
          <w:szCs w:val="14"/>
          <w:color w:val="auto"/>
        </w:rPr>
      </w:pPr>
    </w:p>
    <w:p>
      <w:pPr>
        <w:ind w:left="360" w:right="3519" w:hanging="352"/>
        <w:spacing w:after="0" w:line="250" w:lineRule="auto"/>
        <w:tabs>
          <w:tab w:leader="none" w:pos="36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 sign and date your proxy card and return it promptly in the enclosed envelope.</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PLEASE VOTE</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IF YOU VOTED BY INTERNET OR BY PHONE,</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THERE IS NO NEED TO RETURN YOUR PROXY CARD.</w:t>
      </w:r>
    </w:p>
    <w:p>
      <w:pPr>
        <w:sectPr>
          <w:pgSz w:w="11900" w:h="16838" w:orient="portrait"/>
          <w:cols w:equalWidth="0" w:num="1">
            <w:col w:w="10239"/>
          </w:cols>
          <w:pgMar w:left="220" w:top="141"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The votes represented by</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this proxy</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will</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be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voted as marked by you.</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However, if you</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execute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and return the proxy unmarked, such</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votes</w:t>
            </w:r>
          </w:p>
        </w:tc>
        <w:tc>
          <w:tcPr>
            <w:tcW w:w="1240" w:type="dxa"/>
            <w:vAlign w:val="bottom"/>
          </w:tcPr>
          <w:p>
            <w:pPr>
              <w:spacing w:after="0"/>
              <w:rPr>
                <w:sz w:val="14"/>
                <w:szCs w:val="14"/>
                <w:color w:val="auto"/>
              </w:rPr>
            </w:pPr>
          </w:p>
        </w:tc>
        <w:tc>
          <w:tcPr>
            <w:tcW w:w="21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Please mark   [X]</w:t>
            </w:r>
          </w:p>
        </w:tc>
      </w:tr>
      <w:tr>
        <w:trPr>
          <w:trHeight w:val="166"/>
        </w:trPr>
        <w:tc>
          <w:tcPr>
            <w:tcW w:w="4780" w:type="dxa"/>
            <w:vAlign w:val="bottom"/>
            <w:gridSpan w:val="4"/>
          </w:tcPr>
          <w:p>
            <w:pPr>
              <w:spacing w:after="0"/>
              <w:rPr>
                <w:sz w:val="20"/>
                <w:szCs w:val="20"/>
                <w:color w:val="auto"/>
              </w:rPr>
            </w:pPr>
            <w:r>
              <w:rPr>
                <w:rFonts w:ascii="Courier New" w:cs="Courier New" w:eastAsia="Courier New" w:hAnsi="Courier New"/>
                <w:sz w:val="14"/>
                <w:szCs w:val="14"/>
                <w:color w:val="auto"/>
              </w:rPr>
              <w:t>will be voted"FOR" Proposals 1, 2 and 3 and</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your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vote</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"AGAINST" Proposals 4 and 5.</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with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an 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Items 1, 2 and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FOR</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AGAINST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ABSTAIN</w:t>
            </w:r>
          </w:p>
        </w:tc>
        <w:tc>
          <w:tcPr>
            <w:tcW w:w="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r>
      <w:tr>
        <w:trPr>
          <w:trHeight w:val="166"/>
        </w:trPr>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 ALL</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1. Approval and adoption</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4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 Election of Directors</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of the merger agree-</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 serve a three=year</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ment dated December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term (or until completion</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1, 1998 with Exxon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 the merger, if earlier)</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Corporation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01</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Charles A. Heimbold, Jr.</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02</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Samuel C. Johnson</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03</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Helene L. Kaplan</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04</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Aulana L. Peters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3. Ratification of inde-</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FOR</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AGAINST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ABSTAIN</w:t>
            </w:r>
          </w:p>
        </w:tc>
        <w:tc>
          <w:tcPr>
            <w:tcW w:w="41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Withheld for the following only (write the</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pendent auditors</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582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nominee's name(s) in the space below) _________________________</w:t>
            </w:r>
          </w:p>
        </w:tc>
      </w:tr>
    </w:tbl>
    <w:p>
      <w:pPr>
        <w:spacing w:after="0" w:line="170" w:lineRule="exact"/>
        <w:rPr>
          <w:sz w:val="20"/>
          <w:szCs w:val="20"/>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Recommends a Vote "AGAINST" Items 4 and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FOR</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AGAINST</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ABSTAIN</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Voting</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of signed but</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unmarked proxies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Global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Warming</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4740"/>
        <w:spacing w:after="0" w:line="251" w:lineRule="auto"/>
        <w:rPr>
          <w:sz w:val="20"/>
          <w:szCs w:val="20"/>
          <w:color w:val="auto"/>
        </w:rPr>
      </w:pPr>
      <w:r>
        <w:rPr>
          <w:rFonts w:ascii="Courier New" w:cs="Courier New" w:eastAsia="Courier New" w:hAnsi="Courier New"/>
          <w:sz w:val="14"/>
          <w:szCs w:val="14"/>
          <w:color w:val="auto"/>
        </w:rPr>
        <w:t>Please date and sign below as your name appears to the left and return in the enclosed envelope. If acting as executor, administrator, trustee, guardian, etc., you should so indicate when signing. If the signer is a corporation, please sign the full corporate name, by a duly authorized officer. If shares are held jointly, each stockholder named should sign.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Dated____________________________, 1999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 if held jointly</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Fold and Detach Here and Read the Reverse Side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Mobil Corporation</w:t>
      </w:r>
    </w:p>
    <w:p>
      <w:pPr>
        <w:sectPr>
          <w:pgSz w:w="11900" w:h="16838" w:orient="portrait"/>
          <w:cols w:equalWidth="0" w:num="1">
            <w:col w:w="11460"/>
          </w:cols>
          <w:pgMar w:left="220" w:top="947" w:right="219" w:bottom="1440" w:gutter="0" w:footer="0" w:header="0"/>
        </w:sectPr>
      </w:pPr>
    </w:p>
    <w:bookmarkStart w:id="247" w:name="page248"/>
    <w:bookmarkEnd w:id="247"/>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VOTE BY TELEPHONE OR INTERNET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QUICK * * * EASY * * * IMMEDIATE</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Your telephone or Internet vote authorizes the named attorneys to vote your shares in the same manner as if you marked, signed and returned your proxy card.</w:t>
      </w:r>
    </w:p>
    <w:p>
      <w:pPr>
        <w:sectPr>
          <w:pgSz w:w="11900" w:h="16838" w:orient="portrait"/>
          <w:cols w:equalWidth="0" w:num="1">
            <w:col w:w="10239"/>
          </w:cols>
          <w:pgMar w:left="220" w:top="45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PHONE: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U.S. STOCKHOLDERS ONLY, CALL TOLL-FREE ON A TOUCH-TONE</w:t>
      </w:r>
    </w:p>
    <w:p>
      <w:pPr>
        <w:spacing w:after="0" w:line="173" w:lineRule="exact"/>
        <w:rPr>
          <w:sz w:val="20"/>
          <w:szCs w:val="20"/>
          <w:color w:val="auto"/>
        </w:rPr>
      </w:pPr>
    </w:p>
    <w:p>
      <w:pPr>
        <w:sectPr>
          <w:pgSz w:w="11900" w:h="16838" w:orient="portrait"/>
          <w:cols w:equalWidth="0" w:num="2">
            <w:col w:w="1220" w:space="420"/>
            <w:col w:w="8599"/>
          </w:cols>
          <w:pgMar w:left="220" w:top="450"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TELEPHONE 1-800-840-1208 ANYTIME.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THERE IS NO CHARGE TO YOU FOR THIS CALL.</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You will be asked to enter the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11-digit Control Number located in</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lower right-hand corner of this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4"/>
          <w:szCs w:val="14"/>
          <w:color w:val="auto"/>
        </w:rPr>
        <w:t>OPTION A:</w:t>
      </w:r>
      <w:r>
        <w:rPr>
          <w:sz w:val="20"/>
          <w:szCs w:val="20"/>
          <w:color w:val="auto"/>
        </w:rPr>
        <w:tab/>
      </w:r>
      <w:r>
        <w:rPr>
          <w:rFonts w:ascii="Courier New" w:cs="Courier New" w:eastAsia="Courier New" w:hAnsi="Courier New"/>
          <w:sz w:val="14"/>
          <w:szCs w:val="14"/>
          <w:color w:val="auto"/>
        </w:rPr>
        <w:t>To vote as the Board of Directors recommends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on ALL items, press 1.</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right="3419"/>
        <w:spacing w:after="0" w:line="252" w:lineRule="auto"/>
        <w:rPr>
          <w:sz w:val="20"/>
          <w:szCs w:val="20"/>
          <w:color w:val="auto"/>
        </w:rPr>
      </w:pPr>
      <w:r>
        <w:rPr>
          <w:rFonts w:ascii="Courier New" w:cs="Courier New" w:eastAsia="Courier New" w:hAnsi="Courier New"/>
          <w:sz w:val="14"/>
          <w:szCs w:val="14"/>
          <w:color w:val="auto"/>
        </w:rPr>
        <w:t>OPTION B: If you choose to vote on each item separately, press 0. You will hear these instructions: --------------------------------------------------------------------</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Item 1: To vote FOR the merger agreement, press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 AGAINST, press 9; ABSTAIN, press 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Item 2: To vote FOR ALL nominees, press 1; to</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WITHHOLD FOR ALL nominees, press 9. To WITHHOLD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FOR AN INDIVIDUAL nominee, press 0 and listen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to instructions.</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Item 3: To vote FOR, press 1; AGAINST, press 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ABSTAIN, press 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Items 4 and 5: The instructions are the same as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for Item 3.</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When asked, you must confirm your vote by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pressing 1.</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INTERNET: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WEB ADDRESS IS http://www.mobil.com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Simply follow the instructions on the screen.</w:t>
      </w:r>
    </w:p>
    <w:p>
      <w:pPr>
        <w:spacing w:after="0" w:line="173" w:lineRule="exact"/>
        <w:rPr>
          <w:sz w:val="20"/>
          <w:szCs w:val="20"/>
          <w:color w:val="auto"/>
        </w:rPr>
      </w:pPr>
    </w:p>
    <w:p>
      <w:pPr>
        <w:sectPr>
          <w:pgSz w:w="11900" w:h="16838" w:orient="portrait"/>
          <w:cols w:equalWidth="0" w:num="2">
            <w:col w:w="2140" w:space="720"/>
            <w:col w:w="7379"/>
          </w:cols>
          <w:pgMar w:left="220" w:top="450"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THANK YOU FOR VOTING.</w:t>
      </w:r>
    </w:p>
    <w:p>
      <w:pPr>
        <w:sectPr>
          <w:pgSz w:w="11900" w:h="16838" w:orient="portrait"/>
          <w:cols w:equalWidth="0" w:num="1">
            <w:col w:w="10239"/>
          </w:cols>
          <w:pgMar w:left="220" w:top="450" w:right="1440" w:bottom="1440" w:gutter="0" w:footer="0" w:header="0"/>
          <w:type w:val="continuous"/>
        </w:sectPr>
      </w:pPr>
    </w:p>
    <w:bookmarkStart w:id="248" w:name="page249"/>
    <w:bookmarkEnd w:id="2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ind w:left="5600"/>
        <w:spacing w:after="0"/>
        <w:rPr>
          <w:sz w:val="20"/>
          <w:szCs w:val="20"/>
          <w:color w:val="auto"/>
        </w:rPr>
      </w:pPr>
      <w:r>
        <w:rPr>
          <w:rFonts w:ascii="Courier New" w:cs="Courier New" w:eastAsia="Courier New" w:hAnsi="Courier New"/>
          <w:sz w:val="14"/>
          <w:szCs w:val="14"/>
          <w:color w:val="auto"/>
        </w:rPr>
        <w:t>EXHIBIT 99(c)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CONSENT OF LUCIO A. NOTO</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hereby consent to being named as a person who will become a director of Exxon Corporation, a New Jersey corporation ("Exxon"), in connection with the consummation of the merger (the "Merger") contemplated by the Agreement and Plan of Merger, dated as of December 1, 1998, among Exxon, Mobil Corporation, a Delaware corporation, and Lion Acquisition Subsidiary Corporation, a Delaware corporation, in the Registration Statement on Form S-4 to be filed by Exxon with the Securities and Exchange Commission in connection with the Merger (the "Registration Statement"), and to the filing of this consent as an exhibit to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Lucio A. Noto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Lucio A. Noto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1999</w:t>
      </w:r>
    </w:p>
    <w:p>
      <w:pPr>
        <w:sectPr>
          <w:pgSz w:w="11900" w:h="16838" w:orient="portrait"/>
          <w:cols w:equalWidth="0" w:num="1">
            <w:col w:w="10239"/>
          </w:cols>
          <w:pgMar w:left="220" w:top="141" w:right="1440" w:bottom="1440" w:gutter="0" w:footer="0" w:header="0"/>
        </w:sectPr>
      </w:pPr>
    </w:p>
    <w:bookmarkStart w:id="250" w:name="page251"/>
    <w:bookmarkEnd w:id="250"/>
    <w:p>
      <w:pPr>
        <w:ind w:left="5600"/>
        <w:spacing w:after="0"/>
        <w:rPr>
          <w:sz w:val="20"/>
          <w:szCs w:val="20"/>
          <w:color w:val="auto"/>
        </w:rPr>
      </w:pPr>
      <w:r>
        <w:rPr>
          <w:rFonts w:ascii="Courier New" w:cs="Courier New" w:eastAsia="Courier New" w:hAnsi="Courier New"/>
          <w:sz w:val="14"/>
          <w:szCs w:val="14"/>
          <w:color w:val="auto"/>
        </w:rPr>
        <w:t>EXHIBIT 99(d)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CONSENT OF EUGENE A. RENNA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hereby consent to being named as a person who will become a director of Exxon Corporation, a New Jersey corporation ("Exxon"), in connection with the consummation of the merger (the "Merger") contemplated by the Agreement and Plan of Merger, dated as of December 1, 1998, among Exxon, Mobil Corporation, a Delaware corporation, and Lion Acquisition Subsidiary Corporation, a Delaware corporation, in the Registration Statement on Form S-4 to be filed by Exxon with the Securities and Exchange Commission in connection with the Merger (the "Registration Statement"), and to the filing of this consent as an exhibit to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Eugene A. Renna</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Eugene A. Renna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1999</w:t>
      </w:r>
    </w:p>
    <w:p>
      <w:pPr>
        <w:sectPr>
          <w:pgSz w:w="11900" w:h="16838" w:orient="portrait"/>
          <w:cols w:equalWidth="0" w:num="1">
            <w:col w:w="10239"/>
          </w:cols>
          <w:pgMar w:left="220" w:top="141" w:right="1440" w:bottom="1440" w:gutter="0" w:footer="0" w:header="0"/>
        </w:sectPr>
      </w:pPr>
    </w:p>
    <w:bookmarkStart w:id="251" w:name="page252"/>
    <w:bookmarkEnd w:id="251"/>
    <w:p>
      <w:pPr>
        <w:ind w:left="5600"/>
        <w:spacing w:after="0"/>
        <w:rPr>
          <w:sz w:val="20"/>
          <w:szCs w:val="20"/>
          <w:color w:val="auto"/>
        </w:rPr>
      </w:pPr>
      <w:r>
        <w:rPr>
          <w:rFonts w:ascii="Courier New" w:cs="Courier New" w:eastAsia="Courier New" w:hAnsi="Courier New"/>
          <w:sz w:val="14"/>
          <w:szCs w:val="14"/>
          <w:color w:val="auto"/>
        </w:rPr>
        <w:t>EXHIBIT 99(e)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CONSENT OF DONALD V. FITES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hereby consent to being named as a person who will become a director of Exxon Corporation, a New Jersey corporation ("Exxon"), in connection with the consummation of the merger (the "Merger") contemplated by the Agreement and Plan of Merger, dated as of December 1, 1998, among Exxon, Mobil Corporation, a Delaware corporation, and Lion Acquisition Subsidiary Corporation, a Delaware corporation, in the Registration Statement on Form S-4 to be filed by Exxon with the Securities and Exchange Commission in connection with the Merger (the "Registration Statement"), and to the filing of this consent as an exhibit to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Donald V. Fites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Donald V. Fites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1999</w:t>
      </w:r>
    </w:p>
    <w:p>
      <w:pPr>
        <w:sectPr>
          <w:pgSz w:w="11900" w:h="16838" w:orient="portrait"/>
          <w:cols w:equalWidth="0" w:num="1">
            <w:col w:w="10239"/>
          </w:cols>
          <w:pgMar w:left="220" w:top="141" w:right="1440" w:bottom="1440" w:gutter="0" w:footer="0" w:header="0"/>
        </w:sectPr>
      </w:pPr>
    </w:p>
    <w:bookmarkStart w:id="252" w:name="page253"/>
    <w:bookmarkEnd w:id="252"/>
    <w:p>
      <w:pPr>
        <w:ind w:left="5600"/>
        <w:spacing w:after="0"/>
        <w:rPr>
          <w:sz w:val="20"/>
          <w:szCs w:val="20"/>
          <w:color w:val="auto"/>
        </w:rPr>
      </w:pPr>
      <w:r>
        <w:rPr>
          <w:rFonts w:ascii="Courier New" w:cs="Courier New" w:eastAsia="Courier New" w:hAnsi="Courier New"/>
          <w:sz w:val="14"/>
          <w:szCs w:val="14"/>
          <w:color w:val="auto"/>
        </w:rPr>
        <w:t>EXHIBIT 99(f)</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CHARLES A. HEIMBOLD, JR.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hereby consent to being named as a person who will become a director of Exxon Corporation, a New Jersey corporation ("Exxon"), in connection with the consummation of the merger (the "Merger") contemplated by the Agreement and Plan of Merger, dated as of December 1, 1998, among Exxon, Mobil Corporation, a Delaware corporation, and Lion Acquisition Subsidiary Corporation, a Delaware corporation, in the Registration Statement on Form S-4 to be filed by Exxon with the Securities and Exchange Commission in connection with the Merger (the "Registration Statement"), and to the filing of this consent as an exhibit to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Charles A. Heimbold, Jr.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Charles A. Heimbold,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1999</w:t>
      </w:r>
    </w:p>
    <w:p>
      <w:pPr>
        <w:sectPr>
          <w:pgSz w:w="11900" w:h="16838" w:orient="portrait"/>
          <w:cols w:equalWidth="0" w:num="1">
            <w:col w:w="10239"/>
          </w:cols>
          <w:pgMar w:left="220" w:top="141" w:right="1440" w:bottom="1440" w:gutter="0" w:footer="0" w:header="0"/>
        </w:sectPr>
      </w:pPr>
    </w:p>
    <w:bookmarkStart w:id="253" w:name="page254"/>
    <w:bookmarkEnd w:id="253"/>
    <w:p>
      <w:pPr>
        <w:ind w:left="5600"/>
        <w:spacing w:after="0"/>
        <w:rPr>
          <w:sz w:val="20"/>
          <w:szCs w:val="20"/>
          <w:color w:val="auto"/>
        </w:rPr>
      </w:pPr>
      <w:r>
        <w:rPr>
          <w:rFonts w:ascii="Courier New" w:cs="Courier New" w:eastAsia="Courier New" w:hAnsi="Courier New"/>
          <w:sz w:val="14"/>
          <w:szCs w:val="14"/>
          <w:color w:val="auto"/>
        </w:rPr>
        <w:t>EXHIBIT 99(g)</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CONSENT OF HELENE L. KAPLAN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hereby consent to being named as a person who will become a director of Exxon Corporation, a New Jersey corporation ("Exxon"), in connection with the consummation of the merger (the "Merger") contemplated by the Agreement and Plan of Merger, dated as of December 1, 1998, among Exxon, Mobil Corporation, a Delaware corporation, and Lion Acquisition Subsidiary Corporation, a Delaware corporation, in the Registration Statement on Form S-4 to be filed by Exxon with the Securities and Exchange Commission in connection with the Merger (the "Registration Statement"), and to the filing of this consent as an exhibit to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Helene L. Kaplan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Helene L. Kaplan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1999</w:t>
      </w:r>
    </w:p>
    <w:p>
      <w:pPr>
        <w:sectPr>
          <w:pgSz w:w="11900" w:h="16838" w:orient="portrait"/>
          <w:cols w:equalWidth="0" w:num="1">
            <w:col w:w="10239"/>
          </w:cols>
          <w:pgMar w:left="220" w:top="141" w:right="1440" w:bottom="1440" w:gutter="0" w:footer="0" w:header="0"/>
        </w:sectPr>
      </w:pPr>
    </w:p>
    <w:bookmarkStart w:id="254" w:name="page255"/>
    <w:bookmarkEnd w:id="254"/>
    <w:p>
      <w:pPr>
        <w:ind w:left="5600"/>
        <w:spacing w:after="0"/>
        <w:rPr>
          <w:sz w:val="20"/>
          <w:szCs w:val="20"/>
          <w:color w:val="auto"/>
        </w:rPr>
      </w:pPr>
      <w:r>
        <w:rPr>
          <w:rFonts w:ascii="Courier New" w:cs="Courier New" w:eastAsia="Courier New" w:hAnsi="Courier New"/>
          <w:sz w:val="14"/>
          <w:szCs w:val="14"/>
          <w:color w:val="auto"/>
        </w:rPr>
        <w:t>EXHIBIT 99(h)</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CONSENT OF J. RICHARD MUNRO</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 hereby consent to being named as a person who will become a director of Exxon Corporation, a New Jersey corporation ("Exxon"), in connection with the consummation of the merger (the "Merger") contemplated by the Agreement and Plan of Merger, dated as of December 1, 1998, among Exxon, Mobil Corporation, a Delaware corporation, and Lion Acquisition Subsidiary Corporation, a Delaware corporation, in the Registration Statement on Form S-4 to be filed by Exxon with the Securities and Exchange Commission in connection with the Merger (the "Registration Statement"), and to the filing of this consent as an exhibit to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J. Richard Munro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 Richard Munro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1999</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86E47"/>
    <w:multiLevelType w:val="hybridMultilevel"/>
    <w:lvl w:ilvl="0">
      <w:lvlJc w:val="left"/>
      <w:lvlText w:val="(%1)"/>
      <w:numFmt w:val="decimal"/>
      <w:start w:val="1"/>
    </w:lvl>
  </w:abstractNum>
  <w:abstractNum w:abstractNumId="1">
    <w:nsid w:val="6E534CDE"/>
    <w:multiLevelType w:val="hybridMultilevel"/>
    <w:lvl w:ilvl="0">
      <w:lvlJc w:val="left"/>
      <w:lvlText w:val="(%1)"/>
      <w:numFmt w:val="decimal"/>
      <w:start w:val="2"/>
    </w:lvl>
  </w:abstractNum>
  <w:abstractNum w:abstractNumId="2">
    <w:nsid w:val="1A0DDE32"/>
    <w:multiLevelType w:val="hybridMultilevel"/>
    <w:lvl w:ilvl="0">
      <w:lvlJc w:val="left"/>
      <w:lvlText w:val="%1."/>
      <w:numFmt w:val="decimal"/>
      <w:start w:val="2"/>
    </w:lvl>
  </w:abstractNum>
  <w:abstractNum w:abstractNumId="3">
    <w:nsid w:val="65968C1C"/>
    <w:multiLevelType w:val="hybridMultilevel"/>
    <w:lvl w:ilvl="0">
      <w:lvlJc w:val="left"/>
      <w:lvlText w:val="%1."/>
      <w:numFmt w:val="decimal"/>
      <w:start w:val="3"/>
    </w:lvl>
  </w:abstractNum>
  <w:abstractNum w:abstractNumId="4">
    <w:nsid w:val="46263DEC"/>
    <w:multiLevelType w:val="hybridMultilevel"/>
    <w:lvl w:ilvl="0">
      <w:lvlJc w:val="left"/>
      <w:lvlText w:val="%1."/>
      <w:numFmt w:val="decimal"/>
      <w:start w:val="6"/>
    </w:lvl>
  </w:abstractNum>
  <w:abstractNum w:abstractNumId="5">
    <w:nsid w:val="260D8C4A"/>
    <w:multiLevelType w:val="hybridMultilevel"/>
    <w:lvl w:ilvl="0">
      <w:lvlJc w:val="left"/>
      <w:lvlText w:val="%1."/>
      <w:numFmt w:val="decimal"/>
      <w:start w:val="7"/>
    </w:lvl>
  </w:abstractNum>
  <w:abstractNum w:abstractNumId="6">
    <w:nsid w:val="73D4D3C4"/>
    <w:multiLevelType w:val="hybridMultilevel"/>
    <w:lvl w:ilvl="0">
      <w:lvlJc w:val="left"/>
      <w:lvlText w:val="%1."/>
      <w:numFmt w:val="decimal"/>
      <w:start w:val="9"/>
    </w:lvl>
  </w:abstractNum>
  <w:abstractNum w:abstractNumId="7">
    <w:nsid w:val="746F2E30"/>
    <w:multiLevelType w:val="hybridMultilevel"/>
    <w:lvl w:ilvl="0">
      <w:lvlJc w:val="left"/>
      <w:lvlText w:val="%1."/>
      <w:numFmt w:val="upperLetter"/>
      <w:start w:val="2"/>
    </w:lvl>
  </w:abstractNum>
  <w:abstractNum w:abstractNumId="8">
    <w:nsid w:val="6FDE8AF6"/>
    <w:multiLevelType w:val="hybridMultilevel"/>
    <w:lvl w:ilvl="0">
      <w:lvlJc w:val="left"/>
      <w:lvlText w:val="%1."/>
      <w:numFmt w:val="decimal"/>
      <w:start w:val="11"/>
    </w:lvl>
  </w:abstractNum>
  <w:abstractNum w:abstractNumId="9">
    <w:nsid w:val="3FC32E20"/>
    <w:multiLevelType w:val="hybridMultilevel"/>
    <w:lvl w:ilvl="0">
      <w:lvlJc w:val="left"/>
      <w:lvlText w:val="%1."/>
      <w:numFmt w:val="decimal"/>
      <w:start w:val="12"/>
    </w:lvl>
  </w:abstractNum>
  <w:abstractNum w:abstractNumId="10">
    <w:nsid w:val="49C0E823"/>
    <w:multiLevelType w:val="hybridMultilevel"/>
    <w:lvl w:ilvl="0">
      <w:lvlJc w:val="left"/>
      <w:lvlText w:val="%1."/>
      <w:numFmt w:val="upperLetter"/>
      <w:start w:val="3"/>
    </w:lvl>
  </w:abstractNum>
  <w:abstractNum w:abstractNumId="11">
    <w:nsid w:val="14D53685"/>
    <w:multiLevelType w:val="hybridMultilevel"/>
    <w:lvl w:ilvl="0">
      <w:lvlJc w:val="left"/>
      <w:lvlText w:val="%1."/>
      <w:numFmt w:val="decimal"/>
      <w:start w:val="15"/>
    </w:lvl>
  </w:abstractNum>
  <w:abstractNum w:abstractNumId="12">
    <w:nsid w:val="230F856C"/>
    <w:multiLevelType w:val="hybridMultilevel"/>
    <w:lvl w:ilvl="0">
      <w:lvlJc w:val="left"/>
      <w:lvlText w:val="%1."/>
      <w:numFmt w:val="decimal"/>
      <w:start w:val="19"/>
    </w:lvl>
  </w:abstractNum>
  <w:abstractNum w:abstractNumId="13">
    <w:nsid w:val="6EAA85FB"/>
    <w:multiLevelType w:val="hybridMultilevel"/>
    <w:lvl w:ilvl="0">
      <w:lvlJc w:val="left"/>
      <w:lvlText w:val="*"/>
      <w:numFmt w:val="bullet"/>
      <w:start w:val="1"/>
    </w:lvl>
  </w:abstractNum>
  <w:abstractNum w:abstractNumId="14">
    <w:nsid w:val="3F06ECB2"/>
    <w:multiLevelType w:val="hybridMultilevel"/>
    <w:lvl w:ilvl="0">
      <w:lvlJc w:val="left"/>
      <w:lvlText w:val="-"/>
      <w:numFmt w:val="bullet"/>
      <w:start w:val="1"/>
    </w:lvl>
  </w:abstractNum>
  <w:abstractNum w:abstractNumId="15">
    <w:nsid w:val="3B594807"/>
    <w:multiLevelType w:val="hybridMultilevel"/>
    <w:lvl w:ilvl="0">
      <w:lvlJc w:val="left"/>
      <w:lvlText w:val="%1."/>
      <w:numFmt w:val="decimal"/>
      <w:start w:val="1"/>
    </w:lvl>
  </w:abstractNum>
  <w:abstractNum w:abstractNumId="16">
    <w:nsid w:val="6CAA2304"/>
    <w:multiLevelType w:val="hybridMultilevel"/>
    <w:lvl w:ilvl="0">
      <w:lvlJc w:val="left"/>
      <w:lvlText w:val="%1:"/>
      <w:numFmt w:val="upperLetter"/>
      <w:start w:val="1"/>
    </w:lvl>
  </w:abstractNum>
  <w:abstractNum w:abstractNumId="17">
    <w:nsid w:val="3F7C2FF4"/>
    <w:multiLevelType w:val="hybridMultilevel"/>
    <w:lvl w:ilvl="0">
      <w:lvlJc w:val="left"/>
      <w:lvlText w:val="%1:"/>
      <w:numFmt w:val="upperLetter"/>
      <w:start w:val="1"/>
    </w:lvl>
  </w:abstractNum>
  <w:abstractNum w:abstractNumId="18">
    <w:nsid w:val="25413BEC"/>
    <w:multiLevelType w:val="hybridMultilevel"/>
    <w:lvl w:ilvl="0">
      <w:lvlJc w:val="left"/>
      <w:lvlText w:val="%1:"/>
      <w:numFmt w:val="upperLetter"/>
      <w:start w:val="1"/>
    </w:lvl>
  </w:abstractNum>
  <w:abstractNum w:abstractNumId="19">
    <w:nsid w:val="17180B0B"/>
    <w:multiLevelType w:val="hybridMultilevel"/>
    <w:lvl w:ilvl="0">
      <w:lvlJc w:val="left"/>
      <w:lvlText w:val="%1:"/>
      <w:numFmt w:val="upperLetter"/>
      <w:start w:val="17"/>
    </w:lvl>
  </w:abstractNum>
  <w:abstractNum w:abstractNumId="20">
    <w:nsid w:val="579328B9"/>
    <w:multiLevelType w:val="hybridMultilevel"/>
    <w:lvl w:ilvl="0">
      <w:lvlJc w:val="left"/>
      <w:lvlText w:val="%1:"/>
      <w:numFmt w:val="upperLetter"/>
      <w:start w:val="1"/>
    </w:lvl>
  </w:abstractNum>
  <w:abstractNum w:abstractNumId="21">
    <w:nsid w:val="5D205E20"/>
    <w:multiLevelType w:val="hybridMultilevel"/>
    <w:lvl w:ilvl="0">
      <w:lvlJc w:val="left"/>
      <w:lvlText w:val="%1:"/>
      <w:numFmt w:val="upperLetter"/>
      <w:start w:val="1"/>
    </w:lvl>
  </w:abstractNum>
  <w:abstractNum w:abstractNumId="22">
    <w:nsid w:val="11CCA8BA"/>
    <w:multiLevelType w:val="hybridMultilevel"/>
    <w:lvl w:ilvl="0">
      <w:lvlJc w:val="left"/>
      <w:lvlText w:val="%1:"/>
      <w:numFmt w:val="upperLetter"/>
      <w:start w:val="1"/>
    </w:lvl>
  </w:abstractNum>
  <w:abstractNum w:abstractNumId="23">
    <w:nsid w:val="4D32AB86"/>
    <w:multiLevelType w:val="hybridMultilevel"/>
    <w:lvl w:ilvl="0">
      <w:lvlJc w:val="left"/>
      <w:lvlText w:val="%1:"/>
      <w:numFmt w:val="upperLetter"/>
      <w:start w:val="1"/>
    </w:lvl>
  </w:abstractNum>
  <w:abstractNum w:abstractNumId="24">
    <w:nsid w:val="3F07ACC3"/>
    <w:multiLevelType w:val="hybridMultilevel"/>
    <w:lvl w:ilvl="0">
      <w:lvlJc w:val="left"/>
      <w:lvlText w:val="%1:"/>
      <w:numFmt w:val="upperLetter"/>
      <w:start w:val="1"/>
    </w:lvl>
  </w:abstractNum>
  <w:abstractNum w:abstractNumId="25">
    <w:nsid w:val="6B47F63E"/>
    <w:multiLevelType w:val="hybridMultilevel"/>
    <w:lvl w:ilvl="0">
      <w:lvlJc w:val="left"/>
      <w:lvlText w:val="o"/>
      <w:numFmt w:val="bullet"/>
      <w:start w:val="1"/>
    </w:lvl>
  </w:abstractNum>
  <w:abstractNum w:abstractNumId="26">
    <w:nsid w:val="5CB44A05"/>
    <w:multiLevelType w:val="hybridMultilevel"/>
    <w:lvl w:ilvl="0">
      <w:lvlJc w:val="left"/>
      <w:lvlText w:val="o"/>
      <w:numFmt w:val="bullet"/>
      <w:start w:val="1"/>
    </w:lvl>
  </w:abstractNum>
  <w:abstractNum w:abstractNumId="27">
    <w:nsid w:val="16CF80F1"/>
    <w:multiLevelType w:val="hybridMultilevel"/>
    <w:lvl w:ilvl="0">
      <w:lvlJc w:val="left"/>
      <w:lvlText w:val="(%1)"/>
      <w:numFmt w:val="decimal"/>
      <w:start w:val="1"/>
    </w:lvl>
  </w:abstractNum>
  <w:abstractNum w:abstractNumId="28">
    <w:nsid w:val="1C695DEC"/>
    <w:multiLevelType w:val="hybridMultilevel"/>
    <w:lvl w:ilvl="0">
      <w:lvlJc w:val="left"/>
      <w:lvlText w:val="(%1)"/>
      <w:numFmt w:val="decimal"/>
      <w:start w:val="1"/>
    </w:lvl>
  </w:abstractNum>
  <w:abstractNum w:abstractNumId="29">
    <w:nsid w:val="3FCFAED9"/>
    <w:multiLevelType w:val="hybridMultilevel"/>
    <w:lvl w:ilvl="0">
      <w:lvlJc w:val="left"/>
      <w:lvlText w:val="o"/>
      <w:numFmt w:val="bullet"/>
      <w:start w:val="1"/>
    </w:lvl>
  </w:abstractNum>
  <w:abstractNum w:abstractNumId="30">
    <w:nsid w:val="F856867"/>
    <w:multiLevelType w:val="hybridMultilevel"/>
    <w:lvl w:ilvl="0">
      <w:lvlJc w:val="left"/>
      <w:lvlText w:val="(%1)"/>
      <w:numFmt w:val="decimal"/>
      <w:start w:val="1"/>
    </w:lvl>
  </w:abstractNum>
  <w:abstractNum w:abstractNumId="31">
    <w:nsid w:val="11B1CC33"/>
    <w:multiLevelType w:val="hybridMultilevel"/>
    <w:lvl w:ilvl="0">
      <w:lvlJc w:val="left"/>
      <w:lvlText w:val="(%1)"/>
      <w:numFmt w:val="decimal"/>
      <w:start w:val="2"/>
    </w:lvl>
  </w:abstractNum>
  <w:abstractNum w:abstractNumId="32">
    <w:nsid w:val="2E22FBB7"/>
    <w:multiLevelType w:val="hybridMultilevel"/>
    <w:lvl w:ilvl="0">
      <w:lvlJc w:val="left"/>
      <w:lvlText w:val="o"/>
      <w:numFmt w:val="bullet"/>
      <w:start w:val="1"/>
    </w:lvl>
  </w:abstractNum>
  <w:abstractNum w:abstractNumId="33">
    <w:nsid w:val="29934699"/>
    <w:multiLevelType w:val="hybridMultilevel"/>
    <w:lvl w:ilvl="0">
      <w:lvlJc w:val="left"/>
      <w:lvlText w:val="o"/>
      <w:numFmt w:val="bullet"/>
      <w:start w:val="1"/>
    </w:lvl>
  </w:abstractNum>
  <w:abstractNum w:abstractNumId="34">
    <w:nsid w:val="77485850"/>
    <w:multiLevelType w:val="hybridMultilevel"/>
    <w:lvl w:ilvl="0">
      <w:lvlJc w:val="left"/>
      <w:lvlText w:val="o"/>
      <w:numFmt w:val="bullet"/>
      <w:start w:val="1"/>
    </w:lvl>
  </w:abstractNum>
  <w:abstractNum w:abstractNumId="35">
    <w:nsid w:val="744939A3"/>
    <w:multiLevelType w:val="hybridMultilevel"/>
    <w:lvl w:ilvl="0">
      <w:lvlJc w:val="left"/>
      <w:lvlText w:val="o"/>
      <w:numFmt w:val="bullet"/>
      <w:start w:val="1"/>
    </w:lvl>
  </w:abstractNum>
  <w:abstractNum w:abstractNumId="36">
    <w:nsid w:val="4FA0D2E3"/>
    <w:multiLevelType w:val="hybridMultilevel"/>
    <w:lvl w:ilvl="0">
      <w:lvlJc w:val="left"/>
      <w:lvlText w:val="(%1)"/>
      <w:numFmt w:val="decimal"/>
      <w:start w:val="1"/>
    </w:lvl>
  </w:abstractNum>
  <w:abstractNum w:abstractNumId="37">
    <w:nsid w:val="6B1D2C14"/>
    <w:multiLevelType w:val="hybridMultilevel"/>
    <w:lvl w:ilvl="0">
      <w:lvlJc w:val="left"/>
      <w:lvlText w:val="o"/>
      <w:numFmt w:val="bullet"/>
      <w:start w:val="1"/>
    </w:lvl>
  </w:abstractNum>
  <w:abstractNum w:abstractNumId="38">
    <w:nsid w:val="68B867D3"/>
    <w:multiLevelType w:val="hybridMultilevel"/>
    <w:lvl w:ilvl="0">
      <w:lvlJc w:val="left"/>
      <w:lvlText w:val="o"/>
      <w:numFmt w:val="bullet"/>
      <w:start w:val="1"/>
    </w:lvl>
  </w:abstractNum>
  <w:abstractNum w:abstractNumId="39">
    <w:nsid w:val="3F7F5DD9"/>
    <w:multiLevelType w:val="hybridMultilevel"/>
    <w:lvl w:ilvl="0">
      <w:lvlJc w:val="left"/>
      <w:lvlText w:val="o"/>
      <w:numFmt w:val="bullet"/>
      <w:start w:val="1"/>
    </w:lvl>
  </w:abstractNum>
  <w:abstractNum w:abstractNumId="40">
    <w:nsid w:val="2AE05A34"/>
    <w:multiLevelType w:val="hybridMultilevel"/>
    <w:lvl w:ilvl="0">
      <w:lvlJc w:val="left"/>
      <w:lvlText w:val="o"/>
      <w:numFmt w:val="bullet"/>
      <w:start w:val="1"/>
    </w:lvl>
  </w:abstractNum>
  <w:abstractNum w:abstractNumId="41">
    <w:nsid w:val="32794FF7"/>
    <w:multiLevelType w:val="hybridMultilevel"/>
    <w:lvl w:ilvl="0">
      <w:lvlJc w:val="left"/>
      <w:lvlText w:val="o"/>
      <w:numFmt w:val="bullet"/>
      <w:start w:val="1"/>
    </w:lvl>
  </w:abstractNum>
  <w:abstractNum w:abstractNumId="42">
    <w:nsid w:val="5454945E"/>
    <w:multiLevelType w:val="hybridMultilevel"/>
    <w:lvl w:ilvl="0">
      <w:lvlJc w:val="left"/>
      <w:lvlText w:val="(%1)"/>
      <w:numFmt w:val="decimal"/>
      <w:start w:val="1"/>
    </w:lvl>
  </w:abstractNum>
  <w:abstractNum w:abstractNumId="43">
    <w:nsid w:val="4DEFDFA0"/>
    <w:multiLevelType w:val="hybridMultilevel"/>
    <w:lvl w:ilvl="0">
      <w:lvlJc w:val="left"/>
      <w:lvlText w:val="(%1)"/>
      <w:numFmt w:val="decimal"/>
      <w:start w:val="3"/>
    </w:lvl>
  </w:abstractNum>
  <w:abstractNum w:abstractNumId="44">
    <w:nsid w:val="2123D5F2"/>
    <w:multiLevelType w:val="hybridMultilevel"/>
    <w:lvl w:ilvl="0">
      <w:lvlJc w:val="left"/>
      <w:lvlText w:val="(%1)"/>
      <w:numFmt w:val="decimal"/>
      <w:start w:val="1"/>
    </w:lvl>
  </w:abstractNum>
  <w:abstractNum w:abstractNumId="45">
    <w:nsid w:val="135B8110"/>
    <w:multiLevelType w:val="hybridMultilevel"/>
    <w:lvl w:ilvl="0">
      <w:lvlJc w:val="left"/>
      <w:lvlText w:val="(%1)"/>
      <w:numFmt w:val="decimal"/>
      <w:start w:val="1"/>
    </w:lvl>
  </w:abstractNum>
  <w:abstractNum w:abstractNumId="46">
    <w:nsid w:val="94927A8"/>
    <w:multiLevelType w:val="hybridMultilevel"/>
    <w:lvl w:ilvl="0">
      <w:lvlJc w:val="left"/>
      <w:lvlText w:val="(%1)"/>
      <w:numFmt w:val="decimal"/>
      <w:start w:val="1"/>
    </w:lvl>
  </w:abstractNum>
  <w:abstractNum w:abstractNumId="47">
    <w:nsid w:val="DCDF8F6"/>
    <w:multiLevelType w:val="hybridMultilevel"/>
    <w:lvl w:ilvl="0">
      <w:lvlJc w:val="left"/>
      <w:lvlText w:val="o"/>
      <w:numFmt w:val="bullet"/>
      <w:start w:val="1"/>
    </w:lvl>
  </w:abstractNum>
  <w:abstractNum w:abstractNumId="48">
    <w:nsid w:val="52D7B105"/>
    <w:multiLevelType w:val="hybridMultilevel"/>
    <w:lvl w:ilvl="0">
      <w:lvlJc w:val="left"/>
      <w:lvlText w:val="o"/>
      <w:numFmt w:val="bullet"/>
      <w:start w:val="1"/>
    </w:lvl>
  </w:abstractNum>
  <w:abstractNum w:abstractNumId="49">
    <w:nsid w:val="2E8A6394"/>
    <w:multiLevelType w:val="hybridMultilevel"/>
    <w:lvl w:ilvl="0">
      <w:lvlJc w:val="left"/>
      <w:lvlText w:val="o"/>
      <w:numFmt w:val="bullet"/>
      <w:start w:val="1"/>
    </w:lvl>
  </w:abstractNum>
  <w:abstractNum w:abstractNumId="50">
    <w:nsid w:val="24E60401"/>
    <w:multiLevelType w:val="hybridMultilevel"/>
    <w:lvl w:ilvl="0">
      <w:lvlJc w:val="left"/>
      <w:lvlText w:val="(%1)"/>
      <w:numFmt w:val="lowerRoman"/>
      <w:start w:val="1"/>
    </w:lvl>
  </w:abstractNum>
  <w:abstractNum w:abstractNumId="51">
    <w:nsid w:val="2A6AD9BE"/>
    <w:multiLevelType w:val="hybridMultilevel"/>
    <w:lvl w:ilvl="0">
      <w:lvlJc w:val="left"/>
      <w:lvlText w:val="(%1)"/>
      <w:numFmt w:val="decimal"/>
      <w:start w:val="1"/>
    </w:lvl>
  </w:abstractNum>
  <w:abstractNum w:abstractNumId="52">
    <w:nsid w:val="BAAC1B4"/>
    <w:multiLevelType w:val="hybridMultilevel"/>
    <w:lvl w:ilvl="0">
      <w:lvlJc w:val="left"/>
      <w:lvlText w:val="(%1)"/>
      <w:numFmt w:val="decimal"/>
      <w:start w:val="3"/>
    </w:lvl>
  </w:abstractNum>
  <w:abstractNum w:abstractNumId="53">
    <w:nsid w:val="36B2ACBC"/>
    <w:multiLevelType w:val="hybridMultilevel"/>
    <w:lvl w:ilvl="0">
      <w:lvlJc w:val="left"/>
      <w:lvlText w:val="(%1)"/>
      <w:numFmt w:val="decimal"/>
      <w:start w:val="1"/>
    </w:lvl>
  </w:abstractNum>
  <w:abstractNum w:abstractNumId="54">
    <w:nsid w:val="779D8544"/>
    <w:multiLevelType w:val="hybridMultilevel"/>
    <w:lvl w:ilvl="0">
      <w:lvlJc w:val="left"/>
      <w:lvlText w:val="(%1)"/>
      <w:numFmt w:val="decimal"/>
      <w:start w:val="6"/>
    </w:lvl>
  </w:abstractNum>
  <w:abstractNum w:abstractNumId="55">
    <w:nsid w:val="4AB26E78"/>
    <w:multiLevelType w:val="hybridMultilevel"/>
    <w:lvl w:ilvl="0">
      <w:lvlJc w:val="left"/>
      <w:lvlText w:val="(%1)"/>
      <w:numFmt w:val="decimal"/>
      <w:start w:val="17"/>
    </w:lvl>
  </w:abstractNum>
  <w:abstractNum w:abstractNumId="56">
    <w:nsid w:val="21FAA2FA"/>
    <w:multiLevelType w:val="hybridMultilevel"/>
    <w:lvl w:ilvl="0">
      <w:lvlJc w:val="left"/>
      <w:lvlText w:val="(%1)"/>
      <w:numFmt w:val="upperLetter"/>
      <w:start w:val="1"/>
    </w:lvl>
  </w:abstractNum>
  <w:abstractNum w:abstractNumId="57">
    <w:nsid w:val="5451CF49"/>
    <w:multiLevelType w:val="hybridMultilevel"/>
    <w:lvl w:ilvl="0">
      <w:lvlJc w:val="left"/>
      <w:lvlText w:val="o"/>
      <w:numFmt w:val="bullet"/>
      <w:start w:val="1"/>
    </w:lvl>
  </w:abstractNum>
  <w:abstractNum w:abstractNumId="58">
    <w:nsid w:val="6181EF69"/>
    <w:multiLevelType w:val="hybridMultilevel"/>
    <w:lvl w:ilvl="0">
      <w:lvlJc w:val="left"/>
      <w:lvlText w:val="o"/>
      <w:numFmt w:val="bullet"/>
      <w:start w:val="1"/>
    </w:lvl>
  </w:abstractNum>
  <w:abstractNum w:abstractNumId="59">
    <w:nsid w:val="3E6400E6"/>
    <w:multiLevelType w:val="hybridMultilevel"/>
    <w:lvl w:ilvl="0">
      <w:lvlJc w:val="left"/>
      <w:lvlText w:val="%1."/>
      <w:numFmt w:val="decimal"/>
      <w:start w:val="1"/>
    </w:lvl>
  </w:abstractNum>
  <w:abstractNum w:abstractNumId="60">
    <w:nsid w:val="14217E23"/>
    <w:multiLevelType w:val="hybridMultilevel"/>
    <w:lvl w:ilvl="0">
      <w:lvlJc w:val="left"/>
      <w:lvlText w:val="%1."/>
      <w:numFmt w:val="decimal"/>
      <w:start w:val="3"/>
    </w:lvl>
  </w:abstractNum>
  <w:abstractNum w:abstractNumId="61">
    <w:nsid w:val="710757D0"/>
    <w:multiLevelType w:val="hybridMultilevel"/>
    <w:lvl w:ilvl="0">
      <w:lvlJc w:val="left"/>
      <w:lvlText w:val="%1."/>
      <w:numFmt w:val="decimal"/>
      <w:start w:val="4"/>
    </w:lvl>
  </w:abstractNum>
  <w:abstractNum w:abstractNumId="62">
    <w:nsid w:val="5015CD1A"/>
    <w:multiLevelType w:val="hybridMultilevel"/>
    <w:lvl w:ilvl="0">
      <w:lvlJc w:val="left"/>
      <w:lvlText w:val="o"/>
      <w:numFmt w:val="bullet"/>
      <w:start w:val="1"/>
    </w:lvl>
  </w:abstractNum>
  <w:abstractNum w:abstractNumId="63">
    <w:nsid w:val="424479DA"/>
    <w:multiLevelType w:val="hybridMultilevel"/>
    <w:lvl w:ilvl="0">
      <w:lvlJc w:val="left"/>
      <w:lvlText w:val="%1."/>
      <w:numFmt w:val="decimal"/>
      <w:start w:val="5"/>
    </w:lvl>
  </w:abstractNum>
  <w:abstractNum w:abstractNumId="64">
    <w:nsid w:val="1A9A9E69"/>
    <w:multiLevelType w:val="hybridMultilevel"/>
    <w:lvl w:ilvl="0">
      <w:lvlJc w:val="left"/>
      <w:lvlText w:val="%1."/>
      <w:numFmt w:val="decimal"/>
      <w:start w:val="6"/>
    </w:lvl>
  </w:abstractNum>
  <w:abstractNum w:abstractNumId="65">
    <w:nsid w:val="475E256A"/>
    <w:multiLevelType w:val="hybridMultilevel"/>
    <w:lvl w:ilvl="0">
      <w:lvlJc w:val="left"/>
      <w:lvlText w:val="%1."/>
      <w:numFmt w:val="decimal"/>
      <w:start w:val="7"/>
    </w:lvl>
  </w:abstractNum>
  <w:abstractNum w:abstractNumId="66">
    <w:nsid w:val="368DB37E"/>
    <w:multiLevelType w:val="hybridMultilevel"/>
    <w:lvl w:ilvl="0">
      <w:lvlJc w:val="left"/>
      <w:lvlText w:val="o"/>
      <w:numFmt w:val="bullet"/>
      <w:start w:val="1"/>
    </w:lvl>
  </w:abstractNum>
  <w:abstractNum w:abstractNumId="67">
    <w:nsid w:val="6A3B714C"/>
    <w:multiLevelType w:val="hybridMultilevel"/>
    <w:lvl w:ilvl="0">
      <w:lvlJc w:val="left"/>
      <w:lvlText w:val="o"/>
      <w:numFmt w:val="bullet"/>
      <w:start w:val="1"/>
    </w:lvl>
  </w:abstractNum>
  <w:abstractNum w:abstractNumId="68">
    <w:nsid w:val="327B517E"/>
    <w:multiLevelType w:val="hybridMultilevel"/>
    <w:lvl w:ilvl="0">
      <w:lvlJc w:val="left"/>
      <w:lvlText w:val="o"/>
      <w:numFmt w:val="bullet"/>
      <w:start w:val="1"/>
    </w:lvl>
  </w:abstractNum>
  <w:abstractNum w:abstractNumId="69">
    <w:nsid w:val="1F461B51"/>
    <w:multiLevelType w:val="hybridMultilevel"/>
    <w:lvl w:ilvl="0">
      <w:lvlJc w:val="left"/>
      <w:lvlText w:val="%1."/>
      <w:numFmt w:val="decimal"/>
      <w:start w:val="1"/>
    </w:lvl>
  </w:abstractNum>
  <w:abstractNum w:abstractNumId="70">
    <w:nsid w:val="29BACF25"/>
    <w:multiLevelType w:val="hybridMultilevel"/>
    <w:lvl w:ilvl="0">
      <w:lvlJc w:val="left"/>
      <w:lvlText w:val="o"/>
      <w:numFmt w:val="bullet"/>
      <w:start w:val="1"/>
    </w:lvl>
  </w:abstractNum>
  <w:abstractNum w:abstractNumId="71">
    <w:nsid w:val="5D5BABB3"/>
    <w:multiLevelType w:val="hybridMultilevel"/>
    <w:lvl w:ilvl="0">
      <w:lvlJc w:val="left"/>
      <w:lvlText w:val="%1."/>
      <w:numFmt w:val="decimal"/>
      <w:start w:val="2"/>
    </w:lvl>
  </w:abstractNum>
  <w:abstractNum w:abstractNumId="72">
    <w:nsid w:val="51BF6B48"/>
    <w:multiLevelType w:val="hybridMultilevel"/>
    <w:lvl w:ilvl="0">
      <w:lvlJc w:val="left"/>
      <w:lvlText w:val="o"/>
      <w:numFmt w:val="bullet"/>
      <w:start w:val="1"/>
    </w:lvl>
  </w:abstractNum>
  <w:abstractNum w:abstractNumId="73">
    <w:nsid w:val="7E0F6384"/>
    <w:multiLevelType w:val="hybridMultilevel"/>
    <w:lvl w:ilvl="0">
      <w:lvlJc w:val="left"/>
      <w:lvlText w:val="o"/>
      <w:numFmt w:val="bullet"/>
      <w:start w:val="1"/>
    </w:lvl>
  </w:abstractNum>
  <w:abstractNum w:abstractNumId="74">
    <w:nsid w:val="2B4B8B53"/>
    <w:multiLevelType w:val="hybridMultilevel"/>
    <w:lvl w:ilvl="0">
      <w:lvlJc w:val="left"/>
      <w:lvlText w:val="%1."/>
      <w:numFmt w:val="decimal"/>
      <w:start w:val="3"/>
    </w:lvl>
  </w:abstractNum>
  <w:abstractNum w:abstractNumId="75">
    <w:nsid w:val="72E3413A"/>
    <w:multiLevelType w:val="hybridMultilevel"/>
    <w:lvl w:ilvl="0">
      <w:lvlJc w:val="left"/>
      <w:lvlText w:val="%1."/>
      <w:numFmt w:val="decimal"/>
      <w:start w:val="4"/>
    </w:lvl>
  </w:abstractNum>
  <w:abstractNum w:abstractNumId="76">
    <w:nsid w:val="116AE494"/>
    <w:multiLevelType w:val="hybridMultilevel"/>
    <w:lvl w:ilvl="0">
      <w:lvlJc w:val="left"/>
      <w:lvlText w:val="o"/>
      <w:numFmt w:val="bullet"/>
      <w:start w:val="1"/>
    </w:lvl>
  </w:abstractNum>
  <w:abstractNum w:abstractNumId="77">
    <w:nsid w:val="3494B2FB"/>
    <w:multiLevelType w:val="hybridMultilevel"/>
    <w:lvl w:ilvl="0">
      <w:lvlJc w:val="left"/>
      <w:lvlText w:val="%1."/>
      <w:numFmt w:val="decimal"/>
      <w:start w:val="5"/>
    </w:lvl>
  </w:abstractNum>
  <w:abstractNum w:abstractNumId="78">
    <w:nsid w:val="B13A31"/>
    <w:multiLevelType w:val="hybridMultilevel"/>
    <w:lvl w:ilvl="0">
      <w:lvlJc w:val="left"/>
      <w:lvlText w:val="o"/>
      <w:numFmt w:val="bullet"/>
      <w:start w:val="1"/>
    </w:lvl>
  </w:abstractNum>
  <w:abstractNum w:abstractNumId="79">
    <w:nsid w:val="64429599"/>
    <w:multiLevelType w:val="hybridMultilevel"/>
    <w:lvl w:ilvl="0">
      <w:lvlJc w:val="left"/>
      <w:lvlText w:val="o"/>
      <w:numFmt w:val="bullet"/>
      <w:start w:val="1"/>
    </w:lvl>
  </w:abstractNum>
  <w:abstractNum w:abstractNumId="80">
    <w:nsid w:val="631F1690"/>
    <w:multiLevelType w:val="hybridMultilevel"/>
    <w:lvl w:ilvl="0">
      <w:lvlJc w:val="left"/>
      <w:lvlText w:val="%1."/>
      <w:numFmt w:val="decimal"/>
      <w:start w:val="6"/>
    </w:lvl>
  </w:abstractNum>
  <w:abstractNum w:abstractNumId="81">
    <w:nsid w:val="25973E32"/>
    <w:multiLevelType w:val="hybridMultilevel"/>
    <w:lvl w:ilvl="0">
      <w:lvlJc w:val="left"/>
      <w:lvlText w:val="o"/>
      <w:numFmt w:val="bullet"/>
      <w:start w:val="1"/>
    </w:lvl>
  </w:abstractNum>
  <w:abstractNum w:abstractNumId="82">
    <w:nsid w:val="EAD6F57"/>
    <w:multiLevelType w:val="hybridMultilevel"/>
    <w:lvl w:ilvl="0">
      <w:lvlJc w:val="left"/>
      <w:lvlText w:val="o"/>
      <w:numFmt w:val="bullet"/>
      <w:start w:val="1"/>
    </w:lvl>
  </w:abstractNum>
  <w:abstractNum w:abstractNumId="83">
    <w:nsid w:val="6EC9D844"/>
    <w:multiLevelType w:val="hybridMultilevel"/>
    <w:lvl w:ilvl="0">
      <w:lvlJc w:val="left"/>
      <w:lvlText w:val="o"/>
      <w:numFmt w:val="bullet"/>
      <w:start w:val="1"/>
    </w:lvl>
  </w:abstractNum>
  <w:abstractNum w:abstractNumId="84">
    <w:nsid w:val="5C49EAEE"/>
    <w:multiLevelType w:val="hybridMultilevel"/>
    <w:lvl w:ilvl="0">
      <w:lvlJc w:val="left"/>
      <w:lvlText w:val="o"/>
      <w:numFmt w:val="bullet"/>
      <w:start w:val="1"/>
    </w:lvl>
  </w:abstractNum>
  <w:abstractNum w:abstractNumId="85">
    <w:nsid w:val="64AF49B"/>
    <w:multiLevelType w:val="hybridMultilevel"/>
    <w:lvl w:ilvl="0">
      <w:lvlJc w:val="left"/>
      <w:lvlText w:val="o"/>
      <w:numFmt w:val="bullet"/>
      <w:start w:val="1"/>
    </w:lvl>
  </w:abstractNum>
  <w:abstractNum w:abstractNumId="86">
    <w:nsid w:val="397C46BC"/>
    <w:multiLevelType w:val="hybridMultilevel"/>
    <w:lvl w:ilvl="0">
      <w:lvlJc w:val="left"/>
      <w:lvlText w:val="o"/>
      <w:numFmt w:val="bullet"/>
      <w:start w:val="1"/>
    </w:lvl>
  </w:abstractNum>
  <w:abstractNum w:abstractNumId="87">
    <w:nsid w:val="7E448DE9"/>
    <w:multiLevelType w:val="hybridMultilevel"/>
    <w:lvl w:ilvl="0">
      <w:lvlJc w:val="left"/>
      <w:lvlText w:val="o"/>
      <w:numFmt w:val="bullet"/>
      <w:start w:val="1"/>
    </w:lvl>
  </w:abstractNum>
  <w:abstractNum w:abstractNumId="88">
    <w:nsid w:val="5A9CC3E5"/>
    <w:multiLevelType w:val="hybridMultilevel"/>
    <w:lvl w:ilvl="0">
      <w:lvlJc w:val="left"/>
      <w:lvlText w:val="o"/>
      <w:numFmt w:val="bullet"/>
      <w:start w:val="1"/>
    </w:lvl>
  </w:abstractNum>
  <w:abstractNum w:abstractNumId="89">
    <w:nsid w:val="1AFE3625"/>
    <w:multiLevelType w:val="hybridMultilevel"/>
    <w:lvl w:ilvl="0">
      <w:lvlJc w:val="left"/>
      <w:lvlText w:val="o"/>
      <w:numFmt w:val="bullet"/>
      <w:start w:val="1"/>
    </w:lvl>
  </w:abstractNum>
  <w:abstractNum w:abstractNumId="90">
    <w:nsid w:val="3CA88ECF"/>
    <w:multiLevelType w:val="hybridMultilevel"/>
    <w:lvl w:ilvl="0">
      <w:lvlJc w:val="left"/>
      <w:lvlText w:val="*"/>
      <w:numFmt w:val="bullet"/>
      <w:start w:val="1"/>
    </w:lvl>
  </w:abstractNum>
  <w:abstractNum w:abstractNumId="91">
    <w:nsid w:val="6EBE4208"/>
    <w:multiLevelType w:val="hybridMultilevel"/>
    <w:lvl w:ilvl="0">
      <w:lvlJc w:val="left"/>
      <w:lvlText w:val="o"/>
      <w:numFmt w:val="bullet"/>
      <w:start w:val="1"/>
    </w:lvl>
  </w:abstractNum>
  <w:abstractNum w:abstractNumId="92">
    <w:nsid w:val="C058DF5"/>
    <w:multiLevelType w:val="hybridMultilevel"/>
    <w:lvl w:ilvl="0">
      <w:lvlJc w:val="left"/>
      <w:lvlText w:val="o"/>
      <w:numFmt w:val="bullet"/>
      <w:start w:val="1"/>
    </w:lvl>
  </w:abstractNum>
  <w:abstractNum w:abstractNumId="93">
    <w:nsid w:val="CBE5BE9"/>
    <w:multiLevelType w:val="hybridMultilevel"/>
    <w:lvl w:ilvl="0">
      <w:lvlJc w:val="left"/>
      <w:lvlText w:val="*"/>
      <w:numFmt w:val="bullet"/>
      <w:start w:val="1"/>
    </w:lvl>
  </w:abstractNum>
  <w:abstractNum w:abstractNumId="94">
    <w:nsid w:val="3102BBE2"/>
    <w:multiLevelType w:val="hybridMultilevel"/>
    <w:lvl w:ilvl="0">
      <w:lvlJc w:val="left"/>
      <w:lvlText w:val="o"/>
      <w:numFmt w:val="bullet"/>
      <w:start w:val="1"/>
    </w:lvl>
  </w:abstractNum>
  <w:abstractNum w:abstractNumId="95">
    <w:nsid w:val="26A02C5E"/>
    <w:multiLevelType w:val="hybridMultilevel"/>
    <w:lvl w:ilvl="0">
      <w:lvlJc w:val="left"/>
      <w:lvlText w:val="o"/>
      <w:numFmt w:val="bullet"/>
      <w:start w:val="1"/>
    </w:lvl>
  </w:abstractNum>
  <w:abstractNum w:abstractNumId="96">
    <w:nsid w:val="541C8153"/>
    <w:multiLevelType w:val="hybridMultilevel"/>
    <w:lvl w:ilvl="0">
      <w:lvlJc w:val="left"/>
      <w:lvlText w:val="o"/>
      <w:numFmt w:val="bullet"/>
      <w:start w:val="1"/>
    </w:lvl>
  </w:abstractNum>
  <w:abstractNum w:abstractNumId="97">
    <w:nsid w:val="67906F60"/>
    <w:multiLevelType w:val="hybridMultilevel"/>
    <w:lvl w:ilvl="0">
      <w:lvlJc w:val="left"/>
      <w:lvlText w:val="(%1)"/>
      <w:numFmt w:val="lowerLetter"/>
      <w:start w:val="1"/>
    </w:lvl>
  </w:abstractNum>
  <w:abstractNum w:abstractNumId="98">
    <w:nsid w:val="10DB9DAA"/>
    <w:multiLevelType w:val="hybridMultilevel"/>
    <w:lvl w:ilvl="0">
      <w:lvlJc w:val="left"/>
      <w:lvlText w:val="(%1)"/>
      <w:numFmt w:val="lowerLetter"/>
      <w:start w:val="2"/>
    </w:lvl>
    <w:lvl w:ilvl="1">
      <w:lvlJc w:val="left"/>
      <w:lvlText w:val="o"/>
      <w:numFmt w:val="bullet"/>
      <w:start w:val="1"/>
    </w:lvl>
  </w:abstractNum>
  <w:abstractNum w:abstractNumId="99">
    <w:nsid w:val="697D2D2"/>
    <w:multiLevelType w:val="hybridMultilevel"/>
    <w:lvl w:ilvl="0">
      <w:lvlJc w:val="left"/>
      <w:lvlText w:val="(%1)"/>
      <w:numFmt w:val="lowerLetter"/>
      <w:start w:val="4"/>
    </w:lvl>
    <w:lvl w:ilvl="1">
      <w:lvlJc w:val="left"/>
      <w:lvlText w:val="o"/>
      <w:numFmt w:val="bullet"/>
      <w:start w:val="1"/>
    </w:lvl>
  </w:abstractNum>
  <w:abstractNum w:abstractNumId="100">
    <w:nsid w:val="6D68AB2"/>
    <w:multiLevelType w:val="hybridMultilevel"/>
    <w:lvl w:ilvl="0">
      <w:lvlJc w:val="left"/>
      <w:lvlText w:val="o"/>
      <w:numFmt w:val="bullet"/>
      <w:start w:val="1"/>
    </w:lvl>
  </w:abstractNum>
  <w:abstractNum w:abstractNumId="101">
    <w:nsid w:val="3A966CD0"/>
    <w:multiLevelType w:val="hybridMultilevel"/>
    <w:lvl w:ilvl="0">
      <w:lvlJc w:val="left"/>
      <w:lvlText w:val="(%1)"/>
      <w:numFmt w:val="decimal"/>
      <w:start w:val="1"/>
    </w:lvl>
  </w:abstractNum>
  <w:abstractNum w:abstractNumId="102">
    <w:nsid w:val="63F37E85"/>
    <w:multiLevelType w:val="hybridMultilevel"/>
    <w:lvl w:ilvl="0">
      <w:lvlJc w:val="left"/>
      <w:lvlText w:val="(%1)"/>
      <w:numFmt w:val="decimal"/>
      <w:start w:val="1"/>
    </w:lvl>
  </w:abstractNum>
  <w:abstractNum w:abstractNumId="103">
    <w:nsid w:val="5895F5FA"/>
    <w:multiLevelType w:val="hybridMultilevel"/>
    <w:lvl w:ilvl="0">
      <w:lvlJc w:val="left"/>
      <w:lvlText w:val="%1."/>
      <w:numFmt w:val="decimal"/>
      <w:start w:val="1"/>
    </w:lvl>
  </w:abstractNum>
  <w:abstractNum w:abstractNumId="104">
    <w:nsid w:val="38A5D054"/>
    <w:multiLevelType w:val="hybridMultilevel"/>
    <w:lvl w:ilvl="0">
      <w:lvlJc w:val="left"/>
      <w:lvlText w:val="*"/>
      <w:numFmt w:val="bullet"/>
      <w:start w:val="1"/>
    </w:lvl>
  </w:abstractNum>
  <w:abstractNum w:abstractNumId="105">
    <w:nsid w:val="F3F09D8"/>
    <w:multiLevelType w:val="hybridMultilevel"/>
    <w:lvl w:ilvl="0">
      <w:lvlJc w:val="left"/>
      <w:lvlText w:val="%1."/>
      <w:numFmt w:val="upperLetter"/>
      <w:start w:val="61"/>
    </w:lvl>
  </w:abstractNum>
  <w:abstractNum w:abstractNumId="106">
    <w:nsid w:val="4B793735"/>
    <w:multiLevelType w:val="hybridMultilevel"/>
    <w:lvl w:ilvl="0">
      <w:lvlJc w:val="left"/>
      <w:lvlText w:val="*"/>
      <w:numFmt w:val="bullet"/>
      <w:start w:val="1"/>
    </w:lvl>
  </w:abstractNum>
  <w:abstractNum w:abstractNumId="107">
    <w:nsid w:val="4A10B4E8"/>
    <w:multiLevelType w:val="hybridMultilevel"/>
    <w:lvl w:ilvl="0">
      <w:lvlJc w:val="left"/>
      <w:lvlText w:val="*"/>
      <w:numFmt w:val="bullet"/>
      <w:start w:val="1"/>
    </w:lvl>
  </w:abstractNum>
  <w:abstractNum w:abstractNumId="108">
    <w:nsid w:val="43D3BCD4"/>
    <w:multiLevelType w:val="hybridMultilevel"/>
    <w:lvl w:ilvl="0">
      <w:lvlJc w:val="left"/>
      <w:lvlText w:val="o"/>
      <w:numFmt w:val="bullet"/>
      <w:start w:val="1"/>
    </w:lvl>
  </w:abstractNum>
  <w:abstractNum w:abstractNumId="109">
    <w:nsid w:val="4C2A7166"/>
    <w:multiLevelType w:val="hybridMultilevel"/>
    <w:lvl w:ilvl="0">
      <w:lvlJc w:val="left"/>
      <w:lvlText w:val="o"/>
      <w:numFmt w:val="bullet"/>
      <w:start w:val="1"/>
    </w:lvl>
  </w:abstractNum>
  <w:abstractNum w:abstractNumId="110">
    <w:nsid w:val="2E534A82"/>
    <w:multiLevelType w:val="hybridMultilevel"/>
    <w:lvl w:ilvl="0">
      <w:lvlJc w:val="left"/>
      <w:lvlText w:val="*"/>
      <w:numFmt w:val="bullet"/>
      <w:start w:val="1"/>
    </w:lvl>
  </w:abstractNum>
  <w:abstractNum w:abstractNumId="111">
    <w:nsid w:val="26F2D364"/>
    <w:multiLevelType w:val="hybridMultilevel"/>
    <w:lvl w:ilvl="0">
      <w:lvlJc w:val="left"/>
      <w:lvlText w:val="o"/>
      <w:numFmt w:val="bullet"/>
      <w:start w:val="1"/>
    </w:lvl>
  </w:abstractNum>
  <w:abstractNum w:abstractNumId="112">
    <w:nsid w:val="71C1AF98"/>
    <w:multiLevelType w:val="hybridMultilevel"/>
    <w:lvl w:ilvl="0">
      <w:lvlJc w:val="left"/>
      <w:lvlText w:val="*"/>
      <w:numFmt w:val="bullet"/>
      <w:start w:val="1"/>
    </w:lvl>
  </w:abstractNum>
  <w:abstractNum w:abstractNumId="113">
    <w:nsid w:val="3D00B9D9"/>
    <w:multiLevelType w:val="hybridMultilevel"/>
    <w:lvl w:ilvl="0">
      <w:lvlJc w:val="left"/>
      <w:lvlText w:val="(%1)"/>
      <w:numFmt w:val="decimal"/>
      <w:start w:val="1"/>
    </w:lvl>
  </w:abstractNum>
  <w:abstractNum w:abstractNumId="114">
    <w:nsid w:val="15BCABA8"/>
    <w:multiLevelType w:val="hybridMultilevel"/>
    <w:lvl w:ilvl="0">
      <w:lvlJc w:val="left"/>
      <w:lvlText w:val="*"/>
      <w:numFmt w:val="bullet"/>
      <w:start w:val="1"/>
    </w:lvl>
  </w:abstractNum>
  <w:abstractNum w:abstractNumId="115">
    <w:nsid w:val="4E0B9A87"/>
    <w:multiLevelType w:val="hybridMultilevel"/>
    <w:lvl w:ilvl="0">
      <w:lvlJc w:val="left"/>
      <w:lvlText w:val="(%1)"/>
      <w:numFmt w:val="decimal"/>
      <w:start w:val="1"/>
    </w:lvl>
  </w:abstractNum>
  <w:abstractNum w:abstractNumId="116">
    <w:nsid w:val="434BAE75"/>
    <w:multiLevelType w:val="hybridMultilevel"/>
    <w:lvl w:ilvl="0">
      <w:lvlJc w:val="left"/>
      <w:lvlText w:val="o"/>
      <w:numFmt w:val="bullet"/>
      <w:start w:val="1"/>
    </w:lvl>
  </w:abstractNum>
  <w:abstractNum w:abstractNumId="117">
    <w:nsid w:val="4F38F265"/>
    <w:multiLevelType w:val="hybridMultilevel"/>
    <w:lvl w:ilvl="0">
      <w:lvlJc w:val="left"/>
      <w:lvlText w:val="(%1)"/>
      <w:numFmt w:val="decimal"/>
      <w:start w:val="1"/>
    </w:lvl>
    <w:lvl w:ilvl="1">
      <w:lvlJc w:val="left"/>
      <w:lvlText w:val="(%2)"/>
      <w:numFmt w:val="decimal"/>
      <w:start w:val="6"/>
    </w:lvl>
  </w:abstractNum>
  <w:abstractNum w:abstractNumId="118">
    <w:nsid w:val="4C502870"/>
    <w:multiLevelType w:val="hybridMultilevel"/>
    <w:lvl w:ilvl="0">
      <w:lvlJc w:val="left"/>
      <w:lvlText w:val="(%1)"/>
      <w:numFmt w:val="decimal"/>
      <w:start w:val="1"/>
    </w:lvl>
  </w:abstractNum>
  <w:abstractNum w:abstractNumId="119">
    <w:nsid w:val="1DE8725A"/>
    <w:multiLevelType w:val="hybridMultilevel"/>
    <w:lvl w:ilvl="0">
      <w:lvlJc w:val="left"/>
      <w:lvlText w:val="*"/>
      <w:numFmt w:val="bullet"/>
      <w:start w:val="1"/>
    </w:lvl>
  </w:abstractNum>
  <w:abstractNum w:abstractNumId="120">
    <w:nsid w:val="6A37288A"/>
    <w:multiLevelType w:val="hybridMultilevel"/>
    <w:lvl w:ilvl="0">
      <w:lvlJc w:val="left"/>
      <w:lvlText w:val="*"/>
      <w:numFmt w:val="bullet"/>
      <w:start w:val="1"/>
    </w:lvl>
  </w:abstractNum>
  <w:abstractNum w:abstractNumId="121">
    <w:nsid w:val="8F8B73F"/>
    <w:multiLevelType w:val="hybridMultilevel"/>
    <w:lvl w:ilvl="0">
      <w:lvlJc w:val="left"/>
      <w:lvlText w:val="*"/>
      <w:numFmt w:val="bullet"/>
      <w:start w:val="1"/>
    </w:lvl>
  </w:abstractNum>
  <w:abstractNum w:abstractNumId="122">
    <w:nsid w:val="CA6B462"/>
    <w:multiLevelType w:val="hybridMultilevel"/>
    <w:lvl w:ilvl="0">
      <w:lvlJc w:val="left"/>
      <w:lvlText w:val="--"/>
      <w:numFmt w:val="bullet"/>
      <w:start w:val="1"/>
    </w:lvl>
  </w:abstractNum>
  <w:abstractNum w:abstractNumId="123">
    <w:nsid w:val="763CB680"/>
    <w:multiLevelType w:val="hybridMultilevel"/>
    <w:lvl w:ilvl="0">
      <w:lvlJc w:val="left"/>
      <w:lvlText w:val="%1."/>
      <w:numFmt w:val="decimal"/>
      <w:start w:val="1"/>
    </w:lvl>
  </w:abstractNum>
  <w:abstractNum w:abstractNumId="124">
    <w:nsid w:val="15B71329"/>
    <w:multiLevelType w:val="hybridMultilevel"/>
    <w:lvl w:ilvl="0">
      <w:lvlJc w:val="left"/>
      <w:lvlText w:val="--"/>
      <w:numFmt w:val="bullet"/>
      <w:start w:val="1"/>
    </w:lvl>
  </w:abstractNum>
  <w:abstractNum w:abstractNumId="125">
    <w:nsid w:val="3DA97044"/>
    <w:multiLevelType w:val="hybridMultilevel"/>
    <w:lvl w:ilvl="0">
      <w:lvlJc w:val="left"/>
      <w:lvlText w:val="%1."/>
      <w:numFmt w:val="decimal"/>
      <w:start w:val="1"/>
    </w:lvl>
  </w:abstractNum>
  <w:abstractNum w:abstractNumId="126">
    <w:nsid w:val="1CDCE2DE"/>
    <w:multiLevelType w:val="hybridMultilevel"/>
    <w:lvl w:ilvl="0">
      <w:lvlJc w:val="left"/>
      <w:lvlText w:val="%1."/>
      <w:numFmt w:val="decimal"/>
      <w:start w:val="6"/>
    </w:lvl>
  </w:abstractNum>
  <w:abstractNum w:abstractNumId="127">
    <w:nsid w:val="69D3947C"/>
    <w:multiLevelType w:val="hybridMultilevel"/>
    <w:lvl w:ilvl="0">
      <w:lvlJc w:val="left"/>
      <w:lvlText w:val="o"/>
      <w:numFmt w:val="bullet"/>
      <w:start w:val="1"/>
    </w:lvl>
  </w:abstractNum>
  <w:abstractNum w:abstractNumId="128">
    <w:nsid w:val="2539DFA5"/>
    <w:multiLevelType w:val="hybridMultilevel"/>
    <w:lvl w:ilvl="0">
      <w:lvlJc w:val="left"/>
      <w:lvlText w:val="(%1)"/>
      <w:numFmt w:val="lowerRoman"/>
      <w:start w:val="3"/>
    </w:lvl>
  </w:abstractNum>
  <w:abstractNum w:abstractNumId="129">
    <w:nsid w:val="2DB88089"/>
    <w:multiLevelType w:val="hybridMultilevel"/>
    <w:lvl w:ilvl="0">
      <w:lvlJc w:val="left"/>
      <w:lvlText w:val="(%1)"/>
      <w:numFmt w:val="decimal"/>
      <w:start w:val="5"/>
    </w:lvl>
  </w:abstractNum>
  <w:abstractNum w:abstractNumId="130">
    <w:nsid w:val="706B674E"/>
    <w:multiLevelType w:val="hybridMultilevel"/>
    <w:lvl w:ilvl="0">
      <w:lvlJc w:val="left"/>
      <w:lvlText w:val="(%1)"/>
      <w:numFmt w:val="decimal"/>
      <w:start w:val="1"/>
    </w:lvl>
  </w:abstractNum>
  <w:abstractNum w:abstractNumId="131">
    <w:nsid w:val="2C106A57"/>
    <w:multiLevelType w:val="hybridMultilevel"/>
    <w:lvl w:ilvl="0">
      <w:lvlJc w:val="left"/>
      <w:lvlText w:val="(%1)"/>
      <w:numFmt w:val="decimal"/>
      <w:start w:val="1"/>
    </w:lvl>
  </w:abstractNum>
  <w:abstractNum w:abstractNumId="132">
    <w:nsid w:val="684EED59"/>
    <w:multiLevelType w:val="hybridMultilevel"/>
    <w:lvl w:ilvl="0">
      <w:lvlJc w:val="left"/>
      <w:lvlText w:val="(%1)"/>
      <w:numFmt w:val="decimal"/>
      <w:start w:val="1"/>
    </w:lvl>
  </w:abstractNum>
  <w:abstractNum w:abstractNumId="133">
    <w:nsid w:val="545EE5D3"/>
    <w:multiLevelType w:val="hybridMultilevel"/>
    <w:lvl w:ilvl="0">
      <w:lvlJc w:val="left"/>
      <w:lvlText w:val="(%1)"/>
      <w:numFmt w:val="decimal"/>
      <w:start w:val="1"/>
    </w:lvl>
  </w:abstractNum>
  <w:abstractNum w:abstractNumId="134">
    <w:nsid w:val="4A66051"/>
    <w:multiLevelType w:val="hybridMultilevel"/>
    <w:lvl w:ilvl="0">
      <w:lvlJc w:val="left"/>
      <w:lvlText w:val="*"/>
      <w:numFmt w:val="bullet"/>
      <w:start w:val="1"/>
    </w:lvl>
  </w:abstractNum>
  <w:abstractNum w:abstractNumId="135">
    <w:nsid w:val="20F4BDAD"/>
    <w:multiLevelType w:val="hybridMultilevel"/>
    <w:lvl w:ilvl="0">
      <w:lvlJc w:val="left"/>
      <w:lvlText w:val="(%1)"/>
      <w:numFmt w:val="lowerLetter"/>
      <w:start w:val="2"/>
    </w:lvl>
    <w:lvl w:ilvl="1">
      <w:lvlJc w:val="left"/>
      <w:lvlText w:val="(%2)"/>
      <w:numFmt w:val="lowerLetter"/>
      <w:start w:val="4"/>
    </w:lvl>
  </w:abstractNum>
  <w:abstractNum w:abstractNumId="136">
    <w:nsid w:val="639DEFAC"/>
    <w:multiLevelType w:val="hybridMultilevel"/>
    <w:lvl w:ilvl="0">
      <w:lvlJc w:val="left"/>
      <w:lvlText w:val="%1"/>
      <w:numFmt w:val="lowerLetter"/>
      <w:start w:val="1"/>
    </w:lvl>
    <w:lvl w:ilvl="1">
      <w:lvlJc w:val="left"/>
      <w:lvlText w:val="(%2)"/>
      <w:numFmt w:val="lowerRoman"/>
      <w:start w:val="1"/>
    </w:lvl>
  </w:abstractNum>
  <w:abstractNum w:abstractNumId="137">
    <w:nsid w:val="501F9786"/>
    <w:multiLevelType w:val="hybridMultilevel"/>
    <w:lvl w:ilvl="0">
      <w:lvlJc w:val="left"/>
      <w:lvlText w:val="(%1)"/>
      <w:numFmt w:val="lowerLetter"/>
      <w:start w:val="2"/>
    </w:lvl>
    <w:lvl w:ilvl="1">
      <w:lvlJc w:val="left"/>
      <w:lvlText w:val="%2"/>
      <w:numFmt w:val="lowerRoman"/>
      <w:start w:val="1"/>
    </w:lvl>
  </w:abstractNum>
  <w:abstractNum w:abstractNumId="138">
    <w:nsid w:val="6B057295"/>
    <w:multiLevelType w:val="hybridMultilevel"/>
    <w:lvl w:ilvl="0">
      <w:lvlJc w:val="left"/>
      <w:lvlText w:val="(%1)"/>
      <w:numFmt w:val="lowerLetter"/>
      <w:start w:val="4"/>
    </w:lvl>
  </w:abstractNum>
  <w:abstractNum w:abstractNumId="139">
    <w:nsid w:val="2771AC80"/>
    <w:multiLevelType w:val="hybridMultilevel"/>
    <w:lvl w:ilvl="0">
      <w:lvlJc w:val="left"/>
      <w:lvlText w:val="(%1)"/>
      <w:numFmt w:val="lowerLetter"/>
      <w:start w:val="2"/>
    </w:lvl>
  </w:abstractNum>
  <w:abstractNum w:abstractNumId="140">
    <w:nsid w:val="1C4A08EC"/>
    <w:multiLevelType w:val="hybridMultilevel"/>
    <w:lvl w:ilvl="0">
      <w:lvlJc w:val="left"/>
      <w:lvlText w:val="(%1)"/>
      <w:numFmt w:val="lowerLetter"/>
      <w:start w:val="6"/>
    </w:lvl>
  </w:abstractNum>
  <w:abstractNum w:abstractNumId="141">
    <w:nsid w:val="1958BD17"/>
    <w:multiLevelType w:val="hybridMultilevel"/>
    <w:lvl w:ilvl="0">
      <w:lvlJc w:val="left"/>
      <w:lvlText w:val="(%1)"/>
      <w:numFmt w:val="lowerLetter"/>
      <w:start w:val="2"/>
    </w:lvl>
  </w:abstractNum>
  <w:abstractNum w:abstractNumId="142">
    <w:nsid w:val="4E647FE4"/>
    <w:multiLevelType w:val="hybridMultilevel"/>
    <w:lvl w:ilvl="0">
      <w:lvlJc w:val="left"/>
      <w:lvlText w:val="(%1)"/>
      <w:numFmt w:val="lowerLetter"/>
      <w:start w:val="4"/>
    </w:lvl>
  </w:abstractNum>
  <w:abstractNum w:abstractNumId="143">
    <w:nsid w:val="E0BB885"/>
    <w:multiLevelType w:val="hybridMultilevel"/>
    <w:lvl w:ilvl="0">
      <w:lvlJc w:val="left"/>
      <w:lvlText w:val="(%1)"/>
      <w:numFmt w:val="lowerLetter"/>
      <w:start w:val="2"/>
    </w:lvl>
  </w:abstractNum>
  <w:abstractNum w:abstractNumId="144">
    <w:nsid w:val="565976F1"/>
    <w:multiLevelType w:val="hybridMultilevel"/>
    <w:lvl w:ilvl="0">
      <w:lvlJc w:val="left"/>
      <w:lvlText w:val="(%1)"/>
      <w:numFmt w:val="lowerLetter"/>
      <w:start w:val="3"/>
    </w:lvl>
  </w:abstractNum>
  <w:abstractNum w:abstractNumId="145">
    <w:nsid w:val="64212B8C"/>
    <w:multiLevelType w:val="hybridMultilevel"/>
    <w:lvl w:ilvl="0">
      <w:lvlJc w:val="left"/>
      <w:lvlText w:val="(%1)"/>
      <w:numFmt w:val="lowerLetter"/>
      <w:start w:val="2"/>
    </w:lvl>
  </w:abstractNum>
  <w:abstractNum w:abstractNumId="146">
    <w:nsid w:val="5C17530C"/>
    <w:multiLevelType w:val="hybridMultilevel"/>
    <w:lvl w:ilvl="0">
      <w:lvlJc w:val="left"/>
      <w:lvlText w:val="(%1)"/>
      <w:numFmt w:val="lowerLetter"/>
      <w:start w:val="25"/>
    </w:lvl>
  </w:abstractNum>
  <w:abstractNum w:abstractNumId="147">
    <w:nsid w:val="19A52566"/>
    <w:multiLevelType w:val="hybridMultilevel"/>
    <w:lvl w:ilvl="0">
      <w:lvlJc w:val="left"/>
      <w:lvlText w:val="(%1)"/>
      <w:numFmt w:val="lowerLetter"/>
      <w:start w:val="2"/>
    </w:lvl>
  </w:abstractNum>
  <w:abstractNum w:abstractNumId="148">
    <w:nsid w:val="335A1DF1"/>
    <w:multiLevelType w:val="hybridMultilevel"/>
    <w:lvl w:ilvl="0">
      <w:lvlJc w:val="left"/>
      <w:lvlText w:val="(%1)"/>
      <w:numFmt w:val="lowerLetter"/>
      <w:start w:val="1"/>
    </w:lvl>
  </w:abstractNum>
  <w:abstractNum w:abstractNumId="149">
    <w:nsid w:val="28677B7C"/>
    <w:multiLevelType w:val="hybridMultilevel"/>
    <w:lvl w:ilvl="0">
      <w:lvlJc w:val="left"/>
      <w:lvlText w:val="(%1)"/>
      <w:numFmt w:val="lowerLetter"/>
      <w:start w:val="5"/>
    </w:lvl>
  </w:abstractNum>
  <w:abstractNum w:abstractNumId="150">
    <w:nsid w:val="378D97C0"/>
    <w:multiLevelType w:val="hybridMultilevel"/>
    <w:lvl w:ilvl="0">
      <w:lvlJc w:val="left"/>
      <w:lvlText w:val="(%1)"/>
      <w:numFmt w:val="lowerLetter"/>
      <w:start w:val="2"/>
    </w:lvl>
  </w:abstractNum>
  <w:abstractNum w:abstractNumId="151">
    <w:nsid w:val="1D91467C"/>
    <w:multiLevelType w:val="hybridMultilevel"/>
    <w:lvl w:ilvl="0">
      <w:lvlJc w:val="left"/>
      <w:lvlText w:val="(%1)"/>
      <w:numFmt w:val="lowerLetter"/>
      <w:start w:val="2"/>
    </w:lvl>
  </w:abstractNum>
  <w:abstractNum w:abstractNumId="152">
    <w:nsid w:val="316032BB"/>
    <w:multiLevelType w:val="hybridMultilevel"/>
    <w:lvl w:ilvl="0">
      <w:lvlJc w:val="left"/>
      <w:lvlText w:val="(%1)"/>
      <w:numFmt w:val="lowerLetter"/>
      <w:start w:val="2"/>
    </w:lvl>
  </w:abstractNum>
  <w:abstractNum w:abstractNumId="153">
    <w:nsid w:val="44344C22"/>
    <w:multiLevelType w:val="hybridMultilevel"/>
    <w:lvl w:ilvl="0">
      <w:lvlJc w:val="left"/>
      <w:lvlText w:val="(%1)"/>
      <w:numFmt w:val="lowerLetter"/>
      <w:start w:val="1"/>
    </w:lvl>
  </w:abstractNum>
  <w:abstractNum w:abstractNumId="154">
    <w:nsid w:val="13CDFCFC"/>
    <w:multiLevelType w:val="hybridMultilevel"/>
    <w:lvl w:ilvl="0">
      <w:lvlJc w:val="left"/>
      <w:lvlText w:val="(%1)"/>
      <w:numFmt w:val="lowerLetter"/>
      <w:start w:val="5"/>
    </w:lvl>
  </w:abstractNum>
  <w:abstractNum w:abstractNumId="155">
    <w:nsid w:val="471745E4"/>
    <w:multiLevelType w:val="hybridMultilevel"/>
    <w:lvl w:ilvl="0">
      <w:lvlJc w:val="left"/>
      <w:lvlText w:val="%1"/>
      <w:numFmt w:val="lowerLetter"/>
      <w:start w:val="1"/>
    </w:lvl>
    <w:lvl w:ilvl="1">
      <w:lvlJc w:val="left"/>
      <w:lvlText w:val="(%2)"/>
      <w:numFmt w:val="lowerLetter"/>
      <w:start w:val="1"/>
    </w:lvl>
  </w:abstractNum>
  <w:abstractNum w:abstractNumId="156">
    <w:nsid w:val="1DDBC66"/>
    <w:multiLevelType w:val="hybridMultilevel"/>
    <w:lvl w:ilvl="0">
      <w:lvlJc w:val="left"/>
      <w:lvlText w:val="(%1)"/>
      <w:numFmt w:val="lowerLetter"/>
      <w:start w:val="2"/>
    </w:lvl>
    <w:lvl w:ilvl="1">
      <w:lvlJc w:val="left"/>
      <w:lvlText w:val="%2"/>
      <w:numFmt w:val="lowerLetter"/>
      <w:start w:val="1"/>
    </w:lvl>
  </w:abstractNum>
  <w:abstractNum w:abstractNumId="157">
    <w:nsid w:val="30AADFDA"/>
    <w:multiLevelType w:val="hybridMultilevel"/>
    <w:lvl w:ilvl="0">
      <w:lvlJc w:val="left"/>
      <w:lvlText w:val="(%1)"/>
      <w:numFmt w:val="lowerLetter"/>
      <w:start w:val="2"/>
    </w:lvl>
  </w:abstractNum>
  <w:abstractNum w:abstractNumId="158">
    <w:nsid w:val="30EADA61"/>
    <w:multiLevelType w:val="hybridMultilevel"/>
    <w:lvl w:ilvl="0">
      <w:lvlJc w:val="left"/>
      <w:lvlText w:val="(%1)"/>
      <w:numFmt w:val="lowerLetter"/>
      <w:start w:val="7"/>
    </w:lvl>
  </w:abstractNum>
  <w:abstractNum w:abstractNumId="159">
    <w:nsid w:val="27179C0B"/>
    <w:multiLevelType w:val="hybridMultilevel"/>
    <w:lvl w:ilvl="0">
      <w:lvlJc w:val="left"/>
      <w:lvlText w:val="(%1)"/>
      <w:numFmt w:val="lowerLetter"/>
      <w:start w:val="2"/>
    </w:lvl>
  </w:abstractNum>
  <w:abstractNum w:abstractNumId="160">
    <w:nsid w:val="5E636063"/>
    <w:multiLevelType w:val="hybridMultilevel"/>
    <w:lvl w:ilvl="0">
      <w:lvlJc w:val="left"/>
      <w:lvlText w:val="(%1)"/>
      <w:numFmt w:val="lowerLetter"/>
      <w:start w:val="2"/>
    </w:lvl>
  </w:abstractNum>
  <w:abstractNum w:abstractNumId="161">
    <w:nsid w:val="215641AF"/>
    <w:multiLevelType w:val="hybridMultilevel"/>
    <w:lvl w:ilvl="0">
      <w:lvlJc w:val="left"/>
      <w:lvlText w:val="&amp;"/>
      <w:numFmt w:val="bullet"/>
      <w:start w:val="1"/>
    </w:lvl>
  </w:abstractNum>
  <w:abstractNum w:abstractNumId="162">
    <w:nsid w:val="53280662"/>
    <w:multiLevelType w:val="hybridMultilevel"/>
    <w:lvl w:ilvl="0">
      <w:lvlJc w:val="left"/>
      <w:lvlText w:val="%1"/>
      <w:numFmt w:val="lowerLetter"/>
      <w:start w:val="1"/>
    </w:lvl>
    <w:lvl w:ilvl="1">
      <w:lvlJc w:val="left"/>
      <w:lvlText w:val="(%2)"/>
      <w:numFmt w:val="lowerLetter"/>
      <w:start w:val="2"/>
    </w:lvl>
  </w:abstractNum>
  <w:abstractNum w:abstractNumId="163">
    <w:nsid w:val="46B24DBC"/>
    <w:multiLevelType w:val="hybridMultilevel"/>
    <w:lvl w:ilvl="0">
      <w:lvlJc w:val="left"/>
      <w:lvlText w:val="(%1)"/>
      <w:numFmt w:val="lowerLetter"/>
      <w:start w:val="9"/>
    </w:lvl>
    <w:lvl w:ilvl="1">
      <w:lvlJc w:val="left"/>
      <w:lvlText w:val="%2"/>
      <w:numFmt w:val="lowerLetter"/>
      <w:start w:val="1"/>
    </w:lvl>
  </w:abstractNum>
  <w:abstractNum w:abstractNumId="164">
    <w:nsid w:val="75B52783"/>
    <w:multiLevelType w:val="hybridMultilevel"/>
    <w:lvl w:ilvl="0">
      <w:lvlJc w:val="left"/>
      <w:lvlText w:val="(%1)"/>
      <w:numFmt w:val="lowerLetter"/>
      <w:start w:val="4"/>
    </w:lvl>
  </w:abstractNum>
  <w:abstractNum w:abstractNumId="165">
    <w:nsid w:val="57CE66B4"/>
    <w:multiLevelType w:val="hybridMultilevel"/>
    <w:lvl w:ilvl="0">
      <w:lvlJc w:val="left"/>
      <w:lvlText w:val="(%1)"/>
      <w:numFmt w:val="lowerLetter"/>
      <w:start w:val="2"/>
    </w:lvl>
  </w:abstractNum>
  <w:abstractNum w:abstractNumId="166">
    <w:nsid w:val="67A70B69"/>
    <w:multiLevelType w:val="hybridMultilevel"/>
    <w:lvl w:ilvl="0">
      <w:lvlJc w:val="left"/>
      <w:lvlText w:val="(%1)"/>
      <w:numFmt w:val="lowerLetter"/>
      <w:start w:val="2"/>
    </w:lvl>
  </w:abstractNum>
  <w:abstractNum w:abstractNumId="167">
    <w:nsid w:val="5953172F"/>
    <w:multiLevelType w:val="hybridMultilevel"/>
    <w:lvl w:ilvl="0">
      <w:lvlJc w:val="left"/>
      <w:lvlText w:val="(%1)"/>
      <w:numFmt w:val="lowerLetter"/>
      <w:start w:val="2"/>
    </w:lvl>
  </w:abstractNum>
  <w:abstractNum w:abstractNumId="168">
    <w:nsid w:val="27EDFE3A"/>
    <w:multiLevelType w:val="hybridMultilevel"/>
    <w:lvl w:ilvl="0">
      <w:lvlJc w:val="left"/>
      <w:lvlText w:val="(%1)"/>
      <w:numFmt w:val="lowerLetter"/>
      <w:start w:val="1"/>
    </w:lvl>
  </w:abstractNum>
  <w:abstractNum w:abstractNumId="169">
    <w:nsid w:val="52AC7DFF"/>
    <w:multiLevelType w:val="hybridMultilevel"/>
    <w:lvl w:ilvl="0">
      <w:lvlJc w:val="left"/>
      <w:lvlText w:val="(%1)"/>
      <w:numFmt w:val="lowerLetter"/>
      <w:start w:val="1"/>
    </w:lvl>
  </w:abstractNum>
  <w:abstractNum w:abstractNumId="170">
    <w:nsid w:val="C4C3AF"/>
    <w:multiLevelType w:val="hybridMultilevel"/>
    <w:lvl w:ilvl="0">
      <w:lvlJc w:val="left"/>
      <w:lvlText w:val="(%1)"/>
      <w:numFmt w:val="lowerRoman"/>
      <w:start w:val="2"/>
    </w:lvl>
  </w:abstractNum>
  <w:abstractNum w:abstractNumId="171">
    <w:nsid w:val="44380727"/>
    <w:multiLevelType w:val="hybridMultilevel"/>
    <w:lvl w:ilvl="0">
      <w:lvlJc w:val="left"/>
      <w:lvlText w:val="(%1)"/>
      <w:numFmt w:val="lowerLetter"/>
      <w:start w:val="2"/>
    </w:lvl>
  </w:abstractNum>
  <w:abstractNum w:abstractNumId="172">
    <w:nsid w:val="6C053B16"/>
    <w:multiLevelType w:val="hybridMultilevel"/>
    <w:lvl w:ilvl="0">
      <w:lvlJc w:val="left"/>
      <w:lvlText w:val="(%1)"/>
      <w:numFmt w:val="lowerLetter"/>
      <w:start w:val="2"/>
    </w:lvl>
  </w:abstractNum>
  <w:abstractNum w:abstractNumId="173">
    <w:nsid w:val="4F294393"/>
    <w:multiLevelType w:val="hybridMultilevel"/>
    <w:lvl w:ilvl="0">
      <w:lvlJc w:val="left"/>
      <w:lvlText w:val="%1"/>
      <w:numFmt w:val="lowerLetter"/>
      <w:start w:val="1"/>
    </w:lvl>
    <w:lvl w:ilvl="1">
      <w:lvlJc w:val="left"/>
      <w:lvlText w:val="(%2)"/>
      <w:numFmt w:val="lowerLetter"/>
      <w:start w:val="1"/>
    </w:lvl>
  </w:abstractNum>
  <w:abstractNum w:abstractNumId="174">
    <w:nsid w:val="5243BFAC"/>
    <w:multiLevelType w:val="hybridMultilevel"/>
    <w:lvl w:ilvl="0">
      <w:lvlJc w:val="left"/>
      <w:lvlText w:val="(%1)"/>
      <w:numFmt w:val="lowerLetter"/>
      <w:start w:val="35"/>
    </w:lvl>
    <w:lvl w:ilvl="1">
      <w:lvlJc w:val="left"/>
      <w:lvlText w:val="%2"/>
      <w:numFmt w:val="lowerLetter"/>
      <w:start w:val="1"/>
    </w:lvl>
  </w:abstractNum>
  <w:abstractNum w:abstractNumId="175">
    <w:nsid w:val="425EB207"/>
    <w:multiLevelType w:val="hybridMultilevel"/>
    <w:lvl w:ilvl="0">
      <w:lvlJc w:val="left"/>
      <w:lvlText w:val="%1"/>
      <w:numFmt w:val="lowerLetter"/>
      <w:start w:val="1"/>
    </w:lvl>
    <w:lvl w:ilvl="1">
      <w:lvlJc w:val="left"/>
      <w:lvlText w:val="(%2)"/>
      <w:numFmt w:val="lowerLetter"/>
      <w:start w:val="4"/>
    </w:lvl>
  </w:abstractNum>
  <w:abstractNum w:abstractNumId="176">
    <w:nsid w:val="334A6F1F"/>
    <w:multiLevelType w:val="hybridMultilevel"/>
    <w:lvl w:ilvl="0">
      <w:lvlJc w:val="left"/>
      <w:lvlText w:val="(%1)"/>
      <w:numFmt w:val="lowerLetter"/>
      <w:start w:val="25"/>
    </w:lvl>
    <w:lvl w:ilvl="1">
      <w:lvlJc w:val="left"/>
      <w:lvlText w:val="(%2)"/>
      <w:numFmt w:val="lowerLetter"/>
      <w:start w:val="6"/>
    </w:lvl>
  </w:abstractNum>
  <w:abstractNum w:abstractNumId="177">
    <w:nsid w:val="2E5B12B8"/>
    <w:multiLevelType w:val="hybridMultilevel"/>
    <w:lvl w:ilvl="0">
      <w:lvlJc w:val="left"/>
      <w:lvlText w:val="(%1)"/>
      <w:numFmt w:val="lowerLetter"/>
      <w:start w:val="9"/>
    </w:lvl>
  </w:abstractNum>
  <w:abstractNum w:abstractNumId="178">
    <w:nsid w:val="5C03D76D"/>
    <w:multiLevelType w:val="hybridMultilevel"/>
    <w:lvl w:ilvl="0">
      <w:lvlJc w:val="left"/>
      <w:lvlText w:val="%1"/>
      <w:numFmt w:val="lowerLetter"/>
      <w:start w:val="1"/>
    </w:lvl>
    <w:lvl w:ilvl="1">
      <w:lvlJc w:val="left"/>
      <w:lvlText w:val="(%2)"/>
      <w:numFmt w:val="lowerLetter"/>
      <w:start w:val="1"/>
    </w:lvl>
  </w:abstractNum>
  <w:abstractNum w:abstractNumId="179">
    <w:nsid w:val="66A48D11"/>
    <w:multiLevelType w:val="hybridMultilevel"/>
    <w:lvl w:ilvl="0">
      <w:lvlJc w:val="left"/>
      <w:lvlText w:val="(%1)"/>
      <w:numFmt w:val="lowerLetter"/>
      <w:start w:val="35"/>
    </w:lvl>
    <w:lvl w:ilvl="1">
      <w:lvlJc w:val="left"/>
      <w:lvlText w:val="(%2)"/>
      <w:numFmt w:val="lowerLetter"/>
      <w:start w:val="4"/>
    </w:lvl>
  </w:abstractNum>
  <w:abstractNum w:abstractNumId="180">
    <w:nsid w:val="56C28E34"/>
    <w:multiLevelType w:val="hybridMultilevel"/>
    <w:lvl w:ilvl="0">
      <w:lvlJc w:val="left"/>
      <w:lvlText w:val="(%1)"/>
      <w:numFmt w:val="lowerLetter"/>
      <w:start w:val="2"/>
    </w:lvl>
  </w:abstractNum>
  <w:abstractNum w:abstractNumId="181">
    <w:nsid w:val="13916F2D"/>
    <w:multiLevelType w:val="hybridMultilevel"/>
    <w:lvl w:ilvl="0">
      <w:lvlJc w:val="left"/>
      <w:lvlText w:val="(%1)"/>
      <w:numFmt w:val="lowerLetter"/>
      <w:start w:val="2"/>
    </w:lvl>
  </w:abstractNum>
  <w:abstractNum w:abstractNumId="182">
    <w:nsid w:val="435D38D"/>
    <w:multiLevelType w:val="hybridMultilevel"/>
    <w:lvl w:ilvl="0">
      <w:lvlJc w:val="left"/>
      <w:lvlText w:val="(%1)"/>
      <w:numFmt w:val="lowerLetter"/>
      <w:start w:val="5"/>
    </w:lvl>
  </w:abstractNum>
  <w:abstractNum w:abstractNumId="183">
    <w:nsid w:val="822C0EF"/>
    <w:multiLevelType w:val="hybridMultilevel"/>
    <w:lvl w:ilvl="0">
      <w:lvlJc w:val="left"/>
      <w:lvlText w:val="(%1)"/>
      <w:numFmt w:val="lowerLetter"/>
      <w:start w:val="2"/>
    </w:lvl>
  </w:abstractNum>
  <w:abstractNum w:abstractNumId="184">
    <w:nsid w:val="57C5BB4F"/>
    <w:multiLevelType w:val="hybridMultilevel"/>
    <w:lvl w:ilvl="0">
      <w:lvlJc w:val="left"/>
      <w:lvlText w:val="&amp;"/>
      <w:numFmt w:val="bullet"/>
      <w:start w:val="1"/>
    </w:lvl>
    <w:lvl w:ilvl="1">
      <w:lvlJc w:val="left"/>
      <w:lvlText w:val="(%2)"/>
      <w:numFmt w:val="lowerLetter"/>
      <w:start w:val="2"/>
    </w:lvl>
  </w:abstractNum>
  <w:abstractNum w:abstractNumId="185">
    <w:nsid w:val="1803D089"/>
    <w:multiLevelType w:val="hybridMultilevel"/>
    <w:lvl w:ilvl="0">
      <w:lvlJc w:val="left"/>
      <w:lvlText w:val="%1"/>
      <w:numFmt w:val="lowerLetter"/>
      <w:start w:val="1"/>
    </w:lvl>
    <w:lvl w:ilvl="1">
      <w:lvlJc w:val="left"/>
      <w:lvlText w:val="(%2)"/>
      <w:numFmt w:val="lowerRoman"/>
      <w:start w:val="1"/>
    </w:lvl>
  </w:abstractNum>
  <w:abstractNum w:abstractNumId="186">
    <w:nsid w:val="4F3A06D4"/>
    <w:multiLevelType w:val="hybridMultilevel"/>
    <w:lvl w:ilvl="0">
      <w:lvlJc w:val="left"/>
      <w:lvlText w:val="(%1)"/>
      <w:numFmt w:val="lowerLetter"/>
      <w:start w:val="2"/>
    </w:lvl>
    <w:lvl w:ilvl="1">
      <w:lvlJc w:val="left"/>
      <w:lvlText w:val="%2"/>
      <w:numFmt w:val="lowerRoman"/>
      <w:start w:val="1"/>
    </w:lvl>
  </w:abstractNum>
  <w:abstractNum w:abstractNumId="187">
    <w:nsid w:val="59A377B6"/>
    <w:multiLevelType w:val="hybridMultilevel"/>
    <w:lvl w:ilvl="0">
      <w:lvlJc w:val="left"/>
      <w:lvlText w:val="(%1)"/>
      <w:numFmt w:val="lowerLetter"/>
      <w:start w:val="2"/>
    </w:lvl>
  </w:abstractNum>
  <w:abstractNum w:abstractNumId="188">
    <w:nsid w:val="48AEB063"/>
    <w:multiLevelType w:val="hybridMultilevel"/>
    <w:lvl w:ilvl="0">
      <w:lvlJc w:val="left"/>
      <w:lvlText w:val="(%1)"/>
      <w:numFmt w:val="lowerLetter"/>
      <w:start w:val="1"/>
    </w:lvl>
  </w:abstractNum>
  <w:abstractNum w:abstractNumId="189">
    <w:nsid w:val="24E135"/>
    <w:multiLevelType w:val="hybridMultilevel"/>
    <w:lvl w:ilvl="0">
      <w:lvlJc w:val="left"/>
      <w:lvlText w:val="(%1)"/>
      <w:numFmt w:val="lowerLetter"/>
      <w:start w:val="4"/>
    </w:lvl>
  </w:abstractNum>
  <w:abstractNum w:abstractNumId="190">
    <w:nsid w:val="BB13C1"/>
    <w:multiLevelType w:val="hybridMultilevel"/>
    <w:lvl w:ilvl="0">
      <w:lvlJc w:val="left"/>
      <w:lvlText w:val="%1"/>
      <w:numFmt w:val="lowerLetter"/>
      <w:start w:val="1"/>
    </w:lvl>
    <w:lvl w:ilvl="1">
      <w:lvlJc w:val="left"/>
      <w:lvlText w:val="(%2)"/>
      <w:numFmt w:val="lowerLetter"/>
      <w:start w:val="1"/>
    </w:lvl>
  </w:abstractNum>
  <w:abstractNum w:abstractNumId="191">
    <w:nsid w:val="271210C7"/>
    <w:multiLevelType w:val="hybridMultilevel"/>
    <w:lvl w:ilvl="0">
      <w:lvlJc w:val="left"/>
      <w:lvlText w:val="(%1)"/>
      <w:numFmt w:val="lowerLetter"/>
      <w:start w:val="24"/>
    </w:lvl>
    <w:lvl w:ilvl="1">
      <w:lvlJc w:val="left"/>
      <w:lvlText w:val="(%2)"/>
      <w:numFmt w:val="lowerLetter"/>
      <w:start w:val="2"/>
    </w:lvl>
  </w:abstractNum>
  <w:abstractNum w:abstractNumId="192">
    <w:nsid w:val="217B22E4"/>
    <w:multiLevelType w:val="hybridMultilevel"/>
    <w:lvl w:ilvl="0">
      <w:lvlJc w:val="left"/>
      <w:lvlText w:val="(%1)"/>
      <w:numFmt w:val="lowerLetter"/>
      <w:start w:val="3"/>
    </w:lvl>
  </w:abstractNum>
  <w:abstractNum w:abstractNumId="193">
    <w:nsid w:val="53E31A24"/>
    <w:multiLevelType w:val="hybridMultilevel"/>
    <w:lvl w:ilvl="0">
      <w:lvlJc w:val="left"/>
      <w:lvlText w:val="(%1)"/>
      <w:numFmt w:val="lowerLetter"/>
      <w:start w:val="1"/>
    </w:lvl>
  </w:abstractNum>
  <w:abstractNum w:abstractNumId="194">
    <w:nsid w:val="6DC45E83"/>
    <w:multiLevelType w:val="hybridMultilevel"/>
    <w:lvl w:ilvl="0">
      <w:lvlJc w:val="left"/>
      <w:lvlText w:val="(%1)"/>
      <w:numFmt w:val="lowerLetter"/>
      <w:start w:val="3"/>
    </w:lvl>
  </w:abstractNum>
  <w:abstractNum w:abstractNumId="195">
    <w:nsid w:val="17304A67"/>
    <w:multiLevelType w:val="hybridMultilevel"/>
    <w:lvl w:ilvl="0">
      <w:lvlJc w:val="left"/>
      <w:lvlText w:val="(%1)"/>
      <w:numFmt w:val="lowerLetter"/>
      <w:start w:val="1"/>
    </w:lvl>
    <w:lvl w:ilvl="1">
      <w:lvlJc w:val="left"/>
      <w:lvlText w:val="(%2)"/>
      <w:numFmt w:val="lowerRoman"/>
      <w:start w:val="1"/>
    </w:lvl>
  </w:abstractNum>
  <w:abstractNum w:abstractNumId="196">
    <w:nsid w:val="2BB180D8"/>
    <w:multiLevelType w:val="hybridMultilevel"/>
    <w:lvl w:ilvl="0">
      <w:lvlJc w:val="left"/>
      <w:lvlText w:val="(%1)"/>
      <w:numFmt w:val="lowerLetter"/>
      <w:start w:val="5"/>
    </w:lvl>
  </w:abstractNum>
  <w:abstractNum w:abstractNumId="197">
    <w:nsid w:val="556B69ED"/>
    <w:multiLevelType w:val="hybridMultilevel"/>
    <w:lvl w:ilvl="0">
      <w:lvlJc w:val="left"/>
      <w:lvlText w:val="(%1)"/>
      <w:numFmt w:val="lowerLetter"/>
      <w:start w:val="2"/>
    </w:lvl>
  </w:abstractNum>
  <w:abstractNum w:abstractNumId="198">
    <w:nsid w:val="70836196"/>
    <w:multiLevelType w:val="hybridMultilevel"/>
    <w:lvl w:ilvl="0">
      <w:lvlJc w:val="left"/>
      <w:lvlText w:val="(%1)"/>
      <w:numFmt w:val="lowerLetter"/>
      <w:start w:val="2"/>
    </w:lvl>
    <w:lvl w:ilvl="1">
      <w:lvlJc w:val="left"/>
      <w:lvlText w:val="(%2)"/>
      <w:numFmt w:val="lowerRoman"/>
      <w:start w:val="1"/>
    </w:lvl>
  </w:abstractNum>
  <w:abstractNum w:abstractNumId="199">
    <w:nsid w:val="539F7F12"/>
    <w:multiLevelType w:val="hybridMultilevel"/>
    <w:lvl w:ilvl="0">
      <w:lvlJc w:val="left"/>
      <w:lvlText w:val="-"/>
      <w:numFmt w:val="bullet"/>
      <w:start w:val="1"/>
    </w:lvl>
    <w:lvl w:ilvl="1">
      <w:lvlJc w:val="left"/>
      <w:lvlText w:val="%2."/>
      <w:numFmt w:val="decimal"/>
      <w:start w:val="1"/>
    </w:lvl>
  </w:abstractNum>
  <w:abstractNum w:abstractNumId="200">
    <w:nsid w:val="2817E7EC"/>
    <w:multiLevelType w:val="hybridMultilevel"/>
    <w:lvl w:ilvl="0">
      <w:lvlJc w:val="left"/>
      <w:lvlText w:val="(%1)"/>
      <w:numFmt w:val="lowerRoman"/>
      <w:start w:val="1"/>
    </w:lvl>
  </w:abstractNum>
  <w:abstractNum w:abstractNumId="201">
    <w:nsid w:val="71482545"/>
    <w:multiLevelType w:val="hybridMultilevel"/>
    <w:lvl w:ilvl="0">
      <w:lvlJc w:val="left"/>
      <w:lvlText w:val="(%1)"/>
      <w:numFmt w:val="lowerLetter"/>
      <w:start w:val="1"/>
    </w:lvl>
    <w:lvl w:ilvl="1">
      <w:lvlJc w:val="left"/>
      <w:lvlText w:val="(%2)"/>
      <w:numFmt w:val="lowerLetter"/>
      <w:start w:val="3"/>
    </w:lvl>
  </w:abstractNum>
  <w:abstractNum w:abstractNumId="202">
    <w:nsid w:val="17D78639"/>
    <w:multiLevelType w:val="hybridMultilevel"/>
    <w:lvl w:ilvl="0">
      <w:lvlJc w:val="left"/>
      <w:lvlText w:val="(%1)"/>
      <w:numFmt w:val="lowerLetter"/>
      <w:start w:val="24"/>
    </w:lvl>
  </w:abstractNum>
  <w:abstractNum w:abstractNumId="203">
    <w:nsid w:val="141D2302"/>
    <w:multiLevelType w:val="hybridMultilevel"/>
    <w:lvl w:ilvl="0">
      <w:lvlJc w:val="left"/>
      <w:lvlText w:val="%1"/>
      <w:numFmt w:val="decimal"/>
      <w:start w:val="1"/>
    </w:lvl>
    <w:lvl w:ilvl="1">
      <w:lvlJc w:val="left"/>
      <w:lvlText w:val="(%2)"/>
      <w:numFmt w:val="lowerLetter"/>
      <w:start w:val="1"/>
    </w:lvl>
  </w:abstractNum>
  <w:abstractNum w:abstractNumId="204">
    <w:nsid w:val="407168D8"/>
    <w:multiLevelType w:val="hybridMultilevel"/>
    <w:lvl w:ilvl="0">
      <w:lvlJc w:val="left"/>
      <w:lvlText w:val="%1."/>
      <w:numFmt w:val="decimal"/>
      <w:start w:val="3"/>
    </w:lvl>
    <w:lvl w:ilvl="1">
      <w:lvlJc w:val="left"/>
      <w:lvlText w:val="%2"/>
      <w:numFmt w:val="lowerLetter"/>
      <w:start w:val="1"/>
    </w:lvl>
  </w:abstractNum>
  <w:abstractNum w:abstractNumId="205">
    <w:nsid w:val="6A1B45E5"/>
    <w:multiLevelType w:val="hybridMultilevel"/>
    <w:lvl w:ilvl="0">
      <w:lvlJc w:val="left"/>
      <w:lvlText w:val="%1."/>
      <w:numFmt w:val="decimal"/>
      <w:start w:val="7"/>
    </w:lvl>
  </w:abstractNum>
  <w:abstractNum w:abstractNumId="206">
    <w:nsid w:val="567BD50A"/>
    <w:multiLevelType w:val="hybridMultilevel"/>
    <w:lvl w:ilvl="0">
      <w:lvlJc w:val="left"/>
      <w:lvlText w:val="%1"/>
      <w:numFmt w:val="lowerRoman"/>
      <w:start w:val="1"/>
    </w:lvl>
    <w:lvl w:ilvl="1">
      <w:lvlJc w:val="left"/>
      <w:lvlText w:val="%2."/>
      <w:numFmt w:val="decimal"/>
      <w:start w:val="13"/>
    </w:lvl>
  </w:abstractNum>
  <w:abstractNum w:abstractNumId="207">
    <w:nsid w:val="73BBD7F8"/>
    <w:multiLevelType w:val="hybridMultilevel"/>
    <w:lvl w:ilvl="0">
      <w:lvlJc w:val="left"/>
      <w:lvlText w:val="(%1)"/>
      <w:numFmt w:val="lowerRoman"/>
      <w:start w:val="1"/>
    </w:lvl>
    <w:lvl w:ilvl="1">
      <w:lvlJc w:val="left"/>
      <w:lvlText w:val="%2."/>
      <w:numFmt w:val="decimal"/>
      <w:start w:val="20"/>
    </w:lvl>
  </w:abstractNum>
  <w:abstractNum w:abstractNumId="208">
    <w:nsid w:val="1876589D"/>
    <w:multiLevelType w:val="hybridMultilevel"/>
    <w:lvl w:ilvl="0">
      <w:lvlJc w:val="left"/>
      <w:lvlText w:val="%1."/>
      <w:numFmt w:val="decimal"/>
      <w:start w:val="21"/>
    </w:lvl>
  </w:abstractNum>
  <w:abstractNum w:abstractNumId="209">
    <w:nsid w:val="327FAC77"/>
    <w:multiLevelType w:val="hybridMultilevel"/>
    <w:lvl w:ilvl="0">
      <w:lvlJc w:val="left"/>
      <w:lvlText w:val="&amp;"/>
      <w:numFmt w:val="bullet"/>
      <w:start w:val="1"/>
    </w:lvl>
  </w:abstractNum>
  <w:abstractNum w:abstractNumId="210">
    <w:nsid w:val="5A606509"/>
    <w:multiLevelType w:val="hybridMultilevel"/>
    <w:lvl w:ilvl="0">
      <w:lvlJc w:val="left"/>
      <w:lvlText w:val="-"/>
      <w:numFmt w:val="bullet"/>
      <w:start w:val="1"/>
    </w:lvl>
    <w:lvl w:ilvl="1">
      <w:lvlJc w:val="left"/>
      <w:lvlText w:val="%2."/>
      <w:numFmt w:val="decimal"/>
      <w:start w:val="1"/>
    </w:lvl>
  </w:abstractNum>
  <w:abstractNum w:abstractNumId="211">
    <w:nsid w:val="6F38E6D1"/>
    <w:multiLevelType w:val="hybridMultilevel"/>
    <w:lvl w:ilvl="0">
      <w:lvlJc w:val="left"/>
      <w:lvlText w:val="(%1)"/>
      <w:numFmt w:val="lowerRoman"/>
      <w:start w:val="1"/>
    </w:lvl>
  </w:abstractNum>
  <w:abstractNum w:abstractNumId="212">
    <w:nsid w:val="46111BA5"/>
    <w:multiLevelType w:val="hybridMultilevel"/>
    <w:lvl w:ilvl="0">
      <w:lvlJc w:val="left"/>
      <w:lvlText w:val="(%1)"/>
      <w:numFmt w:val="lowerLetter"/>
      <w:start w:val="24"/>
    </w:lvl>
  </w:abstractNum>
  <w:abstractNum w:abstractNumId="213">
    <w:nsid w:val="5E963896"/>
    <w:multiLevelType w:val="hybridMultilevel"/>
    <w:lvl w:ilvl="0">
      <w:lvlJc w:val="left"/>
      <w:lvlText w:val="(%1)"/>
      <w:numFmt w:val="lowerLetter"/>
      <w:start w:val="1"/>
    </w:lvl>
    <w:lvl w:ilvl="1">
      <w:lvlJc w:val="left"/>
      <w:lvlText w:val="%2."/>
      <w:numFmt w:val="decimal"/>
      <w:start w:val="3"/>
    </w:lvl>
  </w:abstractNum>
  <w:abstractNum w:abstractNumId="214">
    <w:nsid w:val="775BA7C1"/>
    <w:multiLevelType w:val="hybridMultilevel"/>
    <w:lvl w:ilvl="0">
      <w:lvlJc w:val="left"/>
      <w:lvlText w:val="%1."/>
      <w:numFmt w:val="decimal"/>
      <w:start w:val="4"/>
    </w:lvl>
  </w:abstractNum>
  <w:abstractNum w:abstractNumId="215">
    <w:nsid w:val="1DD6D6F4"/>
    <w:multiLevelType w:val="hybridMultilevel"/>
    <w:lvl w:ilvl="0">
      <w:lvlJc w:val="left"/>
      <w:lvlText w:val="%1."/>
      <w:numFmt w:val="decimal"/>
      <w:start w:val="10"/>
    </w:lvl>
  </w:abstractNum>
  <w:abstractNum w:abstractNumId="216">
    <w:nsid w:val="769A091F"/>
    <w:multiLevelType w:val="hybridMultilevel"/>
    <w:lvl w:ilvl="0">
      <w:lvlJc w:val="left"/>
      <w:lvlText w:val="%1."/>
      <w:numFmt w:val="decimal"/>
      <w:start w:val="12"/>
    </w:lvl>
  </w:abstractNum>
  <w:abstractNum w:abstractNumId="217">
    <w:nsid w:val="4695AE95"/>
    <w:multiLevelType w:val="hybridMultilevel"/>
    <w:lvl w:ilvl="0">
      <w:lvlJc w:val="left"/>
      <w:lvlText w:val="%1"/>
      <w:numFmt w:val="lowerRoman"/>
      <w:start w:val="1"/>
    </w:lvl>
    <w:lvl w:ilvl="1">
      <w:lvlJc w:val="left"/>
      <w:lvlText w:val="%2."/>
      <w:numFmt w:val="decimal"/>
      <w:start w:val="19"/>
    </w:lvl>
    <w:lvl w:ilvl="2">
      <w:lvlJc w:val="left"/>
      <w:lvlText w:val="%3."/>
      <w:numFmt w:val="decimal"/>
      <w:start w:val="20"/>
    </w:lvl>
  </w:abstractNum>
  <w:abstractNum w:abstractNumId="218">
    <w:nsid w:val="777A4EAA"/>
    <w:multiLevelType w:val="hybridMultilevel"/>
    <w:lvl w:ilvl="0">
      <w:lvlJc w:val="left"/>
      <w:lvlText w:val="(%1)"/>
      <w:numFmt w:val="lowerRoman"/>
      <w:start w:val="1"/>
    </w:lvl>
    <w:lvl w:ilvl="1">
      <w:lvlJc w:val="left"/>
      <w:lvlText w:val="%2"/>
      <w:numFmt w:val="decimal"/>
      <w:start w:val="1"/>
    </w:lvl>
    <w:lvl w:ilvl="2">
      <w:lvlJc w:val="left"/>
      <w:lvlText w:val="%3."/>
      <w:numFmt w:val="decimal"/>
      <w:start w:val="22"/>
    </w:lvl>
  </w:abstractNum>
  <w:abstractNum w:abstractNumId="219">
    <w:nsid w:val="3F48B982"/>
    <w:multiLevelType w:val="hybridMultilevel"/>
    <w:lvl w:ilvl="0">
      <w:lvlJc w:val="left"/>
      <w:lvlText w:val="%1)"/>
      <w:numFmt w:val="decimal"/>
      <w:start w:val="6"/>
    </w:lvl>
  </w:abstractNum>
  <w:abstractNum w:abstractNumId="220">
    <w:nsid w:val="46BA8FCA"/>
    <w:multiLevelType w:val="hybridMultilevel"/>
    <w:lvl w:ilvl="0">
      <w:lvlJc w:val="left"/>
      <w:lvlText w:val="(%1)"/>
      <w:numFmt w:val="lowerLetter"/>
      <w:start w:val="2"/>
    </w:lvl>
  </w:abstractNum>
  <w:abstractNum w:abstractNumId="221">
    <w:nsid w:val="7835626C"/>
    <w:multiLevelType w:val="hybridMultilevel"/>
    <w:lvl w:ilvl="0">
      <w:lvlJc w:val="left"/>
      <w:lvlText w:val="%1"/>
      <w:numFmt w:val="lowerLetter"/>
      <w:start w:val="1"/>
    </w:lvl>
    <w:lvl w:ilvl="1">
      <w:lvlJc w:val="left"/>
      <w:lvlText w:val="(%2)"/>
      <w:numFmt w:val="lowerLetter"/>
      <w:start w:val="3"/>
    </w:lvl>
  </w:abstractNum>
  <w:abstractNum w:abstractNumId="222">
    <w:nsid w:val="665ACA49"/>
    <w:multiLevelType w:val="hybridMultilevel"/>
    <w:lvl w:ilvl="0">
      <w:lvlJc w:val="left"/>
      <w:lvlText w:val="(%1)"/>
      <w:numFmt w:val="lowerLetter"/>
      <w:start w:val="35"/>
    </w:lvl>
    <w:lvl w:ilvl="1">
      <w:lvlJc w:val="left"/>
      <w:lvlText w:val="(%2)"/>
      <w:numFmt w:val="lowerLetter"/>
      <w:start w:val="5"/>
    </w:lvl>
  </w:abstractNum>
  <w:abstractNum w:abstractNumId="223">
    <w:nsid w:val="6835B2AE"/>
    <w:multiLevelType w:val="hybridMultilevel"/>
    <w:lvl w:ilvl="0">
      <w:lvlJc w:val="left"/>
      <w:lvlText w:val="(%1)"/>
      <w:numFmt w:val="lowerLetter"/>
      <w:start w:val="35"/>
    </w:lvl>
    <w:lvl w:ilvl="1">
      <w:lvlJc w:val="left"/>
      <w:lvlText w:val="(%2)"/>
      <w:numFmt w:val="lowerLetter"/>
      <w:start w:val="6"/>
    </w:lvl>
  </w:abstractNum>
  <w:abstractNum w:abstractNumId="224">
    <w:nsid w:val="4C187C90"/>
    <w:multiLevelType w:val="hybridMultilevel"/>
    <w:lvl w:ilvl="0">
      <w:lvlJc w:val="left"/>
      <w:lvlText w:val="(%1)"/>
      <w:numFmt w:val="lowerLetter"/>
      <w:start w:val="1"/>
    </w:lvl>
  </w:abstractNum>
  <w:abstractNum w:abstractNumId="225">
    <w:nsid w:val="541F28CD"/>
    <w:multiLevelType w:val="hybridMultilevel"/>
    <w:lvl w:ilvl="0">
      <w:lvlJc w:val="left"/>
      <w:lvlText w:val="(%1)"/>
      <w:numFmt w:val="lowerLetter"/>
      <w:start w:val="2"/>
    </w:lvl>
  </w:abstractNum>
  <w:abstractNum w:abstractNumId="226">
    <w:nsid w:val="7F65FD16"/>
    <w:multiLevelType w:val="hybridMultilevel"/>
    <w:lvl w:ilvl="0">
      <w:lvlJc w:val="left"/>
      <w:lvlText w:val="(%1)"/>
      <w:numFmt w:val="lowerLetter"/>
      <w:start w:val="2"/>
    </w:lvl>
  </w:abstractNum>
  <w:abstractNum w:abstractNumId="227">
    <w:nsid w:val="77C9FD68"/>
    <w:multiLevelType w:val="hybridMultilevel"/>
    <w:lvl w:ilvl="0">
      <w:lvlJc w:val="left"/>
      <w:lvlText w:val="(%1)"/>
      <w:numFmt w:val="lowerLetter"/>
      <w:start w:val="4"/>
    </w:lvl>
  </w:abstractNum>
  <w:abstractNum w:abstractNumId="228">
    <w:nsid w:val="298A92BA"/>
    <w:multiLevelType w:val="hybridMultilevel"/>
    <w:lvl w:ilvl="0">
      <w:lvlJc w:val="left"/>
      <w:lvlText w:val="(%1)"/>
      <w:numFmt w:val="lowerLetter"/>
      <w:start w:val="2"/>
    </w:lvl>
  </w:abstractNum>
  <w:abstractNum w:abstractNumId="229">
    <w:nsid w:val="6FE95EAC"/>
    <w:multiLevelType w:val="hybridMultilevel"/>
    <w:lvl w:ilvl="0">
      <w:lvlJc w:val="left"/>
      <w:lvlText w:val="(%1)"/>
      <w:numFmt w:val="lowerLetter"/>
      <w:start w:val="2"/>
    </w:lvl>
  </w:abstractNum>
  <w:abstractNum w:abstractNumId="230">
    <w:nsid w:val="4B697C7A"/>
    <w:multiLevelType w:val="hybridMultilevel"/>
    <w:lvl w:ilvl="0">
      <w:lvlJc w:val="left"/>
      <w:lvlText w:val="(%1)"/>
      <w:numFmt w:val="lowerLetter"/>
      <w:start w:val="4"/>
    </w:lvl>
  </w:abstractNum>
  <w:abstractNum w:abstractNumId="231">
    <w:nsid w:val="51A27AA6"/>
    <w:multiLevelType w:val="hybridMultilevel"/>
    <w:lvl w:ilvl="0">
      <w:lvlJc w:val="left"/>
      <w:lvlText w:val="(%1)"/>
      <w:numFmt w:val="lowerLetter"/>
      <w:start w:val="2"/>
    </w:lvl>
  </w:abstractNum>
  <w:abstractNum w:abstractNumId="232">
    <w:nsid w:val="613183F2"/>
    <w:multiLevelType w:val="hybridMultilevel"/>
    <w:lvl w:ilvl="0">
      <w:lvlJc w:val="left"/>
      <w:lvlText w:val="(%1)"/>
      <w:numFmt w:val="lowerRoman"/>
      <w:start w:val="2"/>
    </w:lvl>
  </w:abstractNum>
  <w:abstractNum w:abstractNumId="233">
    <w:nsid w:val="634102B4"/>
    <w:multiLevelType w:val="hybridMultilevel"/>
    <w:lvl w:ilvl="0">
      <w:lvlJc w:val="left"/>
      <w:lvlText w:val="-"/>
      <w:numFmt w:val="bullet"/>
      <w:start w:val="1"/>
    </w:lvl>
  </w:abstractNum>
  <w:abstractNum w:abstractNumId="234">
    <w:nsid w:val="65BF9DA8"/>
    <w:multiLevelType w:val="hybridMultilevel"/>
    <w:lvl w:ilvl="0">
      <w:lvlJc w:val="left"/>
      <w:lvlText w:val="-"/>
      <w:numFmt w:val="bullet"/>
      <w:start w:val="1"/>
    </w:lvl>
  </w:abstractNum>
  <w:abstractNum w:abstractNumId="235">
    <w:nsid w:val="21A2ECCA"/>
    <w:multiLevelType w:val="hybridMultilevel"/>
    <w:lvl w:ilvl="0">
      <w:lvlJc w:val="left"/>
      <w:lvlText w:val="(%1)"/>
      <w:numFmt w:val="lowerLetter"/>
      <w:start w:val="1"/>
    </w:lvl>
  </w:abstractNum>
  <w:abstractNum w:abstractNumId="236">
    <w:nsid w:val="4D5C4899"/>
    <w:multiLevelType w:val="hybridMultilevel"/>
    <w:lvl w:ilvl="0">
      <w:lvlJc w:val="left"/>
      <w:lvlText w:val="2"/>
      <w:numFmt w:val="bullet"/>
      <w:start w:val="1"/>
    </w:lvl>
  </w:abstractNum>
  <w:abstractNum w:abstractNumId="237">
    <w:nsid w:val="3C3B72B2"/>
    <w:multiLevelType w:val="hybridMultilevel"/>
    <w:lvl w:ilvl="0">
      <w:lvlJc w:val="left"/>
      <w:lvlText w:val="5"/>
      <w:numFmt w:val="bullet"/>
      <w:start w:val="1"/>
    </w:lvl>
  </w:abstractNum>
  <w:abstractNum w:abstractNumId="238">
    <w:nsid w:val="155EC4C2"/>
    <w:multiLevelType w:val="hybridMultilevel"/>
    <w:lvl w:ilvl="0">
      <w:lvlJc w:val="left"/>
      <w:lvlText w:val="%1"/>
      <w:numFmt w:val="decimal"/>
      <w:start w:val="10"/>
    </w:lvl>
  </w:abstractNum>
  <w:abstractNum w:abstractNumId="239">
    <w:nsid w:val="65D2A137"/>
    <w:multiLevelType w:val="hybridMultilevel"/>
    <w:lvl w:ilvl="0">
      <w:lvlJc w:val="left"/>
      <w:lvlText w:val="%1"/>
      <w:numFmt w:val="decimal"/>
      <w:start w:val="21"/>
    </w:lvl>
  </w:abstractNum>
  <w:abstractNum w:abstractNumId="240">
    <w:nsid w:val="6EBB1F2A"/>
    <w:multiLevelType w:val="hybridMultilevel"/>
    <w:lvl w:ilvl="0">
      <w:lvlJc w:val="left"/>
      <w:lvlText w:val="(%1)"/>
      <w:numFmt w:val="lowerLetter"/>
      <w:start w:val="1"/>
    </w:lvl>
  </w:abstractNum>
  <w:abstractNum w:abstractNumId="241">
    <w:nsid w:val="6FBF29CB"/>
    <w:multiLevelType w:val="hybridMultilevel"/>
    <w:lvl w:ilvl="0">
      <w:lvlJc w:val="left"/>
      <w:lvlText w:val="(%1)"/>
      <w:numFmt w:val="decimal"/>
      <w:start w:val="1"/>
    </w:lvl>
    <w:lvl w:ilvl="1">
      <w:lvlJc w:val="left"/>
      <w:lvlText w:val="(%2)"/>
      <w:numFmt w:val="lowerRoman"/>
      <w:start w:val="1"/>
    </w:lvl>
  </w:abstractNum>
  <w:abstractNum w:abstractNumId="242">
    <w:nsid w:val="550B8808"/>
    <w:multiLevelType w:val="hybridMultilevel"/>
    <w:lvl w:ilvl="0">
      <w:lvlJc w:val="left"/>
      <w:lvlText w:val="(%1)"/>
      <w:numFmt w:val="decimal"/>
      <w:start w:val="8"/>
    </w:lvl>
  </w:abstractNum>
  <w:abstractNum w:abstractNumId="243">
    <w:nsid w:val="34CC3ACF"/>
    <w:multiLevelType w:val="hybridMultilevel"/>
    <w:lvl w:ilvl="0">
      <w:lvlJc w:val="left"/>
      <w:lvlText w:val="(%1)"/>
      <w:numFmt w:val="lowerLetter"/>
      <w:start w:val="2"/>
    </w:lvl>
  </w:abstractNum>
  <w:abstractNum w:abstractNumId="244">
    <w:nsid w:val="4E556261"/>
    <w:multiLevelType w:val="hybridMultilevel"/>
    <w:lvl w:ilvl="0">
      <w:lvlJc w:val="left"/>
      <w:lvlText w:val="-"/>
      <w:numFmt w:val="bullet"/>
      <w:start w:val="1"/>
    </w:lvl>
  </w:abstractNum>
  <w:abstractNum w:abstractNumId="245">
    <w:nsid w:val="4C672FC9"/>
    <w:multiLevelType w:val="hybridMultilevel"/>
    <w:lvl w:ilvl="0">
      <w:lvlJc w:val="left"/>
      <w:lvlText w:val="-"/>
      <w:numFmt w:val="bullet"/>
      <w:start w:val="1"/>
    </w:lvl>
  </w:abstractNum>
  <w:abstractNum w:abstractNumId="246">
    <w:nsid w:val="52A311C3"/>
    <w:multiLevelType w:val="hybridMultilevel"/>
    <w:lvl w:ilvl="0">
      <w:lvlJc w:val="left"/>
      <w:lvlText w:val="-"/>
      <w:numFmt w:val="bullet"/>
      <w:start w:val="1"/>
    </w:lvl>
  </w:abstractNum>
  <w:abstractNum w:abstractNumId="247">
    <w:nsid w:val="44EF6B80"/>
    <w:multiLevelType w:val="hybridMultilevel"/>
    <w:lvl w:ilvl="0">
      <w:lvlJc w:val="left"/>
      <w:lvlText w:val="-"/>
      <w:numFmt w:val="bullet"/>
      <w:start w:val="1"/>
    </w:lvl>
  </w:abstractNum>
  <w:abstractNum w:abstractNumId="248">
    <w:nsid w:val="12FCDE5E"/>
    <w:multiLevelType w:val="hybridMultilevel"/>
    <w:lvl w:ilvl="0">
      <w:lvlJc w:val="left"/>
      <w:lvlText w:val="-"/>
      <w:numFmt w:val="bullet"/>
      <w:start w:val="1"/>
    </w:lvl>
  </w:abstractNum>
  <w:abstractNum w:abstractNumId="249">
    <w:nsid w:val="4A1D606E"/>
    <w:multiLevelType w:val="hybridMultilevel"/>
    <w:lvl w:ilvl="0">
      <w:lvlJc w:val="left"/>
      <w:lvlText w:val="-"/>
      <w:numFmt w:val="bullet"/>
      <w:start w:val="1"/>
    </w:lvl>
  </w:abstractNum>
  <w:abstractNum w:abstractNumId="250">
    <w:nsid w:val="4382503"/>
    <w:multiLevelType w:val="hybridMultilevel"/>
    <w:lvl w:ilvl="0">
      <w:lvlJc w:val="left"/>
      <w:lvlText w:val="-"/>
      <w:numFmt w:val="bullet"/>
      <w:start w:val="1"/>
    </w:lvl>
  </w:abstractNum>
  <w:abstractNum w:abstractNumId="251">
    <w:nsid w:val="59B76E28"/>
    <w:multiLevelType w:val="hybridMultilevel"/>
    <w:lvl w:ilvl="0">
      <w:lvlJc w:val="left"/>
      <w:lvlText w:val="-"/>
      <w:numFmt w:val="bullet"/>
      <w:start w:val="1"/>
    </w:lvl>
  </w:abstractNum>
  <w:abstractNum w:abstractNumId="252">
    <w:nsid w:val="4252C2DA"/>
    <w:multiLevelType w:val="hybridMultilevel"/>
    <w:lvl w:ilvl="0">
      <w:lvlJc w:val="left"/>
      <w:lvlText w:val="-"/>
      <w:numFmt w:val="bullet"/>
      <w:start w:val="1"/>
    </w:lvl>
  </w:abstractNum>
  <w:abstractNum w:abstractNumId="253">
    <w:nsid w:val="6A92EF4C"/>
    <w:multiLevelType w:val="hybridMultilevel"/>
    <w:lvl w:ilvl="0">
      <w:lvlJc w:val="left"/>
      <w:lvlText w:val="-"/>
      <w:numFmt w:val="bullet"/>
      <w:start w:val="1"/>
    </w:lvl>
  </w:abstractNum>
  <w:abstractNum w:abstractNumId="254">
    <w:nsid w:val="41ED20D7"/>
    <w:multiLevelType w:val="hybridMultilevel"/>
    <w:lvl w:ilvl="0">
      <w:lvlJc w:val="left"/>
      <w:lvlText w:val="-"/>
      <w:numFmt w:val="bullet"/>
      <w:start w:val="1"/>
    </w:lvl>
  </w:abstractNum>
  <w:abstractNum w:abstractNumId="255">
    <w:nsid w:val="E6B3F6A"/>
    <w:multiLevelType w:val="hybridMultilevel"/>
    <w:lvl w:ilvl="0">
      <w:lvlJc w:val="left"/>
      <w:lvlText w:val="-"/>
      <w:numFmt w:val="bullet"/>
      <w:start w:val="1"/>
    </w:lvl>
  </w:abstractNum>
  <w:abstractNum w:abstractNumId="256">
    <w:nsid w:val="3EB21819"/>
    <w:multiLevelType w:val="hybridMultilevel"/>
    <w:lvl w:ilvl="0">
      <w:lvlJc w:val="left"/>
      <w:lvlText w:val="-"/>
      <w:numFmt w:val="bullet"/>
      <w:start w:val="1"/>
    </w:lvl>
  </w:abstractNum>
  <w:abstractNum w:abstractNumId="257">
    <w:nsid w:val="41531DED"/>
    <w:multiLevelType w:val="hybridMultilevel"/>
    <w:lvl w:ilvl="0">
      <w:lvlJc w:val="left"/>
      <w:lvlText w:val="*"/>
      <w:numFmt w:val="bullet"/>
      <w:start w:val="1"/>
    </w:lvl>
  </w:abstractNum>
  <w:abstractNum w:abstractNumId="258">
    <w:nsid w:val="6353CD2"/>
    <w:multiLevelType w:val="hybridMultilevel"/>
    <w:lvl w:ilvl="0">
      <w:lvlJc w:val="left"/>
      <w:lvlText w:val="2"/>
      <w:numFmt w:val="bullet"/>
      <w:start w:val="1"/>
    </w:lvl>
  </w:abstractNum>
  <w:abstractNum w:abstractNumId="259">
    <w:nsid w:val="683CAAD3"/>
    <w:multiLevelType w:val="hybridMultilevel"/>
    <w:lvl w:ilvl="0">
      <w:lvlJc w:val="left"/>
      <w:lvlText w:val="5"/>
      <w:numFmt w:val="bullet"/>
      <w:start w:val="1"/>
    </w:lvl>
  </w:abstractNum>
  <w:abstractNum w:abstractNumId="260">
    <w:nsid w:val="313C7C99"/>
    <w:multiLevelType w:val="hybridMultilevel"/>
    <w:lvl w:ilvl="0">
      <w:lvlJc w:val="left"/>
      <w:lvlText w:val="%1"/>
      <w:numFmt w:val="decimal"/>
      <w:start w:val="10"/>
    </w:lvl>
  </w:abstractNum>
  <w:abstractNum w:abstractNumId="261">
    <w:nsid w:val="519EB94C"/>
    <w:multiLevelType w:val="hybridMultilevel"/>
    <w:lvl w:ilvl="0">
      <w:lvlJc w:val="left"/>
      <w:lvlText w:val="%1"/>
      <w:numFmt w:val="decimal"/>
      <w:start w:val="21"/>
    </w:lvl>
  </w:abstractNum>
  <w:abstractNum w:abstractNumId="262">
    <w:nsid w:val="39DF2579"/>
    <w:multiLevelType w:val="hybridMultilevel"/>
    <w:lvl w:ilvl="0">
      <w:lvlJc w:val="left"/>
      <w:lvlText w:val="(%1)"/>
      <w:numFmt w:val="lowerRoman"/>
      <w:start w:val="1"/>
    </w:lvl>
  </w:abstractNum>
  <w:abstractNum w:abstractNumId="263">
    <w:nsid w:val="126E008B"/>
    <w:multiLevelType w:val="hybridMultilevel"/>
    <w:lvl w:ilvl="0">
      <w:lvlJc w:val="left"/>
      <w:lvlText w:val="(%1)"/>
      <w:numFmt w:val="lowerRoman"/>
      <w:start w:val="5"/>
    </w:lvl>
  </w:abstractNum>
  <w:abstractNum w:abstractNumId="264">
    <w:nsid w:val="34DFBC00"/>
    <w:multiLevelType w:val="hybridMultilevel"/>
    <w:lvl w:ilvl="0">
      <w:lvlJc w:val="left"/>
      <w:lvlText w:val="(%1)"/>
      <w:numFmt w:val="lowerRoman"/>
      <w:start w:val="1"/>
    </w:lvl>
  </w:abstractNum>
  <w:abstractNum w:abstractNumId="265">
    <w:nsid w:val="1F9EC322"/>
    <w:multiLevelType w:val="hybridMultilevel"/>
    <w:lvl w:ilvl="0">
      <w:lvlJc w:val="left"/>
      <w:lvlText w:val="(%1)"/>
      <w:numFmt w:val="lowerRoman"/>
      <w:start w:val="4"/>
    </w:lvl>
  </w:abstractNum>
  <w:abstractNum w:abstractNumId="266">
    <w:nsid w:val="3410ED56"/>
    <w:multiLevelType w:val="hybridMultilevel"/>
    <w:lvl w:ilvl="0">
      <w:lvlJc w:val="left"/>
      <w:lvlText w:val="-"/>
      <w:numFmt w:val="bullet"/>
      <w:start w:val="1"/>
    </w:lvl>
  </w:abstractNum>
  <w:abstractNum w:abstractNumId="267">
    <w:nsid w:val="23C049A"/>
    <w:multiLevelType w:val="hybridMultilevel"/>
    <w:lvl w:ilvl="0">
      <w:lvlJc w:val="left"/>
      <w:lvlText w:val="-"/>
      <w:numFmt w:val="bullet"/>
      <w:start w:val="1"/>
    </w:lvl>
  </w:abstractNum>
  <w:abstractNum w:abstractNumId="268">
    <w:nsid w:val="5BDA35D4"/>
    <w:multiLevelType w:val="hybridMultilevel"/>
    <w:lvl w:ilvl="0">
      <w:lvlJc w:val="left"/>
      <w:lvlText w:val="-"/>
      <w:numFmt w:val="bullet"/>
      <w:start w:val="1"/>
    </w:lvl>
  </w:abstractNum>
  <w:abstractNum w:abstractNumId="269">
    <w:nsid w:val="496FB218"/>
    <w:multiLevelType w:val="hybridMultilevel"/>
    <w:lvl w:ilvl="0">
      <w:lvlJc w:val="left"/>
      <w:lvlText w:val="-"/>
      <w:numFmt w:val="bullet"/>
      <w:start w:val="1"/>
    </w:lvl>
  </w:abstractNum>
  <w:abstractNum w:abstractNumId="270">
    <w:nsid w:val="680EA5D1"/>
    <w:multiLevelType w:val="hybridMultilevel"/>
    <w:lvl w:ilvl="0">
      <w:lvlJc w:val="left"/>
      <w:lvlText w:val="-"/>
      <w:numFmt w:val="bullet"/>
      <w:start w:val="1"/>
    </w:lvl>
  </w:abstractNum>
  <w:abstractNum w:abstractNumId="271">
    <w:nsid w:val="4A9554FE"/>
    <w:multiLevelType w:val="hybridMultilevel"/>
    <w:lvl w:ilvl="0">
      <w:lvlJc w:val="left"/>
      <w:lvlText w:val="-"/>
      <w:numFmt w:val="bullet"/>
      <w:start w:val="1"/>
    </w:lvl>
  </w:abstractNum>
  <w:abstractNum w:abstractNumId="272">
    <w:nsid w:val="392EDBE4"/>
    <w:multiLevelType w:val="hybridMultilevel"/>
    <w:lvl w:ilvl="0">
      <w:lvlJc w:val="left"/>
      <w:lvlText w:val="-"/>
      <w:numFmt w:val="bullet"/>
      <w:start w:val="1"/>
    </w:lvl>
  </w:abstractNum>
  <w:abstractNum w:abstractNumId="273">
    <w:nsid w:val="3D1A2DD9"/>
    <w:multiLevelType w:val="hybridMultilevel"/>
    <w:lvl w:ilvl="0">
      <w:lvlJc w:val="left"/>
      <w:lvlText w:val="-"/>
      <w:numFmt w:val="bullet"/>
      <w:start w:val="1"/>
    </w:lvl>
  </w:abstractNum>
  <w:abstractNum w:abstractNumId="274">
    <w:nsid w:val="7F618FCD"/>
    <w:multiLevelType w:val="hybridMultilevel"/>
    <w:lvl w:ilvl="0">
      <w:lvlJc w:val="left"/>
      <w:lvlText w:val="-"/>
      <w:numFmt w:val="bullet"/>
      <w:start w:val="1"/>
    </w:lvl>
  </w:abstractNum>
  <w:abstractNum w:abstractNumId="275">
    <w:nsid w:val="7843E45"/>
    <w:multiLevelType w:val="hybridMultilevel"/>
    <w:lvl w:ilvl="0">
      <w:lvlJc w:val="left"/>
      <w:lvlText w:val="-"/>
      <w:numFmt w:val="bullet"/>
      <w:start w:val="1"/>
    </w:lvl>
  </w:abstractNum>
  <w:abstractNum w:abstractNumId="276">
    <w:nsid w:val="9815DA3"/>
    <w:multiLevelType w:val="hybridMultilevel"/>
    <w:lvl w:ilvl="0">
      <w:lvlJc w:val="left"/>
      <w:lvlText w:val="-"/>
      <w:numFmt w:val="bullet"/>
      <w:start w:val="1"/>
    </w:lvl>
  </w:abstractNum>
  <w:abstractNum w:abstractNumId="277">
    <w:nsid w:val="5204A191"/>
    <w:multiLevelType w:val="hybridMultilevel"/>
    <w:lvl w:ilvl="0">
      <w:lvlJc w:val="left"/>
      <w:lvlText w:val="-"/>
      <w:numFmt w:val="bullet"/>
      <w:start w:val="1"/>
    </w:lvl>
  </w:abstractNum>
  <w:abstractNum w:abstractNumId="278">
    <w:nsid w:val="4C73A9C6"/>
    <w:multiLevelType w:val="hybridMultilevel"/>
    <w:lvl w:ilvl="0">
      <w:lvlJc w:val="left"/>
      <w:lvlText w:val="-"/>
      <w:numFmt w:val="bullet"/>
      <w:start w:val="1"/>
    </w:lvl>
  </w:abstractNum>
  <w:abstractNum w:abstractNumId="279">
    <w:nsid w:val="1C7E3C01"/>
    <w:multiLevelType w:val="hybridMultilevel"/>
    <w:lvl w:ilvl="0">
      <w:lvlJc w:val="left"/>
      <w:lvlText w:val="-"/>
      <w:numFmt w:val="bullet"/>
      <w:start w:val="1"/>
    </w:lvl>
  </w:abstractNum>
  <w:abstractNum w:abstractNumId="280">
    <w:nsid w:val="1C2201FF"/>
    <w:multiLevelType w:val="hybridMultilevel"/>
    <w:lvl w:ilvl="0">
      <w:lvlJc w:val="left"/>
      <w:lvlText w:val="-"/>
      <w:numFmt w:val="bullet"/>
      <w:start w:val="1"/>
    </w:lvl>
  </w:abstractNum>
  <w:abstractNum w:abstractNumId="281">
    <w:nsid w:val="50ABCEC9"/>
    <w:multiLevelType w:val="hybridMultilevel"/>
    <w:lvl w:ilvl="0">
      <w:lvlJc w:val="left"/>
      <w:lvlText w:val="%1."/>
      <w:numFmt w:val="decimal"/>
      <w:start w:val="1"/>
    </w:lvl>
  </w:abstractNum>
  <w:abstractNum w:abstractNumId="282">
    <w:nsid w:val="7635AA2A"/>
    <w:multiLevelType w:val="hybridMultilevel"/>
    <w:lvl w:ilvl="0">
      <w:lvlJc w:val="left"/>
      <w:lvlText w:val="(%1)"/>
      <w:numFmt w:val="decimal"/>
      <w:start w:val="1"/>
    </w:lvl>
  </w:abstractNum>
  <w:abstractNum w:abstractNumId="283">
    <w:nsid w:val="5E74C4D9"/>
    <w:multiLevelType w:val="hybridMultilevel"/>
    <w:lvl w:ilvl="0">
      <w:lvlJc w:val="left"/>
      <w:lvlText w:val="-"/>
      <w:numFmt w:val="bullet"/>
      <w:start w:val="1"/>
    </w:lvl>
  </w:abstractNum>
  <w:abstractNum w:abstractNumId="284">
    <w:nsid w:val="3B3EBE15"/>
    <w:multiLevelType w:val="hybridMultilevel"/>
    <w:lvl w:ilvl="0">
      <w:lvlJc w:val="left"/>
      <w:lvlText w:val="-"/>
      <w:numFmt w:val="bullet"/>
      <w:start w:val="1"/>
    </w:lvl>
  </w:abstractNum>
  <w:abstractNum w:abstractNumId="285">
    <w:nsid w:val="3822CB01"/>
    <w:multiLevelType w:val="hybridMultilevel"/>
    <w:lvl w:ilvl="0">
      <w:lvlJc w:val="left"/>
      <w:lvlText w:val="%1."/>
      <w:numFmt w:val="decimal"/>
      <w:start w:val="1"/>
    </w:lvl>
  </w:abstractNum>
  <w:abstractNum w:abstractNumId="286">
    <w:nsid w:val="6CE00443"/>
    <w:multiLevelType w:val="hybridMultilevel"/>
    <w:lvl w:ilvl="0">
      <w:lvlJc w:val="left"/>
      <w:lvlText w:val="(%1)"/>
      <w:numFmt w:val="decimal"/>
      <w:start w:val="1"/>
    </w:lvl>
  </w:abstractNum>
  <w:abstractNum w:abstractNumId="287">
    <w:nsid w:val="79F0D62F"/>
    <w:multiLevelType w:val="hybridMultilevel"/>
    <w:lvl w:ilvl="0">
      <w:lvlJc w:val="left"/>
      <w:lvlText w:val="-"/>
      <w:numFmt w:val="bullet"/>
      <w:start w:val="1"/>
    </w:lvl>
  </w:abstractNum>
  <w:abstractNum w:abstractNumId="288">
    <w:nsid w:val="7975E8EE"/>
    <w:multiLevelType w:val="hybridMultilevel"/>
    <w:lvl w:ilvl="0">
      <w:lvlJc w:val="left"/>
      <w:lvlText w:val="-"/>
      <w:numFmt w:val="bullet"/>
      <w:start w:val="1"/>
    </w:lvl>
  </w:abstractNum>
  <w:abstractNum w:abstractNumId="289">
    <w:nsid w:val="73154115"/>
    <w:multiLevelType w:val="hybridMultilevel"/>
    <w:lvl w:ilvl="0">
      <w:lvlJc w:val="left"/>
      <w:lvlText w:val="%1."/>
      <w:numFmt w:val="decimal"/>
      <w:start w:val="1"/>
    </w:lvl>
  </w:abstractNum>
  <w:abstractNum w:abstractNumId="290">
    <w:nsid w:val="622D8102"/>
    <w:multiLevelType w:val="hybridMultilevel"/>
    <w:lvl w:ilvl="0">
      <w:lvlJc w:val="left"/>
      <w:lvlText w:val="(%1)"/>
      <w:numFmt w:val="decimal"/>
      <w:start w:val="1"/>
    </w:lvl>
  </w:abstractNum>
  <w:abstractNum w:abstractNumId="291">
    <w:nsid w:val="2AB26587"/>
    <w:multiLevelType w:val="hybridMultilevel"/>
    <w:lvl w:ilvl="0">
      <w:lvlJc w:val="left"/>
      <w:lvlText w:val="-"/>
      <w:numFmt w:val="bullet"/>
      <w:start w:val="1"/>
    </w:lvl>
  </w:abstractNum>
  <w:abstractNum w:abstractNumId="292">
    <w:nsid w:val="44B3FA61"/>
    <w:multiLevelType w:val="hybridMultilevel"/>
    <w:lvl w:ilvl="0">
      <w:lvlJc w:val="left"/>
      <w:lvlText w:val="%1."/>
      <w:numFmt w:val="decimal"/>
      <w:start w:val="1"/>
    </w:lvl>
  </w:abstractNum>
  <w:abstractNum w:abstractNumId="293">
    <w:nsid w:val="1C0CA67C"/>
    <w:multiLevelType w:val="hybridMultilevel"/>
    <w:lvl w:ilvl="0">
      <w:lvlJc w:val="left"/>
      <w:lvlText w:val="%1."/>
      <w:numFmt w:val="decimal"/>
      <w:start w:val="2"/>
    </w:lvl>
  </w:abstractNum>
  <w:abstractNum w:abstractNumId="294">
    <w:nsid w:val="3D2066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2020-02-22T13:26:16Z</dcterms:created>
  <dcterms:modified xsi:type="dcterms:W3CDTF">2020-02-22T13:26:16Z</dcterms:modified>
</cp:coreProperties>
</file>