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540" w:type="dxa"/>
            <w:vAlign w:val="bottom"/>
          </w:tcPr>
          <w:p>
            <w:pPr>
              <w:jc w:val="center"/>
              <w:ind w:right="1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-940435</wp:posOffset>
            </wp:positionV>
            <wp:extent cx="7323455" cy="61658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LONGWELL HARRY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EXXON MOBIL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XOM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15.8906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585,044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560,044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15.8906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15.8906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11/24/1994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11/24/2003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Buy)`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85,750 shares jointly owned with reporting person's spouse.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shareholdings equal 87,020.9297 shares by savings plan and 106.172 shares by spouse. The beneficial ownership of shares by spouse is disclaimed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C. E. Whittemore by Power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99339" TargetMode="External"/><Relationship Id="rId11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2019-12-16T00:44:52Z</dcterms:created>
  <dcterms:modified xsi:type="dcterms:W3CDTF">2019-12-16T00:44:52Z</dcterms:modified>
</cp:coreProperties>
</file>