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7,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Exxon Mobil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2" w:lineRule="exact"/>
        <w:rPr>
          <w:sz w:val="24"/>
          <w:szCs w:val="24"/>
          <w:color w:val="auto"/>
        </w:rPr>
      </w:pPr>
    </w:p>
    <w:tbl>
      <w:tblPr>
        <w:tblLayout w:type="fixed"/>
        <w:tblInd w:w="1340" w:type="dxa"/>
        <w:tblCellMar>
          <w:top w:w="0" w:type="dxa"/>
          <w:left w:w="0" w:type="dxa"/>
          <w:bottom w:w="0" w:type="dxa"/>
          <w:right w:w="0" w:type="dxa"/>
        </w:tblCellMar>
      </w:tblPr>
      <w:tr>
        <w:trPr>
          <w:trHeight w:val="283"/>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9"/>
              </w:rPr>
              <w:t>New Jersey</w:t>
            </w:r>
          </w:p>
        </w:tc>
        <w:tc>
          <w:tcPr>
            <w:tcW w:w="5920" w:type="dxa"/>
            <w:vAlign w:val="bottom"/>
          </w:tcPr>
          <w:p>
            <w:pPr>
              <w:jc w:val="center"/>
              <w:ind w:right="5"/>
              <w:spacing w:after="0"/>
              <w:rPr>
                <w:sz w:val="20"/>
                <w:szCs w:val="20"/>
                <w:color w:val="auto"/>
              </w:rPr>
            </w:pPr>
            <w:r>
              <w:rPr>
                <w:rFonts w:ascii="Times New Roman" w:cs="Times New Roman" w:eastAsia="Times New Roman" w:hAnsi="Times New Roman"/>
                <w:sz w:val="22"/>
                <w:szCs w:val="22"/>
                <w:b w:val="1"/>
                <w:bCs w:val="1"/>
                <w:color w:val="auto"/>
                <w:w w:val="99"/>
              </w:rPr>
              <w:t>1-2256</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13-5409005</w:t>
            </w:r>
          </w:p>
        </w:tc>
      </w:tr>
      <w:tr>
        <w:trPr>
          <w:trHeight w:val="189"/>
        </w:trPr>
        <w:tc>
          <w:tcPr>
            <w:tcW w:w="13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(State or other</w:t>
            </w:r>
          </w:p>
        </w:tc>
        <w:tc>
          <w:tcPr>
            <w:tcW w:w="5920" w:type="dxa"/>
            <w:vAlign w:val="bottom"/>
          </w:tcPr>
          <w:p>
            <w:pPr>
              <w:jc w:val="center"/>
              <w:ind w:right="5"/>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13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180"/>
        </w:trPr>
        <w:tc>
          <w:tcPr>
            <w:tcW w:w="13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jurisdiction</w:t>
            </w:r>
          </w:p>
        </w:tc>
        <w:tc>
          <w:tcPr>
            <w:tcW w:w="5920" w:type="dxa"/>
            <w:vAlign w:val="bottom"/>
          </w:tcPr>
          <w:p>
            <w:pPr>
              <w:jc w:val="center"/>
              <w:ind w:right="5"/>
              <w:spacing w:after="0" w:line="181" w:lineRule="exact"/>
              <w:rPr>
                <w:sz w:val="20"/>
                <w:szCs w:val="20"/>
                <w:color w:val="auto"/>
              </w:rPr>
            </w:pPr>
            <w:r>
              <w:rPr>
                <w:rFonts w:ascii="Times New Roman" w:cs="Times New Roman" w:eastAsia="Times New Roman" w:hAnsi="Times New Roman"/>
                <w:sz w:val="18"/>
                <w:szCs w:val="18"/>
                <w:color w:val="auto"/>
              </w:rPr>
              <w:t>File Number)</w:t>
            </w:r>
          </w:p>
        </w:tc>
        <w:tc>
          <w:tcPr>
            <w:tcW w:w="13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71"/>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left="5"/>
              <w:spacing w:after="0"/>
              <w:rPr>
                <w:sz w:val="20"/>
                <w:szCs w:val="20"/>
                <w:color w:val="auto"/>
              </w:rPr>
            </w:pPr>
            <w:r>
              <w:rPr>
                <w:rFonts w:ascii="Times New Roman" w:cs="Times New Roman" w:eastAsia="Times New Roman" w:hAnsi="Times New Roman"/>
                <w:sz w:val="22"/>
                <w:szCs w:val="22"/>
                <w:b w:val="1"/>
                <w:bCs w:val="1"/>
                <w:color w:val="auto"/>
                <w:w w:val="97"/>
              </w:rPr>
              <w:t>22777 Springwoods Village Parkway, Spring, Texas 77389-1425</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84"/>
        </w:trPr>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(972) 940-6000</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5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8"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2" w:lineRule="exact"/>
        <w:rPr>
          <w:rFonts w:ascii="MS PGothic" w:cs="MS PGothic" w:eastAsia="MS PGothic" w:hAnsi="MS PGothic"/>
          <w:sz w:val="16"/>
          <w:szCs w:val="16"/>
          <w:color w:val="auto"/>
        </w:rPr>
      </w:pPr>
    </w:p>
    <w:p>
      <w:pPr>
        <w:ind w:left="3960"/>
        <w:spacing w:after="0"/>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Name of Each Exchange</w:t>
            </w: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396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0.524% Notes due 2028</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XOM28</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0.835% Notes due 2032</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XOM32</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1.408% Notes due 2039</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XOM39A</w:t>
            </w:r>
          </w:p>
        </w:tc>
        <w:tc>
          <w:tcPr>
            <w:tcW w:w="3960" w:type="dxa"/>
            <w:vAlign w:val="bottom"/>
          </w:tcPr>
          <w:p>
            <w:pPr>
              <w:jc w:val="center"/>
              <w:ind w:left="196"/>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6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98"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Regulation FD Disclosure.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information is furnished pursuant to Item 7.01.</w:t>
      </w:r>
    </w:p>
    <w:p>
      <w:pPr>
        <w:spacing w:after="0" w:line="200" w:lineRule="exact"/>
        <w:rPr>
          <w:sz w:val="20"/>
          <w:szCs w:val="20"/>
          <w:color w:val="auto"/>
        </w:rPr>
      </w:pPr>
    </w:p>
    <w:p>
      <w:pPr>
        <w:sectPr>
          <w:pgSz w:w="11900" w:h="16838" w:orient="portrait"/>
          <w:cols w:equalWidth="0" w:num="2">
            <w:col w:w="1100" w:space="720"/>
            <w:col w:w="8299"/>
          </w:cols>
          <w:pgMar w:left="340" w:top="11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97" w:right="1440" w:bottom="1440" w:gutter="0" w:footer="0" w:header="0"/>
          <w:type w:val="continuous"/>
        </w:sectPr>
      </w:pPr>
    </w:p>
    <w:bookmarkStart w:id="2" w:name="page3"/>
    <w:bookmarkEnd w:id="2"/>
    <w:p>
      <w:pPr>
        <w:ind w:left="4660"/>
        <w:spacing w:after="0"/>
        <w:rPr>
          <w:sz w:val="20"/>
          <w:szCs w:val="20"/>
          <w:color w:val="auto"/>
        </w:rPr>
      </w:pPr>
      <w:r>
        <w:rPr>
          <w:rFonts w:ascii="Times New Roman" w:cs="Times New Roman" w:eastAsia="Times New Roman" w:hAnsi="Times New Roman"/>
          <w:sz w:val="20"/>
          <w:szCs w:val="20"/>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6"/>
              </w:rPr>
              <w:t>Exhibit No.</w:t>
            </w:r>
          </w:p>
        </w:tc>
        <w:tc>
          <w:tcPr>
            <w:tcW w:w="1980" w:type="dxa"/>
            <w:vAlign w:val="bottom"/>
          </w:tcPr>
          <w:p>
            <w:pPr>
              <w:spacing w:after="0"/>
              <w:rPr>
                <w:sz w:val="19"/>
                <w:szCs w:val="19"/>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6"/>
              </w:rPr>
              <w:t>Description</w:t>
            </w:r>
          </w:p>
        </w:tc>
        <w:tc>
          <w:tcPr>
            <w:tcW w:w="3980" w:type="dxa"/>
            <w:vAlign w:val="bottom"/>
          </w:tcPr>
          <w:p>
            <w:pPr>
              <w:spacing w:after="0"/>
              <w:rPr>
                <w:sz w:val="19"/>
                <w:szCs w:val="19"/>
                <w:color w:val="auto"/>
              </w:rPr>
            </w:pPr>
          </w:p>
        </w:tc>
      </w:tr>
      <w:tr>
        <w:trPr>
          <w:trHeight w:val="493"/>
        </w:trPr>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Exxon Mobil Corporation 4Q25 Earnings Considerations.</w:t>
            </w:r>
          </w:p>
        </w:tc>
      </w:tr>
      <w:tr>
        <w:trPr>
          <w:trHeight w:val="539"/>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0"/>
                <w:szCs w:val="20"/>
                <w:color w:val="auto"/>
              </w:rPr>
              <w:t>104</w:t>
            </w: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86" w:right="1440"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EXXON MOBIL CORPORATION</w:t>
      </w:r>
    </w:p>
    <w:p>
      <w:pPr>
        <w:sectPr>
          <w:pgSz w:w="11900" w:h="16838" w:orient="portrait"/>
          <w:cols w:equalWidth="0" w:num="1">
            <w:col w:w="10880"/>
          </w:cols>
          <w:pgMar w:left="320" w:top="886" w:right="6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Date: January 7,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29845</wp:posOffset>
            </wp:positionV>
            <wp:extent cx="3034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5000" w:space="720"/>
            <w:col w:w="1720" w:space="720"/>
            <w:col w:w="2720"/>
          </w:cols>
          <w:pgMar w:left="320" w:top="886" w:right="699" w:bottom="1440" w:gutter="0" w:footer="0" w:header="0"/>
          <w:type w:val="continuous"/>
        </w:sectPr>
      </w:pPr>
    </w:p>
    <w:p>
      <w:pPr>
        <w:jc w:val="center"/>
        <w:ind w:left="6400"/>
        <w:spacing w:after="0"/>
        <w:rPr>
          <w:sz w:val="20"/>
          <w:szCs w:val="20"/>
          <w:color w:val="auto"/>
        </w:rPr>
      </w:pPr>
      <w:r>
        <w:rPr>
          <w:rFonts w:ascii="Times New Roman" w:cs="Times New Roman" w:eastAsia="Times New Roman" w:hAnsi="Times New Roman"/>
          <w:sz w:val="20"/>
          <w:szCs w:val="20"/>
          <w:color w:val="auto"/>
        </w:rPr>
        <w:t>Len M. Fox</w:t>
      </w:r>
    </w:p>
    <w:p>
      <w:pPr>
        <w:spacing w:after="0" w:line="2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9"/>
          <w:szCs w:val="19"/>
          <w:color w:val="auto"/>
        </w:rPr>
        <w:t>Vice President, Controller and Tax</w:t>
      </w:r>
    </w:p>
    <w:p>
      <w:pPr>
        <w:spacing w:after="0" w:line="3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880"/>
          </w:cols>
          <w:pgMar w:left="320" w:top="886" w:right="69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4Q 2025 Earnings Considerations</w:t>
      </w:r>
    </w:p>
    <w:p>
      <w:pPr>
        <w:spacing w:after="0" w:line="24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To give perspective regarding market and planned factors affecting 4Q 2025 results, we are providing the following summary of items management believes will impact 4Q 2025 results relative to 3Q 2025 results. These factors are generally limited to significant planned activities, market dynamics, and seasonal demand patterns. This is only intended to provide information regarding current estimates of these factors. It is not comprehensive of all changes between 3Q 2025 and 4Q 2025 results and is not an estimate of 4Q 2025 earnings for the Corporation. For example, the table below does not reflect operating performance; ongoing improvement initiatives; impacts from the seasonality of base operating expenses; unscheduled downtime; or foreign exchange fluctuation, among other factors. Further, this list may not account for all adjustments and charges required to fully reflect the changes in industry conditions and are subject to finalization of the Corporation’s financial reporting process for 4Q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vMerge w:val="restart"/>
          </w:tcPr>
          <w:p>
            <w:pPr>
              <w:ind w:left="20"/>
              <w:spacing w:after="0"/>
              <w:rPr>
                <w:sz w:val="20"/>
                <w:szCs w:val="20"/>
                <w:color w:val="auto"/>
              </w:rPr>
            </w:pPr>
            <w:r>
              <w:rPr>
                <w:rFonts w:ascii="Arial" w:cs="Arial" w:eastAsia="Arial" w:hAnsi="Arial"/>
                <w:sz w:val="20"/>
                <w:szCs w:val="20"/>
                <w:i w:val="1"/>
                <w:iCs w:val="1"/>
                <w:color w:val="auto"/>
              </w:rPr>
              <w:t>$ billions</w:t>
            </w:r>
          </w:p>
        </w:tc>
        <w:tc>
          <w:tcPr>
            <w:tcW w:w="1460" w:type="dxa"/>
            <w:vAlign w:val="bottom"/>
            <w:vMerge w:val="restart"/>
          </w:tcPr>
          <w:p>
            <w:pPr>
              <w:jc w:val="center"/>
              <w:ind w:left="81"/>
              <w:spacing w:after="0"/>
              <w:rPr>
                <w:sz w:val="20"/>
                <w:szCs w:val="20"/>
                <w:color w:val="auto"/>
              </w:rPr>
            </w:pPr>
            <w:r>
              <w:rPr>
                <w:rFonts w:ascii="Arial" w:cs="Arial" w:eastAsia="Arial" w:hAnsi="Arial"/>
                <w:sz w:val="20"/>
                <w:szCs w:val="20"/>
                <w:b w:val="1"/>
                <w:bCs w:val="1"/>
                <w:color w:val="auto"/>
                <w:w w:val="99"/>
              </w:rPr>
              <w:t>Upstream</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7"/>
              </w:rPr>
              <w:t>Energy</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w w:val="98"/>
              </w:rPr>
              <w:t>Chemical</w:t>
            </w: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7"/>
              </w:rPr>
              <w:t>Specialty</w:t>
            </w:r>
          </w:p>
        </w:tc>
        <w:tc>
          <w:tcPr>
            <w:tcW w:w="14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7"/>
              </w:rPr>
              <w:t>Corp &amp; Fin</w:t>
            </w:r>
          </w:p>
        </w:tc>
        <w:tc>
          <w:tcPr>
            <w:tcW w:w="1140" w:type="dxa"/>
            <w:vAlign w:val="bottom"/>
            <w:vMerge w:val="restart"/>
          </w:tcPr>
          <w:p>
            <w:pPr>
              <w:jc w:val="right"/>
              <w:ind w:right="3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152"/>
        </w:trPr>
        <w:tc>
          <w:tcPr>
            <w:tcW w:w="34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2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2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Products</w:t>
            </w:r>
          </w:p>
        </w:tc>
        <w:tc>
          <w:tcPr>
            <w:tcW w:w="14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4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3440" w:type="dxa"/>
            <w:vAlign w:val="bottom"/>
          </w:tcPr>
          <w:p>
            <w:pPr>
              <w:ind w:left="20"/>
              <w:spacing w:after="0"/>
              <w:rPr>
                <w:sz w:val="20"/>
                <w:szCs w:val="20"/>
                <w:color w:val="auto"/>
              </w:rPr>
            </w:pPr>
            <w:r>
              <w:rPr>
                <w:rFonts w:ascii="Arial" w:cs="Arial" w:eastAsia="Arial" w:hAnsi="Arial"/>
                <w:sz w:val="20"/>
                <w:szCs w:val="20"/>
                <w:b w:val="1"/>
                <w:bCs w:val="1"/>
                <w:color w:val="auto"/>
              </w:rPr>
              <w:t>3Q25 earnings (loss), U.S. GAAP</w:t>
            </w:r>
          </w:p>
        </w:tc>
        <w:tc>
          <w:tcPr>
            <w:tcW w:w="1460" w:type="dxa"/>
            <w:vAlign w:val="bottom"/>
          </w:tcPr>
          <w:p>
            <w:pPr>
              <w:jc w:val="center"/>
              <w:ind w:left="81"/>
              <w:spacing w:after="0"/>
              <w:rPr>
                <w:sz w:val="20"/>
                <w:szCs w:val="20"/>
                <w:color w:val="auto"/>
              </w:rPr>
            </w:pPr>
            <w:r>
              <w:rPr>
                <w:rFonts w:ascii="Arial" w:cs="Arial" w:eastAsia="Arial" w:hAnsi="Arial"/>
                <w:sz w:val="20"/>
                <w:szCs w:val="20"/>
                <w:b w:val="1"/>
                <w:bCs w:val="1"/>
                <w:color w:val="auto"/>
              </w:rPr>
              <w:t>5.7</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3"/>
              </w:rPr>
              <w:t>1.8</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0.5</w:t>
            </w: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3"/>
              </w:rPr>
              <w:t>0.7</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97"/>
              </w:rPr>
              <w:t>(1.2)</w:t>
            </w:r>
          </w:p>
        </w:tc>
        <w:tc>
          <w:tcPr>
            <w:tcW w:w="1140" w:type="dxa"/>
            <w:vAlign w:val="bottom"/>
          </w:tcPr>
          <w:p>
            <w:pPr>
              <w:jc w:val="right"/>
              <w:ind w:right="401"/>
              <w:spacing w:after="0"/>
              <w:rPr>
                <w:sz w:val="20"/>
                <w:szCs w:val="20"/>
                <w:color w:val="auto"/>
              </w:rPr>
            </w:pPr>
            <w:r>
              <w:rPr>
                <w:rFonts w:ascii="Arial" w:cs="Arial" w:eastAsia="Arial" w:hAnsi="Arial"/>
                <w:sz w:val="20"/>
                <w:szCs w:val="20"/>
                <w:b w:val="1"/>
                <w:bCs w:val="1"/>
                <w:color w:val="auto"/>
              </w:rPr>
              <w:t>7.5</w:t>
            </w:r>
          </w:p>
        </w:tc>
        <w:tc>
          <w:tcPr>
            <w:tcW w:w="0" w:type="dxa"/>
            <w:vAlign w:val="bottom"/>
          </w:tcPr>
          <w:p>
            <w:pPr>
              <w:spacing w:after="0"/>
              <w:rPr>
                <w:sz w:val="1"/>
                <w:szCs w:val="1"/>
                <w:color w:val="auto"/>
              </w:rPr>
            </w:pPr>
          </w:p>
        </w:tc>
      </w:tr>
      <w:tr>
        <w:trPr>
          <w:trHeight w:val="341"/>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3Q25 Identified Items</w:t>
            </w:r>
          </w:p>
        </w:tc>
        <w:tc>
          <w:tcPr>
            <w:tcW w:w="1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Impairments</w:t>
            </w:r>
          </w:p>
        </w:tc>
        <w:tc>
          <w:tcPr>
            <w:tcW w:w="14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(0.2)</w:t>
            </w: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Restructuring charges</w:t>
            </w:r>
          </w:p>
        </w:tc>
        <w:tc>
          <w:tcPr>
            <w:tcW w:w="1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(0.4)</w:t>
            </w: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381"/>
        </w:trPr>
        <w:tc>
          <w:tcPr>
            <w:tcW w:w="3440" w:type="dxa"/>
            <w:vAlign w:val="bottom"/>
          </w:tcPr>
          <w:p>
            <w:pPr>
              <w:ind w:left="20"/>
              <w:spacing w:after="0"/>
              <w:rPr>
                <w:sz w:val="20"/>
                <w:szCs w:val="20"/>
                <w:color w:val="auto"/>
              </w:rPr>
            </w:pPr>
            <w:r>
              <w:rPr>
                <w:rFonts w:ascii="Arial" w:cs="Arial" w:eastAsia="Arial" w:hAnsi="Arial"/>
                <w:sz w:val="20"/>
                <w:szCs w:val="20"/>
                <w:b w:val="1"/>
                <w:bCs w:val="1"/>
                <w:color w:val="auto"/>
              </w:rPr>
              <w:t>3Q25 earnings (loss) excluding</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440" w:type="dxa"/>
            <w:vAlign w:val="bottom"/>
          </w:tcPr>
          <w:p>
            <w:pPr>
              <w:ind w:left="20"/>
              <w:spacing w:after="0"/>
              <w:rPr>
                <w:sz w:val="20"/>
                <w:szCs w:val="20"/>
                <w:color w:val="auto"/>
              </w:rPr>
            </w:pPr>
            <w:r>
              <w:rPr>
                <w:rFonts w:ascii="Arial" w:cs="Arial" w:eastAsia="Arial" w:hAnsi="Arial"/>
                <w:sz w:val="20"/>
                <w:szCs w:val="20"/>
                <w:b w:val="1"/>
                <w:bCs w:val="1"/>
                <w:color w:val="auto"/>
              </w:rPr>
              <w:t>Identified Items (non-GAAP)</w:t>
            </w:r>
          </w:p>
        </w:tc>
        <w:tc>
          <w:tcPr>
            <w:tcW w:w="1460" w:type="dxa"/>
            <w:vAlign w:val="bottom"/>
          </w:tcPr>
          <w:p>
            <w:pPr>
              <w:jc w:val="center"/>
              <w:ind w:left="81"/>
              <w:spacing w:after="0"/>
              <w:rPr>
                <w:sz w:val="20"/>
                <w:szCs w:val="20"/>
                <w:color w:val="auto"/>
              </w:rPr>
            </w:pPr>
            <w:r>
              <w:rPr>
                <w:rFonts w:ascii="Arial" w:cs="Arial" w:eastAsia="Arial" w:hAnsi="Arial"/>
                <w:sz w:val="20"/>
                <w:szCs w:val="20"/>
                <w:b w:val="1"/>
                <w:bCs w:val="1"/>
                <w:color w:val="auto"/>
              </w:rPr>
              <w:t>5.7</w:t>
            </w:r>
          </w:p>
        </w:tc>
        <w:tc>
          <w:tcPr>
            <w:tcW w:w="1260" w:type="dxa"/>
            <w:vAlign w:val="bottom"/>
          </w:tcPr>
          <w:p>
            <w:pPr>
              <w:jc w:val="center"/>
              <w:spacing w:after="0"/>
              <w:rPr>
                <w:sz w:val="20"/>
                <w:szCs w:val="20"/>
                <w:color w:val="auto"/>
              </w:rPr>
            </w:pPr>
            <w:r>
              <w:rPr>
                <w:rFonts w:ascii="Arial" w:cs="Arial" w:eastAsia="Arial" w:hAnsi="Arial"/>
                <w:sz w:val="20"/>
                <w:szCs w:val="20"/>
                <w:b w:val="1"/>
                <w:bCs w:val="1"/>
                <w:color w:val="auto"/>
                <w:w w:val="93"/>
              </w:rPr>
              <w:t>1.8</w:t>
            </w:r>
          </w:p>
        </w:tc>
        <w:tc>
          <w:tcPr>
            <w:tcW w:w="1280" w:type="dxa"/>
            <w:vAlign w:val="bottom"/>
          </w:tcPr>
          <w:p>
            <w:pPr>
              <w:jc w:val="center"/>
              <w:spacing w:after="0"/>
              <w:rPr>
                <w:sz w:val="20"/>
                <w:szCs w:val="20"/>
                <w:color w:val="auto"/>
              </w:rPr>
            </w:pPr>
            <w:r>
              <w:rPr>
                <w:rFonts w:ascii="Arial" w:cs="Arial" w:eastAsia="Arial" w:hAnsi="Arial"/>
                <w:sz w:val="20"/>
                <w:szCs w:val="20"/>
                <w:b w:val="1"/>
                <w:bCs w:val="1"/>
                <w:color w:val="auto"/>
              </w:rPr>
              <w:t>0.5</w:t>
            </w: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3"/>
              </w:rPr>
              <w:t>0.7</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97"/>
              </w:rPr>
              <w:t>(0.7)</w:t>
            </w:r>
          </w:p>
        </w:tc>
        <w:tc>
          <w:tcPr>
            <w:tcW w:w="1140" w:type="dxa"/>
            <w:vAlign w:val="bottom"/>
          </w:tcPr>
          <w:p>
            <w:pPr>
              <w:jc w:val="right"/>
              <w:ind w:right="401"/>
              <w:spacing w:after="0"/>
              <w:rPr>
                <w:sz w:val="20"/>
                <w:szCs w:val="20"/>
                <w:color w:val="auto"/>
              </w:rPr>
            </w:pPr>
            <w:r>
              <w:rPr>
                <w:rFonts w:ascii="Arial" w:cs="Arial" w:eastAsia="Arial" w:hAnsi="Arial"/>
                <w:sz w:val="20"/>
                <w:szCs w:val="20"/>
                <w:b w:val="1"/>
                <w:bCs w:val="1"/>
                <w:color w:val="auto"/>
              </w:rPr>
              <w:t>8.1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Due to rounding, numbers presented above may not add up precisely to the totals indicated.</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Estimated effects of market factors impacting 4Q 2025 results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420" w:type="dxa"/>
            <w:vAlign w:val="bottom"/>
            <w:tcBorders>
              <w:top w:val="single" w:sz="8" w:color="auto"/>
              <w:left w:val="single" w:sz="8" w:color="auto"/>
              <w:bottom w:val="single" w:sz="8" w:color="auto"/>
            </w:tcBorders>
          </w:tcPr>
          <w:p>
            <w:pPr>
              <w:ind w:left="40"/>
              <w:spacing w:after="0" w:line="284" w:lineRule="exact"/>
              <w:rPr>
                <w:sz w:val="20"/>
                <w:szCs w:val="20"/>
                <w:color w:val="auto"/>
              </w:rPr>
            </w:pPr>
            <w:r>
              <w:rPr>
                <w:rFonts w:ascii="Arial" w:cs="Arial" w:eastAsia="Arial" w:hAnsi="Arial"/>
                <w:sz w:val="20"/>
                <w:szCs w:val="20"/>
                <w:color w:val="auto"/>
              </w:rPr>
              <w:t>Change in liquids prices</w:t>
            </w:r>
            <w:r>
              <w:rPr>
                <w:rFonts w:ascii="Arial" w:cs="Arial" w:eastAsia="Arial" w:hAnsi="Arial"/>
                <w:sz w:val="25"/>
                <w:szCs w:val="25"/>
                <w:color w:val="auto"/>
                <w:vertAlign w:val="superscript"/>
              </w:rPr>
              <w:t>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 (0.8)</w:t>
            </w:r>
          </w:p>
        </w:tc>
        <w:tc>
          <w:tcPr>
            <w:tcW w:w="5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right w:val="single" w:sz="8" w:color="auto"/>
            </w:tcBorders>
          </w:tcPr>
          <w:p>
            <w:pPr>
              <w:spacing w:after="0"/>
              <w:rPr>
                <w:sz w:val="24"/>
                <w:szCs w:val="24"/>
                <w:color w:val="auto"/>
              </w:rPr>
            </w:pPr>
          </w:p>
        </w:tc>
      </w:tr>
      <w:tr>
        <w:trPr>
          <w:trHeight w:val="277"/>
        </w:trPr>
        <w:tc>
          <w:tcPr>
            <w:tcW w:w="3420" w:type="dxa"/>
            <w:vAlign w:val="bottom"/>
            <w:tcBorders>
              <w:left w:val="single" w:sz="8" w:color="auto"/>
              <w:bottom w:val="single" w:sz="8" w:color="auto"/>
            </w:tcBorders>
          </w:tcPr>
          <w:p>
            <w:pPr>
              <w:ind w:left="40"/>
              <w:spacing w:after="0" w:line="277" w:lineRule="exact"/>
              <w:rPr>
                <w:sz w:val="20"/>
                <w:szCs w:val="20"/>
                <w:color w:val="auto"/>
              </w:rPr>
            </w:pPr>
            <w:r>
              <w:rPr>
                <w:rFonts w:ascii="Arial" w:cs="Arial" w:eastAsia="Arial" w:hAnsi="Arial"/>
                <w:sz w:val="20"/>
                <w:szCs w:val="20"/>
                <w:color w:val="auto"/>
              </w:rPr>
              <w:t>Change in gas prices</w:t>
            </w:r>
            <w:r>
              <w:rPr>
                <w:rFonts w:ascii="Arial" w:cs="Arial" w:eastAsia="Arial" w:hAnsi="Arial"/>
                <w:sz w:val="25"/>
                <w:szCs w:val="25"/>
                <w:color w:val="auto"/>
                <w:vertAlign w:val="superscript"/>
              </w:rPr>
              <w:t>2</w:t>
            </w:r>
          </w:p>
        </w:tc>
        <w:tc>
          <w:tcPr>
            <w:tcW w:w="14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color w:val="auto"/>
              </w:rPr>
              <w:t>(0.3) - 0.1</w:t>
            </w: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277"/>
        </w:trPr>
        <w:tc>
          <w:tcPr>
            <w:tcW w:w="3420" w:type="dxa"/>
            <w:vAlign w:val="bottom"/>
            <w:tcBorders>
              <w:left w:val="single" w:sz="8" w:color="auto"/>
              <w:bottom w:val="single" w:sz="8" w:color="auto"/>
            </w:tcBorders>
          </w:tcPr>
          <w:p>
            <w:pPr>
              <w:ind w:left="40"/>
              <w:spacing w:after="0" w:line="277" w:lineRule="exact"/>
              <w:rPr>
                <w:sz w:val="20"/>
                <w:szCs w:val="20"/>
                <w:color w:val="auto"/>
              </w:rPr>
            </w:pPr>
            <w:r>
              <w:rPr>
                <w:rFonts w:ascii="Arial" w:cs="Arial" w:eastAsia="Arial" w:hAnsi="Arial"/>
                <w:sz w:val="20"/>
                <w:szCs w:val="20"/>
                <w:color w:val="auto"/>
              </w:rPr>
              <w:t>Change in industry margins</w:t>
            </w:r>
            <w:r>
              <w:rPr>
                <w:rFonts w:ascii="Arial" w:cs="Arial" w:eastAsia="Arial" w:hAnsi="Arial"/>
                <w:sz w:val="25"/>
                <w:szCs w:val="25"/>
                <w:color w:val="auto"/>
                <w:vertAlign w:val="superscript"/>
              </w:rPr>
              <w:t>3</w:t>
            </w: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 (0.2)</w:t>
            </w: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rPr>
              <w:t>0.0 - 0.2</w:t>
            </w:r>
          </w:p>
        </w:tc>
        <w:tc>
          <w:tcPr>
            <w:tcW w:w="1160" w:type="dxa"/>
            <w:vAlign w:val="bottom"/>
            <w:tcBorders>
              <w:bottom w:val="single" w:sz="8" w:color="auto"/>
              <w:right w:val="single" w:sz="8" w:color="auto"/>
            </w:tcBorders>
          </w:tcPr>
          <w:p>
            <w:pPr>
              <w:spacing w:after="0"/>
              <w:rPr>
                <w:sz w:val="24"/>
                <w:szCs w:val="24"/>
                <w:color w:val="auto"/>
              </w:rPr>
            </w:pPr>
          </w:p>
        </w:tc>
      </w:tr>
      <w:tr>
        <w:trPr>
          <w:trHeight w:val="277"/>
        </w:trPr>
        <w:tc>
          <w:tcPr>
            <w:tcW w:w="3420" w:type="dxa"/>
            <w:vAlign w:val="bottom"/>
            <w:tcBorders>
              <w:left w:val="single" w:sz="8" w:color="auto"/>
              <w:bottom w:val="single" w:sz="8" w:color="auto"/>
            </w:tcBorders>
          </w:tcPr>
          <w:p>
            <w:pPr>
              <w:ind w:left="40"/>
              <w:spacing w:after="0" w:line="277" w:lineRule="exact"/>
              <w:rPr>
                <w:sz w:val="20"/>
                <w:szCs w:val="20"/>
                <w:color w:val="auto"/>
              </w:rPr>
            </w:pPr>
            <w:r>
              <w:rPr>
                <w:rFonts w:ascii="Arial" w:cs="Arial" w:eastAsia="Arial" w:hAnsi="Arial"/>
                <w:sz w:val="20"/>
                <w:szCs w:val="20"/>
                <w:color w:val="auto"/>
              </w:rPr>
              <w:t>Change in timing effects</w:t>
            </w:r>
            <w:r>
              <w:rPr>
                <w:rFonts w:ascii="Arial" w:cs="Arial" w:eastAsia="Arial" w:hAnsi="Arial"/>
                <w:sz w:val="25"/>
                <w:szCs w:val="25"/>
                <w:color w:val="auto"/>
                <w:vertAlign w:val="superscript"/>
              </w:rPr>
              <w:t>4</w:t>
            </w:r>
          </w:p>
        </w:tc>
        <w:tc>
          <w:tcPr>
            <w:tcW w:w="14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color w:val="auto"/>
              </w:rPr>
              <w:t>(0.3) - 0.1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- 0.5</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419"/>
        </w:trPr>
        <w:tc>
          <w:tcPr>
            <w:tcW w:w="8840" w:type="dxa"/>
            <w:vAlign w:val="bottom"/>
            <w:gridSpan w:val="8"/>
          </w:tcPr>
          <w:p>
            <w:pPr>
              <w:ind w:left="20"/>
              <w:spacing w:after="0"/>
              <w:rPr>
                <w:sz w:val="20"/>
                <w:szCs w:val="20"/>
                <w:color w:val="auto"/>
              </w:rPr>
            </w:pPr>
            <w:r>
              <w:rPr>
                <w:rFonts w:ascii="Arial" w:cs="Arial" w:eastAsia="Arial" w:hAnsi="Arial"/>
                <w:sz w:val="20"/>
                <w:szCs w:val="20"/>
                <w:b w:val="1"/>
                <w:bCs w:val="1"/>
                <w:color w:val="auto"/>
                <w:w w:val="98"/>
              </w:rPr>
              <w:t>Estimated effects of planned and seasonal factors, and other items impacting 4Q 2025 results</w:t>
            </w:r>
          </w:p>
        </w:tc>
        <w:tc>
          <w:tcPr>
            <w:tcW w:w="1160" w:type="dxa"/>
            <w:vAlign w:val="bottom"/>
          </w:tcPr>
          <w:p>
            <w:pPr>
              <w:spacing w:after="0"/>
              <w:rPr>
                <w:sz w:val="24"/>
                <w:szCs w:val="24"/>
                <w:color w:val="auto"/>
              </w:rPr>
            </w:pPr>
          </w:p>
        </w:tc>
      </w:tr>
      <w:tr>
        <w:trPr>
          <w:trHeight w:val="250"/>
        </w:trPr>
        <w:tc>
          <w:tcPr>
            <w:tcW w:w="3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spacing w:after="0"/>
              <w:rPr>
                <w:sz w:val="21"/>
                <w:szCs w:val="21"/>
                <w:color w:val="auto"/>
              </w:rPr>
            </w:pPr>
          </w:p>
        </w:tc>
        <w:tc>
          <w:tcPr>
            <w:tcW w:w="1260" w:type="dxa"/>
            <w:vAlign w:val="bottom"/>
            <w:tcBorders>
              <w:bottom w:val="single" w:sz="8" w:color="auto"/>
            </w:tcBorders>
            <w:gridSpan w:val="2"/>
          </w:tcPr>
          <w:p>
            <w:pPr>
              <w:spacing w:after="0"/>
              <w:rPr>
                <w:sz w:val="21"/>
                <w:szCs w:val="21"/>
                <w:color w:val="auto"/>
              </w:rPr>
            </w:pPr>
          </w:p>
        </w:tc>
        <w:tc>
          <w:tcPr>
            <w:tcW w:w="1300" w:type="dxa"/>
            <w:vAlign w:val="bottom"/>
            <w:tcBorders>
              <w:bottom w:val="single" w:sz="8" w:color="auto"/>
            </w:tcBorders>
            <w:gridSpan w:val="2"/>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71"/>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Change in scheduled maintenance</w:t>
            </w:r>
          </w:p>
        </w:tc>
        <w:tc>
          <w:tcPr>
            <w:tcW w:w="14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color w:val="auto"/>
              </w:rPr>
              <w:t>(0.2) - 0.0</w:t>
            </w:r>
          </w:p>
        </w:tc>
        <w:tc>
          <w:tcPr>
            <w:tcW w:w="126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20"/>
                <w:szCs w:val="20"/>
                <w:color w:val="auto"/>
              </w:rPr>
              <w:t>(0.1) - 0.1</w:t>
            </w:r>
          </w:p>
        </w:tc>
        <w:tc>
          <w:tcPr>
            <w:tcW w:w="13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20"/>
                <w:szCs w:val="20"/>
                <w:color w:val="auto"/>
              </w:rPr>
              <w:t>(0.1) - 0.1</w:t>
            </w: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99"/>
              </w:rPr>
              <w:t>(0.1) - 0.1</w:t>
            </w:r>
          </w:p>
        </w:tc>
        <w:tc>
          <w:tcPr>
            <w:tcW w:w="1160" w:type="dxa"/>
            <w:vAlign w:val="bottom"/>
            <w:tcBorders>
              <w:bottom w:val="single" w:sz="8" w:color="auto"/>
              <w:right w:val="single" w:sz="8" w:color="auto"/>
            </w:tcBorders>
          </w:tcPr>
          <w:p>
            <w:pPr>
              <w:spacing w:after="0"/>
              <w:rPr>
                <w:sz w:val="23"/>
                <w:szCs w:val="23"/>
                <w:color w:val="auto"/>
              </w:rPr>
            </w:pPr>
          </w:p>
        </w:tc>
      </w:tr>
      <w:tr>
        <w:trPr>
          <w:trHeight w:val="277"/>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Year-end inventory effects</w:t>
            </w:r>
          </w:p>
        </w:tc>
        <w:tc>
          <w:tcPr>
            <w:tcW w:w="148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20"/>
                <w:szCs w:val="20"/>
                <w:color w:val="auto"/>
              </w:rPr>
              <w:t>(0.1) - 0.1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- 0.3</w:t>
            </w:r>
          </w:p>
        </w:tc>
        <w:tc>
          <w:tcPr>
            <w:tcW w:w="130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20"/>
                <w:szCs w:val="20"/>
                <w:color w:val="auto"/>
              </w:rPr>
              <w:t>(0.1) - 0.1</w:t>
            </w: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99"/>
              </w:rPr>
              <w:t>(0.1) - 0.1</w:t>
            </w:r>
          </w:p>
        </w:tc>
        <w:tc>
          <w:tcPr>
            <w:tcW w:w="1160" w:type="dxa"/>
            <w:vAlign w:val="bottom"/>
            <w:tcBorders>
              <w:bottom w:val="single" w:sz="8" w:color="auto"/>
              <w:right w:val="single" w:sz="8" w:color="auto"/>
            </w:tcBorders>
          </w:tcPr>
          <w:p>
            <w:pPr>
              <w:spacing w:after="0"/>
              <w:rPr>
                <w:sz w:val="24"/>
                <w:szCs w:val="24"/>
                <w:color w:val="auto"/>
              </w:rPr>
            </w:pPr>
          </w:p>
        </w:tc>
      </w:tr>
      <w:tr>
        <w:trPr>
          <w:trHeight w:val="429"/>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Identified Items</w:t>
            </w: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74"/>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Divestments</w:t>
            </w:r>
          </w:p>
        </w:tc>
        <w:tc>
          <w:tcPr>
            <w:tcW w:w="7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- 0.8</w:t>
            </w: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spacing w:after="0"/>
              <w:rPr>
                <w:sz w:val="23"/>
                <w:szCs w:val="23"/>
                <w:color w:val="auto"/>
              </w:rPr>
            </w:pPr>
          </w:p>
        </w:tc>
      </w:tr>
      <w:tr>
        <w:trPr>
          <w:trHeight w:val="277"/>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Impairments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(0.2)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(0.4)</w:t>
            </w: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 (0.2)</w:t>
            </w:r>
          </w:p>
        </w:tc>
        <w:tc>
          <w:tcPr>
            <w:tcW w:w="138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r>
      <w:tr>
        <w:trPr>
          <w:trHeight w:val="277"/>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Restructuring charges</w:t>
            </w: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20"/>
                <w:szCs w:val="20"/>
                <w:color w:val="auto"/>
                <w:w w:val="97"/>
              </w:rPr>
              <w:t>(0.2) - (0.0)</w:t>
            </w:r>
          </w:p>
        </w:tc>
      </w:tr>
      <w:tr>
        <w:trPr>
          <w:trHeight w:val="277"/>
        </w:trPr>
        <w:tc>
          <w:tcPr>
            <w:tcW w:w="3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20"/>
                <w:szCs w:val="20"/>
                <w:color w:val="auto"/>
              </w:rPr>
              <w:t>Tax-related Items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- 0.3</w:t>
            </w:r>
          </w:p>
        </w:tc>
        <w:tc>
          <w:tcPr>
            <w:tcW w:w="126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20"/>
                <w:szCs w:val="20"/>
                <w:color w:val="auto"/>
              </w:rPr>
              <w:t>(0.1) - 0.1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w:t>
            </w: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99"/>
              </w:rPr>
              <w:t>- 0.2</w:t>
            </w:r>
          </w:p>
        </w:tc>
        <w:tc>
          <w:tcPr>
            <w:tcW w:w="13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99"/>
              </w:rPr>
              <w:t>(0.1) - 0.1</w:t>
            </w:r>
          </w:p>
        </w:tc>
        <w:tc>
          <w:tcPr>
            <w:tcW w:w="1160" w:type="dxa"/>
            <w:vAlign w:val="bottom"/>
            <w:tcBorders>
              <w:bottom w:val="single" w:sz="8" w:color="auto"/>
              <w:right w:val="single" w:sz="8" w:color="auto"/>
            </w:tcBorders>
          </w:tcPr>
          <w:p>
            <w:pPr>
              <w:jc w:val="right"/>
              <w:ind w:right="141"/>
              <w:spacing w:after="0"/>
              <w:rPr>
                <w:sz w:val="20"/>
                <w:szCs w:val="20"/>
                <w:color w:val="auto"/>
              </w:rPr>
            </w:pPr>
            <w:r>
              <w:rPr>
                <w:rFonts w:ascii="Arial" w:cs="Arial" w:eastAsia="Arial" w:hAnsi="Arial"/>
                <w:sz w:val="20"/>
                <w:szCs w:val="20"/>
                <w:color w:val="auto"/>
              </w:rPr>
              <w:t>(0.1) - 0.1</w:t>
            </w:r>
          </w:p>
        </w:tc>
      </w:tr>
    </w:tbl>
    <w:p>
      <w:pPr>
        <w:spacing w:after="0" w:line="262" w:lineRule="exact"/>
        <w:rPr>
          <w:sz w:val="20"/>
          <w:szCs w:val="20"/>
          <w:color w:val="auto"/>
        </w:rPr>
      </w:pPr>
    </w:p>
    <w:p>
      <w:pPr>
        <w:ind w:left="100" w:right="440" w:hanging="74"/>
        <w:spacing w:after="0" w:line="204" w:lineRule="auto"/>
        <w:tabs>
          <w:tab w:leader="none" w:pos="145" w:val="left"/>
        </w:tabs>
        <w:numPr>
          <w:ilvl w:val="0"/>
          <w:numId w:val="2"/>
        </w:numPr>
        <w:rPr>
          <w:rFonts w:ascii="Arial" w:cs="Arial" w:eastAsia="Arial" w:hAnsi="Arial"/>
          <w:sz w:val="26"/>
          <w:szCs w:val="26"/>
          <w:i w:val="1"/>
          <w:iCs w:val="1"/>
          <w:color w:val="auto"/>
          <w:vertAlign w:val="superscript"/>
        </w:rPr>
      </w:pPr>
      <w:r>
        <w:rPr>
          <w:rFonts w:ascii="Arial" w:cs="Arial" w:eastAsia="Arial" w:hAnsi="Arial"/>
          <w:sz w:val="20"/>
          <w:szCs w:val="20"/>
          <w:i w:val="1"/>
          <w:iCs w:val="1"/>
          <w:color w:val="auto"/>
        </w:rPr>
        <w:t>Change in liquids price includes impacts from the change in crude, condensate, and NGL realizations at prior period sales volumes.</w:t>
      </w:r>
    </w:p>
    <w:p>
      <w:pPr>
        <w:ind w:left="100" w:right="800" w:hanging="74"/>
        <w:spacing w:after="0" w:line="202" w:lineRule="auto"/>
        <w:tabs>
          <w:tab w:leader="none" w:pos="145"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20"/>
          <w:szCs w:val="20"/>
          <w:i w:val="1"/>
          <w:iCs w:val="1"/>
          <w:color w:val="auto"/>
        </w:rPr>
        <w:t>Change in gas price includes impacts from the change in natural gas realizations (including LNG) at prior period sales volumes and settled gas trading.</w:t>
      </w:r>
    </w:p>
    <w:p>
      <w:pPr>
        <w:spacing w:after="0" w:line="63" w:lineRule="exact"/>
        <w:rPr>
          <w:sz w:val="20"/>
          <w:szCs w:val="20"/>
          <w:color w:val="auto"/>
        </w:rPr>
      </w:pPr>
    </w:p>
    <w:p>
      <w:pPr>
        <w:ind w:left="100" w:right="700" w:hanging="74"/>
        <w:spacing w:after="0" w:line="222" w:lineRule="auto"/>
        <w:tabs>
          <w:tab w:leader="none" w:pos="145" w:val="left"/>
        </w:tabs>
        <w:numPr>
          <w:ilvl w:val="0"/>
          <w:numId w:val="4"/>
        </w:numPr>
        <w:rPr>
          <w:rFonts w:ascii="Arial" w:cs="Arial" w:eastAsia="Arial" w:hAnsi="Arial"/>
          <w:sz w:val="26"/>
          <w:szCs w:val="26"/>
          <w:i w:val="1"/>
          <w:iCs w:val="1"/>
          <w:color w:val="auto"/>
          <w:vertAlign w:val="superscript"/>
        </w:rPr>
      </w:pPr>
      <w:r>
        <w:rPr>
          <w:rFonts w:ascii="Arial" w:cs="Arial" w:eastAsia="Arial" w:hAnsi="Arial"/>
          <w:sz w:val="20"/>
          <w:szCs w:val="20"/>
          <w:i w:val="1"/>
          <w:iCs w:val="1"/>
          <w:color w:val="auto"/>
        </w:rPr>
        <w:t>Changes in industry margins are estimated market effects on crude and petroleum products, specialty basestocks, and chemicals at prior period volumes which include market impacts on trading in the respective segments.</w:t>
      </w:r>
    </w:p>
    <w:p>
      <w:pPr>
        <w:spacing w:after="0" w:line="78" w:lineRule="exact"/>
        <w:rPr>
          <w:sz w:val="20"/>
          <w:szCs w:val="20"/>
          <w:color w:val="auto"/>
        </w:rPr>
      </w:pPr>
    </w:p>
    <w:p>
      <w:pPr>
        <w:ind w:left="100" w:right="300" w:hanging="74"/>
        <w:spacing w:after="0" w:line="227" w:lineRule="auto"/>
        <w:tabs>
          <w:tab w:leader="none" w:pos="145" w:val="left"/>
        </w:tabs>
        <w:numPr>
          <w:ilvl w:val="0"/>
          <w:numId w:val="5"/>
        </w:numPr>
        <w:rPr>
          <w:rFonts w:ascii="Arial" w:cs="Arial" w:eastAsia="Arial" w:hAnsi="Arial"/>
          <w:sz w:val="26"/>
          <w:szCs w:val="26"/>
          <w:i w:val="1"/>
          <w:iCs w:val="1"/>
          <w:color w:val="auto"/>
          <w:vertAlign w:val="superscript"/>
        </w:rPr>
      </w:pPr>
      <w:r>
        <w:rPr>
          <w:rFonts w:ascii="Arial" w:cs="Arial" w:eastAsia="Arial" w:hAnsi="Arial"/>
          <w:sz w:val="20"/>
          <w:szCs w:val="20"/>
          <w:i w:val="1"/>
          <w:iCs w:val="1"/>
          <w:color w:val="auto"/>
        </w:rPr>
        <w:t>Timing effects are primarily related to unsettled derivatives (mark-to-market) and other earnings impacts driven by timing differences between the settlement of derivatives and their offsetting physical commodity realizations (due to LIFO inventory accounting).</w:t>
      </w:r>
    </w:p>
    <w:p>
      <w:pPr>
        <w:sectPr>
          <w:pgSz w:w="11900" w:h="16838" w:orient="portrait"/>
          <w:cols w:equalWidth="0" w:num="1">
            <w:col w:w="11240"/>
          </w:cols>
          <w:pgMar w:left="320" w:top="409"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409" w:right="339" w:bottom="1440" w:gutter="0" w:footer="0" w:header="0"/>
          <w:type w:val="continuous"/>
        </w:sectPr>
      </w:pPr>
    </w:p>
    <w:bookmarkStart w:id="5" w:name="page6"/>
    <w:bookmarkEnd w:id="5"/>
    <w:p>
      <w:pPr>
        <w:ind w:right="20"/>
        <w:spacing w:after="0" w:line="249" w:lineRule="auto"/>
        <w:rPr>
          <w:sz w:val="20"/>
          <w:szCs w:val="20"/>
          <w:color w:val="auto"/>
        </w:rPr>
      </w:pPr>
      <w:r>
        <w:rPr>
          <w:rFonts w:ascii="Arial" w:cs="Arial" w:eastAsia="Arial" w:hAnsi="Arial"/>
          <w:sz w:val="20"/>
          <w:szCs w:val="20"/>
          <w:color w:val="auto"/>
        </w:rPr>
        <w:t>Outlooks, estimates, projections, and other statements of future financial impacts of certain factors as provided in this publication are forward-looking statements within the meaning of the Private Securities Litigation Reform Act. Actual future impacts of these certain factors for 4Q 2025 may vary from our estimates for a number of reasons, including additional unidentified factors related to: sales volume and sales mix numbers; supply and demand imbalances including as a result of direct or indirect restrictions on production; regional pricing differentials and refining and chemical margins; fluctuations in feedstock prices; forecasts of economic growth or downturn; seasonal impacts on product demand and operating expenses; resolution of trading and derivative positions for the quarter; increases in integration benefits or costs of new start-ups or acquisitions; global and regional hostilities, including decoupling of economies, national or regional tariffs, trade disputes, border disputes, nationalizations, war, terrorism, threats to trade routes or freedom of navigation, or civil unrest and its impact on markets and our assets around the world; price impacts and the broader government responses to inflationary pressures; changes in interest and exchange rates; supply chain disruptions; planned cash and operating expense reductions; total capital expenditures and mix; maintenance costs and incidents; production shut-ins and mix; financing costs; the resolution of any contingencies and uncertain tax positions; environmental expenditures; impact of fiscal, contractual, and commercial terms applicable to the quarter; the outcome of commercial negotiations related to the quarter; the timing and regulatory approval of any acquisitions or divestments; regional differences for product demand; changes in consumer behavior including the impact of inflation, tariffs and/or recession; actions by governments, or independent administrative bureaucracies, or international bodies to increase our costs, decrease our ability to produce or replenish reserves, prohibit the export or sale of our products, or prevent the expansion of our low carbon solutions businesses; changes in asset valuation or estimates of fair value as of a certain date; updates or corrections of any estimate used herein; and other market conditions in or impacting the oil, natural gas, petroleum, and petrochemical industries. Furthermore, additional factors may exist that will be relevant to 4Q 2025 results that are not currently known or fully understood, including our participation in joint ventures or developments operated by third parties and other factors cited in Item 1A. Risk Factors of our most recent Annual and Quarterly Reports available on the Investors page of our website at www.exxonmobil.com. All forward-looking statements and the assumptions in this filing speak only as of the date hereof. We do not assume or undertake any obligation to update these forward-looking statements or assumptions as of any future date. Any future update or expansion of the forward-looking statements in this filing will be provided only through a public disclosure indicating that fact.</w:t>
      </w:r>
    </w:p>
    <w:p>
      <w:pPr>
        <w:spacing w:after="0" w:line="222"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color w:val="auto"/>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In accordance with Regulation FD, we are hereby providing notice the Company currently intends to furnish its 4Q 2025 financial results both (1) by posting them on our website at www.exxonmobil.com and (2) in a filing on Form 8-K in the Securities and Exchange Commission EDGAR system, each at approximately 5:30 a.m. CT Friday, January 30, 2026. In the event the EDGAR system experiences technical difficulties or the Company is unable to successfully complete its 8-K filing at the intended time, investors and the public should look for this information at that time on our website. In case of a failed filing, the Company intends to furnish the information on EDGAR as soon as possible after 5:30 a.m. CT Friday, January 30, 2026.</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6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2026-01-07T15:15:24Z</dcterms:created>
  <dcterms:modified xsi:type="dcterms:W3CDTF">2026-01-07T15:15:24Z</dcterms:modified>
</cp:coreProperties>
</file>